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001-40978</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Fluence Energy,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ans-serif" w:hAnsi="Times New Roman;sans-serif"/>
                <w:b/>
                <w:color w:val="000000"/>
                <w:sz w:val="18"/>
              </w:rPr>
            </w:pPr>
            <w:r>
              <w:rPr>
                <w:rFonts w:ascii="Times New Roman;sans-serif" w:hAnsi="Times New Roman;sans-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4601 Fairfax Drive, Suite 600</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(833) 358-3623</w:t>
      </w:r>
    </w:p>
    <w:p>
      <w:pPr>
        <w:pStyle w:val="TextBody"/>
        <w:bidi w:val="0"/>
        <w:spacing w:lineRule="auto" w:line="288"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D0D0D"/>
                <w:sz w:val="18"/>
              </w:rPr>
            </w:pPr>
            <w:r>
              <w:rPr>
                <w:rFonts w:ascii="Times New Roman;sans-serif" w:hAnsi="Times New Roman;sans-serif"/>
                <w:b w:val="false"/>
                <w:color w:val="0D0D0D"/>
                <w:sz w:val="18"/>
              </w:rPr>
              <w:t>The Nasdaq Global Select Market</w:t>
            </w:r>
          </w:p>
        </w:tc>
      </w:tr>
    </w:tbl>
    <w:p>
      <w:pPr>
        <w:pStyle w:val="TextBody"/>
        <w:bidi w:val="0"/>
        <w:spacing w:lineRule="auto" w:line="288" w:before="0" w:after="10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Act).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ans-serif" w:hAnsi="Times New Roman;sans-serif"/>
          <w:b w:val="false"/>
          <w:color w:val="000000"/>
          <w:sz w:val="18"/>
          <w:shd w:fill="FFFFFF" w:val="clear"/>
        </w:rPr>
        <w:t>As o</w:t>
      </w:r>
      <w:r>
        <w:rPr>
          <w:rFonts w:ascii="Times New Roman;sans-serif" w:hAnsi="Times New Roman;sans-serif"/>
          <w:b w:val="false"/>
          <w:color w:val="000000"/>
          <w:sz w:val="18"/>
        </w:rPr>
        <w:t>f May 6, 2025, the registrant had</w:t>
      </w:r>
      <w:r>
        <w:rPr>
          <w:color w:val="EE2724"/>
        </w:rPr>
        <w:t xml:space="preserve"> </w:t>
      </w:r>
      <w:r>
        <w:rPr>
          <w:rFonts w:ascii="Times New Roman;sans-serif" w:hAnsi="Times New Roman;sans-serif"/>
          <w:b w:val="false"/>
          <w:color w:val="000000"/>
          <w:sz w:val="18"/>
        </w:rPr>
        <w:t>130,718,873</w:t>
      </w:r>
      <w:r>
        <w:rPr>
          <w:color w:val="EE2724"/>
        </w:rPr>
        <w:t xml:space="preserve"> </w:t>
      </w:r>
      <w:r>
        <w:rPr>
          <w:rFonts w:ascii="Times New Roman;sans-serif" w:hAnsi="Times New Roman;sans-serif"/>
          <w:b w:val="false"/>
          <w:color w:val="000000"/>
          <w:sz w:val="18"/>
        </w:rPr>
        <w:t>shares of Class A common stock outstanding and 51,499,195 shares of C</w:t>
      </w:r>
      <w:r>
        <w:rPr>
          <w:rFonts w:ascii="Times New Roman;sans-serif" w:hAnsi="Times New Roman;sans-serif"/>
          <w:b w:val="false"/>
          <w:color w:val="000000"/>
          <w:sz w:val="18"/>
          <w:shd w:fill="FFFFFF" w:val="clear"/>
        </w:rPr>
        <w:t>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
              <w:r>
                <w:rPr>
                  <w:rStyle w:val="InternetLink"/>
                  <w:rFonts w:ascii="Times New Roman;sans-serif" w:hAnsi="Times New Roman;sans-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73e83414d6b44d1b2592813511029aa_13">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6">
              <w:r>
                <w:rPr>
                  <w:rStyle w:val="InternetLink"/>
                  <w:rFonts w:ascii="Times New Roman;sans-serif" w:hAnsi="Times New Roman;sans-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6">
              <w:r>
                <w:rPr>
                  <w:rStyle w:val="InternetLink"/>
                  <w:rFonts w:ascii="Times New Roman;sans-serif" w:hAnsi="Times New Roman;sans-serif"/>
                  <w:b w:val="false"/>
                  <w:color w:val="000080"/>
                  <w:sz w:val="20"/>
                  <w:u w:val="single"/>
                </w:rPr>
                <w:t>Financial Statements</w:t>
              </w:r>
            </w:hyperlink>
            <w:r>
              <w:rPr>
                <w:rFonts w:ascii="Times New Roman;sans-serif" w:hAnsi="Times New Roman;sans-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6">
              <w:r>
                <w:rPr>
                  <w:rStyle w:val="InternetLink"/>
                  <w:rFonts w:ascii="Times New Roman;sans-serif" w:hAnsi="Times New Roman;sans-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9">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9">
              <w:r>
                <w:rPr>
                  <w:rStyle w:val="InternetLink"/>
                  <w:rFonts w:ascii="Times New Roman;sans-serif" w:hAnsi="Times New Roman;sans-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22">
              <w:r>
                <w:rPr>
                  <w:rStyle w:val="InternetLink"/>
                  <w:rFonts w:ascii="Times New Roman;sans-serif" w:hAnsi="Times New Roman;sans-serif"/>
                  <w:b w:val="false"/>
                  <w:color w:val="0000FF"/>
                  <w:sz w:val="20"/>
                  <w:u w:val="single"/>
                </w:rPr>
                <w:t>Condensed 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22">
              <w:r>
                <w:rPr>
                  <w:rStyle w:val="InternetLink"/>
                  <w:rFonts w:ascii="Times New Roman;sans-serif" w:hAnsi="Times New Roman;sans-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25">
              <w:r>
                <w:rPr>
                  <w:rStyle w:val="InternetLink"/>
                  <w:rFonts w:ascii="Times New Roman;sans-serif" w:hAnsi="Times New Roman;sans-serif"/>
                  <w:b w:val="false"/>
                  <w:color w:val="000080"/>
                  <w:sz w:val="20"/>
                  <w:u w:val="single"/>
                </w:rPr>
                <w:t>Condensed Consolidated Statements of Other Comprehensive Income (</w:t>
              </w:r>
            </w:hyperlink>
            <w:hyperlink w:anchor="ia73e83414d6b44d1b2592813511029aa_25">
              <w:r>
                <w:rPr>
                  <w:rStyle w:val="InternetLink"/>
                  <w:rFonts w:ascii="Times New Roman;sans-serif" w:hAnsi="Times New Roman;sans-serif"/>
                  <w:b w:val="false"/>
                  <w:color w:val="000080"/>
                  <w:sz w:val="20"/>
                  <w:u w:val="single"/>
                </w:rPr>
                <w:t>Loss</w:t>
              </w:r>
            </w:hyperlink>
            <w:r>
              <w:rPr>
                <w:rFonts w:ascii="Times New Roman;sans-serif" w:hAnsi="Times New Roman;sans-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25">
              <w:r>
                <w:rPr>
                  <w:rStyle w:val="InternetLink"/>
                  <w:rFonts w:ascii="Times New Roman;sans-serif" w:hAnsi="Times New Roman;sans-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28">
              <w:r>
                <w:rPr>
                  <w:rStyle w:val="InternetLink"/>
                  <w:rFonts w:ascii="Times New Roman;sans-serif" w:hAnsi="Times New Roman;sans-serif"/>
                  <w:b w:val="false"/>
                  <w:color w:val="0000EE"/>
                  <w:sz w:val="20"/>
                  <w:u w:val="single"/>
                </w:rPr>
                <w:t>Condensed 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28">
              <w:r>
                <w:rPr>
                  <w:rStyle w:val="InternetLink"/>
                  <w:rFonts w:ascii="Times New Roman;sans-serif" w:hAnsi="Times New Roman;sans-serif"/>
                  <w:b w:val="false"/>
                  <w:color w:val="0000EE"/>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31">
              <w:r>
                <w:rPr>
                  <w:rStyle w:val="InternetLink"/>
                  <w:rFonts w:ascii="Times New Roman;sans-serif" w:hAnsi="Times New Roman;sans-serif"/>
                  <w:b w:val="false"/>
                  <w:color w:val="0000EE"/>
                  <w:sz w:val="20"/>
                  <w:u w:val="single"/>
                </w:rPr>
                <w:t>12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34">
              <w:r>
                <w:rPr>
                  <w:rStyle w:val="InternetLink"/>
                  <w:rFonts w:ascii="Times New Roman;sans-serif" w:hAnsi="Times New Roman;sans-serif"/>
                  <w:b w:val="false"/>
                  <w:color w:val="0000EE"/>
                  <w:sz w:val="20"/>
                  <w:u w:val="single"/>
                </w:rPr>
                <w:t>13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03">
              <w:r>
                <w:rPr>
                  <w:rStyle w:val="InternetLink"/>
                  <w:rFonts w:ascii="Times New Roman;sans-serif" w:hAnsi="Times New Roman;sans-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03">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03">
              <w:r>
                <w:rPr>
                  <w:rStyle w:val="InternetLink"/>
                  <w:rFonts w:ascii="Times New Roman;sans-serif" w:hAnsi="Times New Roman;sans-serif"/>
                  <w:b w:val="false"/>
                  <w:color w:val="0000EE"/>
                  <w:sz w:val="20"/>
                  <w:u w:val="single"/>
                </w:rPr>
                <w:t>44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27">
              <w:r>
                <w:rPr>
                  <w:rStyle w:val="InternetLink"/>
                  <w:rFonts w:ascii="Times New Roman;sans-serif" w:hAnsi="Times New Roman;sans-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27">
              <w:r>
                <w:rPr>
                  <w:rStyle w:val="InternetLink"/>
                  <w:rFonts w:ascii="Times New Roman;sans-serif" w:hAnsi="Times New Roman;sans-serif"/>
                  <w:b w:val="false"/>
                  <w:color w:val="0000EE"/>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27">
              <w:r>
                <w:rPr>
                  <w:rStyle w:val="InternetLink"/>
                  <w:rFonts w:ascii="Times New Roman;sans-serif" w:hAnsi="Times New Roman;sans-serif"/>
                  <w:b w:val="false"/>
                  <w:color w:val="0000EE"/>
                  <w:sz w:val="20"/>
                  <w:u w:val="single"/>
                </w:rPr>
                <w:t>62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0">
              <w:r>
                <w:rPr>
                  <w:rStyle w:val="InternetLink"/>
                  <w:rFonts w:ascii="Times New Roman;sans-serif" w:hAnsi="Times New Roman;sans-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0">
              <w:r>
                <w:rPr>
                  <w:rStyle w:val="InternetLink"/>
                  <w:rFonts w:ascii="Times New Roman;sans-serif" w:hAnsi="Times New Roman;sans-serif"/>
                  <w:b w:val="false"/>
                  <w:color w:val="0000EE"/>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30">
              <w:r>
                <w:rPr>
                  <w:rStyle w:val="InternetLink"/>
                  <w:rFonts w:ascii="Times New Roman;sans-serif" w:hAnsi="Times New Roman;sans-serif"/>
                  <w:b w:val="false"/>
                  <w:color w:val="0000EE"/>
                  <w:sz w:val="20"/>
                  <w:u w:val="single"/>
                </w:rPr>
                <w:t>62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3">
              <w:r>
                <w:rPr>
                  <w:rStyle w:val="InternetLink"/>
                  <w:rFonts w:ascii="Times New Roman;sans-serif" w:hAnsi="Times New Roman;sans-serif"/>
                  <w:b/>
                  <w:color w:val="0000EE"/>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33">
              <w:r>
                <w:rPr>
                  <w:rStyle w:val="InternetLink"/>
                  <w:rFonts w:ascii="Times New Roman;sans-serif" w:hAnsi="Times New Roman;sans-serif"/>
                  <w:b w:val="false"/>
                  <w:color w:val="0000EE"/>
                  <w:sz w:val="20"/>
                  <w:u w:val="single"/>
                </w:rPr>
                <w:t>63</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6">
              <w:r>
                <w:rPr>
                  <w:rStyle w:val="InternetLink"/>
                  <w:rFonts w:ascii="Times New Roman;sans-serif" w:hAnsi="Times New Roman;sans-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6">
              <w:r>
                <w:rPr>
                  <w:rStyle w:val="InternetLink"/>
                  <w:rFonts w:ascii="Times New Roman;sans-serif" w:hAnsi="Times New Roman;sans-serif"/>
                  <w:b w:val="false"/>
                  <w:color w:val="0000EE"/>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36">
              <w:r>
                <w:rPr>
                  <w:rStyle w:val="InternetLink"/>
                  <w:rFonts w:ascii="Times New Roman;sans-serif" w:hAnsi="Times New Roman;sans-serif"/>
                  <w:b w:val="false"/>
                  <w:color w:val="0000EE"/>
                  <w:sz w:val="20"/>
                  <w:u w:val="single"/>
                </w:rPr>
                <w:t>63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9">
              <w:r>
                <w:rPr>
                  <w:rStyle w:val="InternetLink"/>
                  <w:rFonts w:ascii="Times New Roman;sans-serif" w:hAnsi="Times New Roman;sans-serif"/>
                  <w:b w:val="false"/>
                  <w:color w:val="0000EE"/>
                  <w:sz w:val="20"/>
                  <w:u w:val="single"/>
                </w:rPr>
                <w:t>Item 1A.</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39">
              <w:r>
                <w:rPr>
                  <w:rStyle w:val="InternetLink"/>
                  <w:rFonts w:ascii="Times New Roman;sans-serif" w:hAnsi="Times New Roman;sans-serif"/>
                  <w:b w:val="false"/>
                  <w:color w:val="0000EE"/>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39">
              <w:r>
                <w:rPr>
                  <w:rStyle w:val="InternetLink"/>
                  <w:rFonts w:ascii="Times New Roman;sans-serif" w:hAnsi="Times New Roman;sans-serif"/>
                  <w:b w:val="false"/>
                  <w:color w:val="0000EE"/>
                  <w:sz w:val="20"/>
                  <w:u w:val="single"/>
                </w:rPr>
                <w:t>64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2">
              <w:r>
                <w:rPr>
                  <w:rStyle w:val="InternetLink"/>
                  <w:rFonts w:ascii="Times New Roman;sans-serif" w:hAnsi="Times New Roman;sans-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2">
              <w:r>
                <w:rPr>
                  <w:rStyle w:val="InternetLink"/>
                  <w:rFonts w:ascii="Times New Roman;sans-serif" w:hAnsi="Times New Roman;sans-serif"/>
                  <w:b w:val="false"/>
                  <w:color w:val="0000EE"/>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42">
              <w:r>
                <w:rPr>
                  <w:rStyle w:val="InternetLink"/>
                  <w:rFonts w:ascii="Times New Roman;sans-serif" w:hAnsi="Times New Roman;sans-serif"/>
                  <w:b w:val="false"/>
                  <w:color w:val="0000EE"/>
                  <w:sz w:val="20"/>
                  <w:u w:val="single"/>
                </w:rPr>
                <w:t>70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5">
              <w:r>
                <w:rPr>
                  <w:rStyle w:val="InternetLink"/>
                  <w:rFonts w:ascii="Times New Roman;sans-serif" w:hAnsi="Times New Roman;sans-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5">
              <w:r>
                <w:rPr>
                  <w:rStyle w:val="InternetLink"/>
                  <w:rFonts w:ascii="Times New Roman;sans-serif" w:hAnsi="Times New Roman;sans-serif"/>
                  <w:b w:val="false"/>
                  <w:color w:val="0000EE"/>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45">
              <w:r>
                <w:rPr>
                  <w:rStyle w:val="InternetLink"/>
                  <w:rFonts w:ascii="Times New Roman;sans-serif" w:hAnsi="Times New Roman;sans-serif"/>
                  <w:b w:val="false"/>
                  <w:color w:val="0000EE"/>
                  <w:sz w:val="20"/>
                  <w:u w:val="single"/>
                </w:rPr>
                <w:t>70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8">
              <w:r>
                <w:rPr>
                  <w:rStyle w:val="InternetLink"/>
                  <w:rFonts w:ascii="Times New Roman;sans-serif" w:hAnsi="Times New Roman;sans-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48">
              <w:r>
                <w:rPr>
                  <w:rStyle w:val="InternetLink"/>
                  <w:rFonts w:ascii="Times New Roman;sans-serif" w:hAnsi="Times New Roman;sans-serif"/>
                  <w:b w:val="false"/>
                  <w:color w:val="0000EE"/>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48">
              <w:r>
                <w:rPr>
                  <w:rStyle w:val="InternetLink"/>
                  <w:rFonts w:ascii="Times New Roman;sans-serif" w:hAnsi="Times New Roman;sans-serif"/>
                  <w:b w:val="false"/>
                  <w:color w:val="0000EE"/>
                  <w:sz w:val="20"/>
                  <w:u w:val="single"/>
                </w:rPr>
                <w:t>70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51">
              <w:r>
                <w:rPr>
                  <w:rStyle w:val="InternetLink"/>
                  <w:rFonts w:ascii="Times New Roman;sans-serif" w:hAnsi="Times New Roman;sans-serif"/>
                  <w:b w:val="false"/>
                  <w:color w:val="0000EE"/>
                  <w:sz w:val="20"/>
                  <w:u w:val="single"/>
                </w:rPr>
                <w:t>Item 5.</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51">
              <w:r>
                <w:rPr>
                  <w:rStyle w:val="InternetLink"/>
                  <w:rFonts w:ascii="Times New Roman;sans-serif" w:hAnsi="Times New Roman;sans-serif"/>
                  <w:b w:val="false"/>
                  <w:color w:val="0000EE"/>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51">
              <w:r>
                <w:rPr>
                  <w:rStyle w:val="InternetLink"/>
                  <w:rFonts w:ascii="Times New Roman;sans-serif" w:hAnsi="Times New Roman;sans-serif"/>
                  <w:b w:val="false"/>
                  <w:color w:val="0000EE"/>
                  <w:sz w:val="20"/>
                  <w:u w:val="single"/>
                </w:rPr>
                <w:t>70</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57">
              <w:r>
                <w:rPr>
                  <w:rStyle w:val="InternetLink"/>
                  <w:rFonts w:ascii="Times New Roman;sans-serif" w:hAnsi="Times New Roman;sans-serif"/>
                  <w:b w:val="false"/>
                  <w:color w:val="0000EE"/>
                  <w:sz w:val="20"/>
                  <w:u w:val="single"/>
                </w:rPr>
                <w:t>Item 6.</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57">
              <w:r>
                <w:rPr>
                  <w:rStyle w:val="InternetLink"/>
                  <w:rFonts w:ascii="Times New Roman;sans-serif" w:hAnsi="Times New Roman;sans-serif"/>
                  <w:b w:val="false"/>
                  <w:color w:val="0000EE"/>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57">
              <w:r>
                <w:rPr>
                  <w:rStyle w:val="InternetLink"/>
                  <w:rFonts w:ascii="Times New Roman;sans-serif" w:hAnsi="Times New Roman;sans-serif"/>
                  <w:b w:val="false"/>
                  <w:color w:val="0000EE"/>
                  <w:sz w:val="20"/>
                  <w:u w:val="single"/>
                </w:rPr>
                <w:t>71</w:t>
              </w:r>
            </w:hyperlink>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e83414d6b44d1b2592813511029aa_160">
              <w:r>
                <w:rPr>
                  <w:rStyle w:val="InternetLink"/>
                  <w:rFonts w:ascii="Times New Roman;sans-serif" w:hAnsi="Times New Roman;sans-serif"/>
                  <w:b w:val="false"/>
                  <w:color w:val="0000EE"/>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73e83414d6b44d1b2592813511029aa_160">
              <w:r>
                <w:rPr>
                  <w:rStyle w:val="InternetLink"/>
                  <w:rFonts w:ascii="Times New Roman;sans-serif" w:hAnsi="Times New Roman;sans-serif"/>
                  <w:b w:val="false"/>
                  <w:color w:val="0000EE"/>
                  <w:sz w:val="20"/>
                  <w:u w:val="single"/>
                </w:rPr>
                <w:t>73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quarterly period ended March 31, 2025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business, growth, and innovation strategy, our ability to differentiate our product and optimize our cost structure, liquidity and access to capital and cash flows, the timing of future revenue recognition and estimated revenues, future capital expenditures and debt service obligations, statements regarding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new products and solutions and product innovation and impacts on the Company and our customers, domestic content strategy, including our ability to ramp up domestic content production, potential impacts from competitive pressures, assumptions relating to the Company’s tax receivable agreement, expectations relating to backlog, pipeline, contracted backlog, and order intake, current expectations relating to legal proceedings, expected impacts and benefits from the Inflation Reduction Act of 2022 (the “IRA”) and related domestic content guidelines on us and our customers, potential or estimated impact of tariffs and uncertainty around U.S. and foreign trade policy on the Company, our suppliers, and our customers, regulatory and policy changes, and projected costs,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a number of important factors that could cause actual results to differ materially from those in the forward-looking statements, including, but not limited to, our relatively limited operating and revenue history as an independent entity and the nascent clean energy industry; anticipated increasing expenses in the future, and our ability to maintain prolonged profitability; fluctuations of our order intake and results of operations across fiscal periods; potential difficulties in maintaining manufacturing capacity and establishing expected mass manufacturing capacity in the future; risks relating to delays, disruptions, and quality control problems in our manufacturing operations; risks relating to quality and quantity of components provided by suppliers; risks relating to our status as a relatively low-volume purchaser as well as from supplier concentration and limited supplier capacity; risks relating to operating as a global company with a global supply chain; changes in the cost and availability of raw materials and underlying components; failure by manufacturers, vendors, and suppliers to use ethical business practices and comply with applicable laws and regulations; significant reduction in pricing or order volume or loss of one or more of our significant customers or their inability to perform under their contracts; risks relating to competition for our offerings and our ability to attract new customers and retain existing customers; ability to maintain and enhance our reputation and brand recognition; ability to effectively manage our recent and future growth and expansion of our business and operations; our growth depends in part on the success of our relationships with third parties; ability to attract and retain highly qualified personnel; risks associated with engineering and construction, utility interconnection, commissioning and installation of our energy storage solutions and products, cost overruns, and delays; risks relating to lengthy sales and installation cycle for our energy storage solutions; risks related to defects, errors, vulnerabilities and/or bugs in our products and technology; risks relating to estimation uncertainty related to our product warranties; fluctuations in currency exchange rates; risks related to our current and planned foreign operations; amounts included in our pipeline and contracted backlog may not result in actual revenue or translate into profits; risks related to acquisitions we have made or that we may pursue; events and incidents relating to storage, delivery, installation, operation, maintenance and shutdowns of our products; risks relating to our impacts to our customer relationships due to events and incidents during the project lifecycle of an energy storage solution; actual or threatened health epidemics, pandemics or similar public health threats; ability to obtain financial assurances for our projects; risks relating to whether renewable energy technologies are suitable for widespread adoption or if sufficient demand for our offerings do not develop or takes longer to develop than we anticipate; estimates on size of our total addressable market; barriers arising from current electric utility industry policies and regulations and any subsequent changes; risks relating to the cost of electricity available from alternative sources; macroeconomic uncertainty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risk relating to interest rates or a reduction in the availability of tax equity or project debt capital in the global financial markets and corresponding effects on customers’ ability to finance energy storage systems and demand for our energy storage solutions; reduction, elimination, modification, expiration, or determination of inapplicability of government incentives or regulations relating to or mandating or encouraging use of renewable energy and/or energy storage; decline in public acceptance of renewable energy, or delay, prevent, or increase in the cost of customer projects; severe weather events; increased attention to ESG matters; restrictions set forth in our current credit agreement and future debt agreements; uncertain ability to raise additional capital to execute on business opportunities; risks related to our 2030 Convertible Senior Notes (as defined herein); our ability to obtain, maintain and enforce proper protection for our intellectual property, including our technology; threat of lawsuits by third parties alleging intellectual property violations; adequate protection for our trademarks and trade names; ability to enforce our intellectual property rights; risks relating to our patent portfolio; ability to effectively protect data integrity of our technology infrastructure and other business systems; use of open-source software; failure to comply with third party license or technology agreements; inability to license rights to use technologies on reasonable terms; risks relating to compromises, interruptions, or shutdowns of our systems; changes in the global trade environment, including imposition of new tariffs, changes to existing tariffs, and related economic uncertainty; potential changes in tax laws or regulations; risks relating to environmental, health, and safety laws and potential obligations, liabilities and costs thereunder; failure to comply with data privacy and data security laws, regulations and industry standards; risks relating to potential future legal proceedings, regulatory disputes, and governmental inquiries; risks related to ownership of our Class A common stock; risks related to us being a “controlled company” within the meaning of the NASDAQ rules; risks relating to the terms of our amended and restated certificate of incorporation and amended and restated bylaws; risks relating to our relationship with our Founders (as defined herein) and our continuing equity owners; risks relating to conflicts of interest by our officers and directors due to positions with continuing equity owners; risks related to short-seller activists; we depend on distributions from Fluence Energy, LLC to pay our taxes and expenses and Fluence Energy, LLC’s ability to make such distributions may be limited or restricted in certain scenarios; risks arising out of the Tax Receivable Agreement (as defined herein); unanticipated changes in effective tax rates or adverse outcomes resulting from examination of tax returns; risks relating to improper and ineffective internal control over reporting to comply with Sarbanes-Oxley Act; risks relating to changes in accounting principles or their applicability to us; risks relating to estimates or judgments relating to our critical accounting policies; and the factors described under the headings Part I, Item 1A. “Risk Factors” and Item 7. “Management’s Discussion and Analysis of Financial Condition and Results of Operations” in our Annual Report on Form 10-K for the fiscal year ended September 30, 2024, filed with the U.S. Securities and Exchange Commission (the “SEC”) on November 29, 2024 (the “2024 Annual Report”), Part II, Item 1A. “Risk Factors” in our Quarterly Report on Form 10-Q for the quarterly period ended December 31, 2024, and Part II, Item 1A. “Risk Factors” and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7"/>
        <w:gridCol w:w="2218"/>
        <w:gridCol w:w="2154"/>
        <w:gridCol w:w="211"/>
        <w:gridCol w:w="976"/>
        <w:gridCol w:w="109"/>
        <w:gridCol w:w="109"/>
        <w:gridCol w:w="109"/>
        <w:gridCol w:w="109"/>
        <w:gridCol w:w="211"/>
        <w:gridCol w:w="976"/>
        <w:gridCol w:w="156"/>
      </w:tblGrid>
      <w:tr>
        <w:trPr/>
        <w:tc>
          <w:tcPr>
            <w:tcW w:w="2867"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1,902,188 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with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borrowings against 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Preferred stock, </w:t>
            </w:r>
            <w:r>
              <w:rPr>
                <w:rFonts w:ascii="Times New Roman;sans-serif" w:hAnsi="Times New Roman;sans-serif"/>
                <w:b w:val="false"/>
                <w:color w:val="0D0D0D"/>
                <w:sz w:val="20"/>
              </w:rPr>
              <w:t>$0.00001 per share, 10,000,000 shares authorized; no shares issued and outstanding as of March 31, 2025 and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$0.00001 par value per share, 1,200,000,000 shares authorized; 131,267,196 shares issued and 130,451,861 shares outstanding as of March 31, 2025; 130,207,845 shares issued and 129,421,797 shares outstanding as of September 30, 2024, respectively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Class B-1 common stock, $0.00001 par value per share, 134,325,805 shares author</w:t>
            </w:r>
            <w:r>
              <w:rPr>
                <w:rFonts w:ascii="Times New Roman;sans-serif" w:hAnsi="Times New Roman;sans-serif"/>
                <w:b w:val="false"/>
                <w:color w:val="000000"/>
                <w:sz w:val="20"/>
                <w:shd w:fill="CCEEFF" w:val="clear"/>
              </w:rPr>
              <w:t>ized; 51,499,195</w:t>
            </w:r>
            <w:r>
              <w:rPr>
                <w:color w:val="000000"/>
              </w:rPr>
              <w:t xml:space="preserve"> </w:t>
            </w:r>
            <w:r>
              <w:rPr>
                <w:rFonts w:ascii="Times New Roman;sans-serif" w:hAnsi="Times New Roman;sans-serif"/>
                <w:b w:val="false"/>
                <w:color w:val="000000"/>
                <w:sz w:val="20"/>
              </w:rPr>
              <w:t>shares issued and outstanding as of March 31, 2025; 134,325,805 shares authorized; 51,499,195 shares issued and outstanding as of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B-2 common stock, $0.00001 par value per share, 200,000,000 shares authorized; 0 shares issued and outstanding as of March 31, 2025 and September 30,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Fluence Energy,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1,902,188 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45"/>
        <w:gridCol w:w="1164"/>
        <w:gridCol w:w="1168"/>
        <w:gridCol w:w="292"/>
        <w:gridCol w:w="894"/>
        <w:gridCol w:w="136"/>
        <w:gridCol w:w="109"/>
        <w:gridCol w:w="109"/>
        <w:gridCol w:w="109"/>
        <w:gridCol w:w="292"/>
        <w:gridCol w:w="894"/>
        <w:gridCol w:w="136"/>
        <w:gridCol w:w="109"/>
        <w:gridCol w:w="109"/>
        <w:gridCol w:w="109"/>
        <w:gridCol w:w="283"/>
        <w:gridCol w:w="903"/>
        <w:gridCol w:w="121"/>
        <w:gridCol w:w="121"/>
        <w:gridCol w:w="121"/>
        <w:gridCol w:w="121"/>
        <w:gridCol w:w="283"/>
        <w:gridCol w:w="903"/>
        <w:gridCol w:w="174"/>
      </w:tblGrid>
      <w:tr>
        <w:trPr/>
        <w:tc>
          <w:tcPr>
            <w:tcW w:w="154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280,652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380,606</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528,034</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459,063</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431,618</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618,406</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886,531</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63,783</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39,314</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32,867</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26,498</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78,119</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81,795</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(102,653)</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(41,333)</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(98,945)</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w:t>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(72,512)</w:t>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(25,912)</w:t>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w:t>
            </w:r>
          </w:p>
        </w:tc>
        <w:tc>
          <w:tcPr>
            <w:tcW w:w="132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129,985,932 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129,731,535 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129,985,932 </w:t>
            </w:r>
          </w:p>
        </w:tc>
        <w:tc>
          <w:tcPr>
            <w:tcW w:w="13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126,843,301 </w:t>
            </w:r>
          </w:p>
        </w:tc>
        <w:tc>
          <w:tcPr>
            <w:tcW w:w="13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129,731,535 </w:t>
            </w:r>
          </w:p>
        </w:tc>
        <w:tc>
          <w:tcPr>
            <w:tcW w:w="12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123,962,636 </w:t>
            </w:r>
          </w:p>
        </w:tc>
        <w:tc>
          <w:tcPr>
            <w:tcW w:w="17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92"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3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21"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7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205" w:type="dxa"/>
        <w:jc w:val="left"/>
        <w:tblInd w:w="0" w:type="dxa"/>
        <w:tblLayout w:type="fixed"/>
        <w:tblCellMar>
          <w:top w:w="28" w:type="dxa"/>
          <w:left w:w="28" w:type="dxa"/>
          <w:bottom w:w="28" w:type="dxa"/>
          <w:right w:w="28" w:type="dxa"/>
        </w:tblCellMar>
      </w:tblPr>
      <w:tblGrid>
        <w:gridCol w:w="1673"/>
        <w:gridCol w:w="1364"/>
        <w:gridCol w:w="1395"/>
        <w:gridCol w:w="211"/>
        <w:gridCol w:w="784"/>
        <w:gridCol w:w="109"/>
        <w:gridCol w:w="109"/>
        <w:gridCol w:w="109"/>
        <w:gridCol w:w="109"/>
        <w:gridCol w:w="211"/>
        <w:gridCol w:w="784"/>
        <w:gridCol w:w="109"/>
        <w:gridCol w:w="109"/>
        <w:gridCol w:w="109"/>
        <w:gridCol w:w="109"/>
        <w:gridCol w:w="211"/>
        <w:gridCol w:w="784"/>
        <w:gridCol w:w="109"/>
        <w:gridCol w:w="109"/>
        <w:gridCol w:w="109"/>
        <w:gridCol w:w="109"/>
        <w:gridCol w:w="211"/>
        <w:gridCol w:w="784"/>
        <w:gridCol w:w="109"/>
        <w:gridCol w:w="109"/>
        <w:gridCol w:w="109"/>
        <w:gridCol w:w="158"/>
      </w:tblGrid>
      <w:tr>
        <w:trPr/>
        <w:tc>
          <w:tcPr>
            <w:tcW w:w="167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foreign currency translation, net of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cash flow hedges,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gain (loss)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attributable to Fluence Energy, Inc.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Shares)</w:t>
      </w:r>
    </w:p>
    <w:tbl>
      <w:tblPr>
        <w:tblW w:w="13003" w:type="dxa"/>
        <w:jc w:val="center"/>
        <w:tblInd w:w="0" w:type="dxa"/>
        <w:tblLayout w:type="fixed"/>
        <w:tblCellMar>
          <w:top w:w="28" w:type="dxa"/>
          <w:left w:w="28" w:type="dxa"/>
          <w:bottom w:w="28" w:type="dxa"/>
          <w:right w:w="28" w:type="dxa"/>
        </w:tblCellMar>
      </w:tblPr>
      <w:tblGrid>
        <w:gridCol w:w="651"/>
        <w:gridCol w:w="282"/>
        <w:gridCol w:w="28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129,929,023 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AES Grid Stability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130,451,861 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(223,960)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815,335 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499,063 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92"/>
        <w:gridCol w:w="851"/>
        <w:gridCol w:w="163"/>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129,421,797 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786,048 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Capped Calls related to 2023 Convertible Senior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AES Grid Stability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 translation,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130,451,861 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(223,960)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499,063 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3015" w:type="dxa"/>
        <w:jc w:val="center"/>
        <w:tblInd w:w="0" w:type="dxa"/>
        <w:tblLayout w:type="fixed"/>
        <w:tblCellMar>
          <w:top w:w="28" w:type="dxa"/>
          <w:left w:w="28" w:type="dxa"/>
          <w:bottom w:w="28" w:type="dxa"/>
          <w:right w:w="28" w:type="dxa"/>
        </w:tblCellMar>
      </w:tblPr>
      <w:tblGrid>
        <w:gridCol w:w="651"/>
        <w:gridCol w:w="282"/>
        <w:gridCol w:w="283"/>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126,967,942 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(190,907)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withheld related to settlement of employee taxes for stock-based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currency translation, net of tax</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127,387,538 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694,423 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531,736 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13015"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118,903,435 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58,586,695 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AES Grid Stability redemption of Class B-1 common stock for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withheld related to settlement of employee taxes for stock-based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671,255 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127,387,538 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51,499,195 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118,662 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66"/>
        <w:gridCol w:w="2378"/>
        <w:gridCol w:w="2395"/>
        <w:gridCol w:w="211"/>
        <w:gridCol w:w="826"/>
        <w:gridCol w:w="109"/>
        <w:gridCol w:w="109"/>
        <w:gridCol w:w="109"/>
        <w:gridCol w:w="109"/>
        <w:gridCol w:w="211"/>
        <w:gridCol w:w="826"/>
        <w:gridCol w:w="156"/>
      </w:tblGrid>
      <w:tr>
        <w:trPr/>
        <w:tc>
          <w:tcPr>
            <w:tcW w:w="276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provided by operating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(47,890)</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(202,860)</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383,120 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(38,916)</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(27,360)</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on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withheld related to settlement of employee taxes for stock-based compensation awards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2030 Convertible Senior Notes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Capped Calls related to 2030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debt issuance costs on 2030 Convertible Senior Notes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debt issuance costs on revolving facilities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AES Grid Stability</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beginning of the period</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518,706 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w:t>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March 31, 2025 (this “Report”).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is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March 31, 2025, Fluence Energy, LLC had subsidiaries operating in Germany, Australia, Philippines, Chile, the Netherlands, the United States, India, Singapore, United Kingdom, Canada, Taiwan, Ireland, Japan, and Switzerland. Except where the context clearly indicates otherwise, “Fluence,” “we,” “us,” “our,” or the “Company” refers to Fluence Energy, Inc. and all of its direct and indirect subsidiaries, including Fluence Energy, LLC.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begins on October 1 and ends on September 30. References to “fiscal year 2024” and “fiscal year 2025” refer to the twelve months ended September 30, 2024 and September 30, 2025,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Secondary Offering and AES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8, 2023, AES Grid Stability, Siemens Pension-Trust e.V. (“Siemens Pension Trust”), and Qatar Holding LLC (“QHL” and together with AES Grid Stability and Siemens Pension Trust in such context, the “Selling Stockholders”) closed an underwritten public offering (the “Offering”) of 18,000,000 shares of Class A common stock, par value $0.00001 per share of Fluence Energy, Inc. (the “Class A common stock”). The Company did not sell any of its shares of Class A common stock in the Offering and the Company did not receive any proceeds from the Offering. Pursuant to the terms of the Company’s Registration Rights Agreement, dated as of November 1, 2021, by and among the Company and the Original Equity Owners (as defined therein), the Company paid $0.7 million in certain expenses of the Selling Stockholders related to the Offering, while the Selling Stockholders paid all applicable underwriting discounts and commissions.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Offering, AES Grid Stability exercised its redemption right pursuant to the terms of the Third Amended and Restated Limited Liability Agreement of Fluence Energy, LLC, dated October 27, 2021, as may be amended from time to time (the “Fluence Energy, LLC Agreement”) with respect to 7,087,500 LLC Interests held by AES Grid Stability, together with the corresponding cancellation of an equivalent number of shares of Class B-1 common stock, par value $0.00001 per share of the Company (the “AES Redemption”). The Company elected to settle the AES Redemption through the issuance of 7,087,500 shares of the Company’s Class A common stock. The AES Redemption settled on December 8, 2023.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the non-controlling interest has been adjusted. Refer to condensed consolidated statements of changes in stockholders’ equity</w:t>
      </w:r>
      <w:r>
        <w:rPr>
          <w:color w:val="000000"/>
        </w:rPr>
        <w:t xml:space="preserve"> </w:t>
      </w:r>
      <w:r>
        <w:rPr>
          <w:rFonts w:ascii="Times New Roman;sans-serif" w:hAnsi="Times New Roman;sans-serif"/>
          <w:b w:val="false"/>
          <w:color w:val="000000"/>
          <w:sz w:val="20"/>
        </w:rPr>
        <w:t>included herein for more information on the impacts of the redemption to stockholder’s equity</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Estimates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ans-serif" w:hAnsi="Times New Roman;sans-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ans-serif" w:hAnsi="Times New Roman;sans-serif"/>
          <w:b w:val="false"/>
          <w:color w:val="000000"/>
          <w:sz w:val="20"/>
        </w:rPr>
        <w:t>mpany’s business. Fluence Energy, LLC is a variable interest entity, of which Fluence Energy, Inc. beneficially owns a 71.70% inte</w:t>
      </w:r>
      <w:r>
        <w:rPr>
          <w:rFonts w:ascii="Times New Roman;sans-serif" w:hAnsi="Times New Roman;sans-serif"/>
          <w:b w:val="false"/>
          <w:color w:val="000000"/>
          <w:sz w:val="20"/>
          <w:shd w:fill="FFFFFF" w:val="clear"/>
        </w:rPr>
        <w:t>rest as of March 31, 2025.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6803" w:type="dxa"/>
        <w:jc w:val="left"/>
        <w:tblInd w:w="0" w:type="dxa"/>
        <w:tblLayout w:type="fixed"/>
        <w:tblCellMar>
          <w:top w:w="28" w:type="dxa"/>
          <w:left w:w="28" w:type="dxa"/>
          <w:bottom w:w="28" w:type="dxa"/>
          <w:right w:w="28" w:type="dxa"/>
        </w:tblCellMar>
      </w:tblPr>
      <w:tblGrid>
        <w:gridCol w:w="1291"/>
        <w:gridCol w:w="1136"/>
        <w:gridCol w:w="1142"/>
        <w:gridCol w:w="308"/>
        <w:gridCol w:w="308"/>
        <w:gridCol w:w="701"/>
        <w:gridCol w:w="109"/>
        <w:gridCol w:w="109"/>
        <w:gridCol w:w="109"/>
        <w:gridCol w:w="323"/>
        <w:gridCol w:w="323"/>
        <w:gridCol w:w="94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Controlling Interest Ownership</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Ownership (AES)</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7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9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as of March 31, 2025, and for the three and six months ended March 31, 2025 and 2024 are unaudited. These financial statements should be read in conjunction with the Company’s audited financial statements included in our Annual Report on Form 10-K for the year ended September 30, 2024 filed with the SEC on November 29, 2024 (the “2024 Annual Report”). In our opinion, such unaudited financial statements reflect all adjustments, including normal recurring items, that are necessary for the fair statement of the Company’s financial position as of March 31, 2025, the results of its operations for the three and six months ended March 31, 2025 and 2024, and its cash flows for the six months ended March 31, 2025 and 2024. The financial data and other information disclosed in these notes related to the three and six months ended March 31, 2025 and 2024 are also unaudited. The results for the three and six months ended March 31, 2025 and 2024 are not necessarily indicative of results for the full year ending September 30, 2025 and 2024, any other interim periods, or any future year or period. The balance sheet as of September 30, 2024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 xml:space="preserve">the audited consolidated financial statements included in our 2024 Annual Report.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carrying amount and estimated useful lives of long-lived assets; impairment of goodwill, intangible assets, and long-lived assets; valuation allowances for inventories; deferred tax assets; revenue recognized under the percentage-of-completion method; transaction price estimates with variable consideration; accrued bonuses; and various project-related provisions including, but not limited to, estimated losses and warranty obligations.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892" w:type="dxa"/>
        <w:jc w:val="left"/>
        <w:tblInd w:w="0" w:type="dxa"/>
        <w:tblLayout w:type="fixed"/>
        <w:tblCellMar>
          <w:top w:w="28" w:type="dxa"/>
          <w:left w:w="28" w:type="dxa"/>
          <w:bottom w:w="28" w:type="dxa"/>
          <w:right w:w="28" w:type="dxa"/>
        </w:tblCellMar>
      </w:tblPr>
      <w:tblGrid>
        <w:gridCol w:w="1631"/>
        <w:gridCol w:w="1430"/>
        <w:gridCol w:w="1438"/>
        <w:gridCol w:w="232"/>
        <w:gridCol w:w="908"/>
        <w:gridCol w:w="119"/>
        <w:gridCol w:w="109"/>
        <w:gridCol w:w="109"/>
        <w:gridCol w:w="109"/>
        <w:gridCol w:w="109"/>
        <w:gridCol w:w="109"/>
        <w:gridCol w:w="281"/>
        <w:gridCol w:w="1103"/>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448,685 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518,706 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at the end of each respective period consisted of the following:</w:t>
      </w:r>
    </w:p>
    <w:tbl>
      <w:tblPr>
        <w:tblW w:w="9005" w:type="dxa"/>
        <w:jc w:val="left"/>
        <w:tblInd w:w="0" w:type="dxa"/>
        <w:tblLayout w:type="fixed"/>
        <w:tblCellMar>
          <w:top w:w="28" w:type="dxa"/>
          <w:left w:w="28" w:type="dxa"/>
          <w:bottom w:w="28" w:type="dxa"/>
          <w:right w:w="28" w:type="dxa"/>
        </w:tblCellMar>
      </w:tblPr>
      <w:tblGrid>
        <w:gridCol w:w="2033"/>
        <w:gridCol w:w="1784"/>
        <w:gridCol w:w="1793"/>
        <w:gridCol w:w="255"/>
        <w:gridCol w:w="873"/>
        <w:gridCol w:w="132"/>
        <w:gridCol w:w="109"/>
        <w:gridCol w:w="109"/>
        <w:gridCol w:w="109"/>
        <w:gridCol w:w="109"/>
        <w:gridCol w:w="109"/>
        <w:gridCol w:w="309"/>
        <w:gridCol w:w="1056"/>
        <w:gridCol w:w="225"/>
      </w:tblGrid>
      <w:tr>
        <w:trPr/>
        <w:tc>
          <w:tcPr>
            <w:tcW w:w="20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credit card program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outstanding bank guarantees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surety program included in “Other non-current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recognition policy included herein is based on the application of Accounting Standards Codification - Revenue from Contracts with Customers (ASC 606). As of March 31, 2025,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Energy Storage Products and Solutions:</w:t>
      </w:r>
      <w:r>
        <w:rPr>
          <w:color w:val="000000"/>
        </w:rPr>
        <w:t xml:space="preserve"> </w:t>
      </w:r>
      <w:r>
        <w:rPr>
          <w:rFonts w:ascii="Times New Roman;sans-serif" w:hAnsi="Times New Roman;sans-serif"/>
          <w:b w:val="false"/>
          <w:color w:val="000000"/>
          <w:sz w:val="20"/>
        </w:rPr>
        <w:t xml:space="preserve">The Company enters into contracts with utility companies, developers, and commercial and industrial customers to design and build battery-based energy storage products and solutions. Our projects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as we transfer control of our product to the customer. This transfer of control to the customer occurs as the project is being built in accordance with the contract or is supported by clauses in the contracts that provide enforceable rights to payment of the transaction price associated with work performed to date for products that do not have an alternative use to the Company. Revenue is recognized using the percentage of completion (“POC”) method based on actual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a specific customer’s project such that we no longer have the ability to direct their use for other purposes. Contract costs include all direct material and labor costs related to contract performance. As the cost of the assembled cubes comprise a substantial portion of the total estimated contract costs, our pattern of revenue recognition may vary materially from period to period. Our judgement on when costs should be included in the measure of progress has a material impact on revenue recognition.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 As of March 31, 2025 and September 30, 2024, transaction prices have been reduced to reflect estimates of variable consideration primarily related to LDs of $79.7 million and $78.4 million, respectively.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Pre-contract costs with no future benefit are expensed in the period in which they are incurred. </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Services:</w:t>
      </w:r>
      <w:r>
        <w:rPr>
          <w:color w:val="000000"/>
        </w:rPr>
        <w:t xml:space="preserve"> </w:t>
      </w:r>
      <w:r>
        <w:rPr>
          <w:rFonts w:ascii="Times New Roman;sans-serif" w:hAnsi="Times New Roman;sans-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 for a given term may be considered service-type warranties depending on the contract terms. These represent a stand-ready obligation in which the customer benefits evenly overtime, of which we recognize revenue for these arrangements using a straight-line recognition method. Alternatively, augmentation arrangements that require us to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Revenue from Digital Applications and Solutions:</w:t>
      </w:r>
      <w:r>
        <w:rPr>
          <w:color w:val="000000"/>
        </w:rPr>
        <w:t xml:space="preserve"> </w:t>
      </w:r>
      <w:r>
        <w:rPr>
          <w:rFonts w:ascii="Times New Roman;sans-serif" w:hAnsi="Times New Roman;sans-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and ERCOT (Texas)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Cost of Goods and Services:</w:t>
      </w:r>
      <w:r>
        <w:rPr>
          <w:color w:val="000000"/>
        </w:rPr>
        <w:t xml:space="preserve"> </w:t>
      </w: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Standard inventory materials that could be used interchangeably on other projects are included in cost of goods sold when they are integrated into or restricted to the production of a customer’s project.</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Deferred Revenue:</w:t>
      </w:r>
      <w:r>
        <w:rPr>
          <w:color w:val="000000"/>
        </w:rPr>
        <w:t xml:space="preserve"> </w:t>
      </w:r>
      <w:r>
        <w:rPr>
          <w:rFonts w:ascii="Times New Roman;sans-serif" w:hAnsi="Times New Roman;sans-serif"/>
          <w:b w:val="false"/>
          <w:color w:val="000000"/>
          <w:sz w:val="20"/>
        </w:rPr>
        <w:t xml:space="preserve">Deferred revenue represents the excess billings to date over the amount of revenue recognized to date. The timing and the amount we bill our customers is based on achieving milestones as defined in the contract with the customers. </w:t>
      </w:r>
    </w:p>
    <w:p>
      <w:pPr>
        <w:pStyle w:val="TextBody"/>
        <w:bidi w:val="0"/>
        <w:spacing w:lineRule="auto" w:line="288" w:before="160" w:after="283"/>
        <w:ind w:left="0" w:right="0" w:firstLine="360"/>
        <w:jc w:val="both"/>
        <w:rPr/>
      </w:pPr>
      <w:r>
        <w:rPr>
          <w:rFonts w:ascii="Times New Roman;sans-serif" w:hAnsi="Times New Roman;sans-serif"/>
          <w:b/>
          <w:i/>
          <w:color w:val="000000"/>
          <w:sz w:val="20"/>
        </w:rPr>
        <w:t>Loss Contracts:</w:t>
      </w:r>
      <w:r>
        <w:rPr>
          <w:color w:val="000000"/>
        </w:rPr>
        <w:t xml:space="preserve"> </w:t>
      </w:r>
      <w:r>
        <w:rPr>
          <w:rFonts w:ascii="Times New Roman;sans-serif" w:hAnsi="Times New Roman;sans-serif"/>
          <w:b w:val="false"/>
          <w:color w:val="000000"/>
          <w:sz w:val="20"/>
        </w:rPr>
        <w:t>A contract becomes a loss contract when its estimated total costs are expected to exceed its total revenue. The Company accrues the full loss expected in the period a loss contract is identified in “Current liabilities — Accruals and provisions” and “Cost of goods and services” on the Company’s condensed consolidated balance sheets and condensed consolidated statements of operations, respectively.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net primarily consists of cubes, batteries and related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ans-serif" w:hAnsi="Times New Roman;sans-serif"/>
          <w:b/>
          <w:i/>
          <w:color w:val="000000"/>
          <w:sz w:val="20"/>
        </w:rPr>
        <w:t>Software Development Cost</w:t>
      </w:r>
      <w:r>
        <w:rPr>
          <w:rFonts w:ascii="Times New Roman;sans-serif" w:hAnsi="Times New Roman;sans-serif"/>
          <w:b/>
          <w:color w:val="000000"/>
          <w:sz w:val="20"/>
        </w:rPr>
        <w: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Internal-use software development costs are capitalized during the application development stage in accordance with ASC 350-40, </w:t>
      </w:r>
      <w:r>
        <w:rPr>
          <w:rFonts w:ascii="Times New Roman;sans-serif" w:hAnsi="Times New Roman;sans-serif"/>
          <w:b w:val="false"/>
          <w:i/>
          <w:color w:val="000000"/>
          <w:sz w:val="20"/>
        </w:rPr>
        <w:t>Internal-Use Software</w:t>
      </w:r>
      <w:r>
        <w:rPr>
          <w:rFonts w:ascii="Times New Roman;sans-serif" w:hAnsi="Times New Roman;sans-serif"/>
          <w:b w:val="false"/>
          <w:color w:val="000000"/>
          <w:sz w:val="20"/>
        </w:rPr>
        <w:t xml:space="preserve">. These capitalized costs are reflected in “Intangible assets, net” on the condensed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March 31, 2025 and March 31, 2024, the Company capitalized $4.0 million and $4.0 million, respectively, of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condensed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March 31, 2025 and March 31, 2024, the Company capitalized $11.7 million and $13.0 million, respectively, of software development costs related to hosting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ans-serif" w:hAnsi="Times New Roman;sans-serif"/>
          <w:b w:val="false"/>
          <w:i/>
          <w:color w:val="000000"/>
          <w:sz w:val="20"/>
        </w:rPr>
        <w:t>Software to be Sold or Leased Externally</w:t>
      </w:r>
      <w:r>
        <w:rPr>
          <w:rFonts w:ascii="Times New Roman;sans-serif" w:hAnsi="Times New Roman;sans-serif"/>
          <w:b w:val="false"/>
          <w:color w:val="000000"/>
          <w:sz w:val="20"/>
        </w:rPr>
        <w:t>. These software development costs are reflected in “Intangible assets, net” on our condensed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six</w:t>
      </w:r>
      <w:r>
        <w:rPr>
          <w:color w:val="000000"/>
        </w:rPr>
        <w:t xml:space="preserve"> </w:t>
      </w:r>
      <w:r>
        <w:rPr>
          <w:rFonts w:ascii="Times New Roman;sans-serif" w:hAnsi="Times New Roman;sans-serif"/>
          <w:b w:val="false"/>
          <w:color w:val="000000"/>
          <w:sz w:val="20"/>
        </w:rPr>
        <w:t>months ended March 31, 2025 and March 31, 2024, the Company capitalized $2.0 million and $1.0 million, respectively, of external-use software to be sold.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accounts payable, and short-term debt obligations such as current portion of borrowings against note receivable - pledged as collateral, approximate fair values due to their short maturities.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foreign currency derivatives is measured on a recurring basis by comparing the contracted forward exchange rate to the current market exchange rate. The foreign currency derivatives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12 – Convertible Senior Notes, Net”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Derivatives and Hedging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Convertible Senior Notes,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interest rate method over the terms of the 2030 Convertible Senior Notes and are included within interest expense on the condensed consolidated statements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12 – Convertible Senior Notes, Net” for further details.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presentation. Accounts payable with related parties of $3.9 million, Accruals with related parties of $5.1 million, and Other current liabilities with related parties of $3.3 million as of March 31, 2024, were reclassified from “Deferred revenue and payables with related parties” to “Accounts payable,” “Accruals and provisions,” and “Other current liabilities,” respectively, on the condensed consolidated balance sheet (which is not presented in this Report). The reclassification had no impact on the “total current liabilities” for any period presented. Corresponding reclassifications were also reflected on the condensed consolidated statement of cash flows for the six months ended March 31, 2024. The reclassifications had no impact on cash provided by operations for the period presented.</w:t>
      </w:r>
    </w:p>
    <w:p>
      <w:pPr>
        <w:pStyle w:val="TextBody"/>
        <w:bidi w:val="0"/>
        <w:spacing w:before="160" w:after="283"/>
        <w:ind w:left="0" w:right="0" w:firstLine="360"/>
        <w:jc w:val="both"/>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Standards Adopted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adopted during the six months ended March 31, 2025.</w:t>
      </w:r>
    </w:p>
    <w:tbl>
      <w:tblPr>
        <w:tblW w:w="10205" w:type="dxa"/>
        <w:jc w:val="left"/>
        <w:tblInd w:w="0" w:type="dxa"/>
        <w:tblLayout w:type="fixed"/>
        <w:tblCellMar>
          <w:top w:w="28" w:type="dxa"/>
          <w:left w:w="28" w:type="dxa"/>
          <w:bottom w:w="28" w:type="dxa"/>
          <w:right w:w="28" w:type="dxa"/>
        </w:tblCellMar>
      </w:tblPr>
      <w:tblGrid>
        <w:gridCol w:w="951"/>
        <w:gridCol w:w="835"/>
        <w:gridCol w:w="847"/>
        <w:gridCol w:w="852"/>
        <w:gridCol w:w="852"/>
        <w:gridCol w:w="860"/>
        <w:gridCol w:w="505"/>
        <w:gridCol w:w="385"/>
        <w:gridCol w:w="387"/>
        <w:gridCol w:w="1316"/>
        <w:gridCol w:w="996"/>
        <w:gridCol w:w="141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2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of Adoption</w:t>
            </w:r>
          </w:p>
        </w:tc>
        <w:tc>
          <w:tcPr>
            <w:tcW w:w="3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6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 (“ASU”) No. 2024-04: Debt—Debt with Conversion and Other Options (Subtopic 470-20): Induced Conversions of Convertible Debt Instruments</w:t>
            </w:r>
          </w:p>
        </w:tc>
        <w:tc>
          <w:tcPr>
            <w:tcW w:w="2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2024-04 clarifies the requirements for determining whether certain settlements of convertible debt instruments should be accounted for as an induced conversion. </w:t>
            </w:r>
          </w:p>
        </w:tc>
        <w:tc>
          <w:tcPr>
            <w:tcW w:w="12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three months ended December 31, 2024.</w:t>
            </w:r>
          </w:p>
        </w:tc>
        <w:tc>
          <w:tcPr>
            <w:tcW w:w="37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standard was early adopted by the Company and applied for the Company’s 2030 Convertible Senior Notes. Refer to “Note 12 – Convertible Senior Notes, Net” for further details. The new standard did not have an impact on the condensed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Standards Not Yet Adopted</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accounting standards not yet adopted:</w:t>
      </w:r>
    </w:p>
    <w:tbl>
      <w:tblPr>
        <w:tblW w:w="10205" w:type="dxa"/>
        <w:jc w:val="left"/>
        <w:tblInd w:w="0" w:type="dxa"/>
        <w:tblLayout w:type="fixed"/>
        <w:tblCellMar>
          <w:top w:w="28" w:type="dxa"/>
          <w:left w:w="28" w:type="dxa"/>
          <w:bottom w:w="28" w:type="dxa"/>
          <w:right w:w="28" w:type="dxa"/>
        </w:tblCellMar>
      </w:tblPr>
      <w:tblGrid>
        <w:gridCol w:w="860"/>
        <w:gridCol w:w="680"/>
        <w:gridCol w:w="690"/>
        <w:gridCol w:w="1489"/>
        <w:gridCol w:w="1460"/>
        <w:gridCol w:w="1473"/>
        <w:gridCol w:w="710"/>
        <w:gridCol w:w="456"/>
        <w:gridCol w:w="458"/>
        <w:gridCol w:w="862"/>
        <w:gridCol w:w="438"/>
        <w:gridCol w:w="629"/>
      </w:tblGrid>
      <w:tr>
        <w:trPr/>
        <w:tc>
          <w:tcPr>
            <w:tcW w:w="8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w:t>
            </w:r>
          </w:p>
        </w:tc>
        <w:tc>
          <w:tcPr>
            <w:tcW w:w="44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Description</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2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No. 2023-07: Segment Reporting (Topic 280): Improvements to Reportable Segment Disclosures</w:t>
            </w:r>
          </w:p>
        </w:tc>
        <w:tc>
          <w:tcPr>
            <w:tcW w:w="4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2023-07 is effective for the Company’s annual report for fiscal year ending September 30, 2025. </w:t>
            </w:r>
          </w:p>
        </w:tc>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evaluating the impact that this guidance will have on its disclosures. The Company only has one reportable segment. </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ASU No. 2023-09: Income Taxes (Topic 740): Improvements to Income Tax Disclosures </w:t>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is effective for the Company’s annual report for fiscal year ending September 30, 2026.</w:t>
            </w:r>
          </w:p>
        </w:tc>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income tax disclosures.</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The Enhancement and Standardization of Climate-Related Disclosures for Investors</w:t>
            </w:r>
          </w:p>
        </w:tc>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Final Rule Release Nos. 33-11275; 34-99678 is effective for the Company’s annual report for fiscal year ending September 30, 2026.</w:t>
            </w:r>
          </w:p>
        </w:tc>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climate-related disclosures.</w:t>
            </w:r>
          </w:p>
        </w:tc>
      </w:tr>
      <w:tr>
        <w:trPr/>
        <w:tc>
          <w:tcPr>
            <w:tcW w:w="22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No. 2024-03: Income Statement—Reporting Comprehensive Income—Expense Disaggregation Disclosures (Subtopic 220-40): Disaggregation of Income Statement Expenses</w:t>
            </w:r>
          </w:p>
        </w:tc>
        <w:tc>
          <w:tcPr>
            <w:tcW w:w="44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16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2024-03 is effective for the Company’s annual report for fiscal year ending September 30, 2028.</w:t>
            </w:r>
          </w:p>
        </w:tc>
        <w:tc>
          <w:tcPr>
            <w:tcW w:w="1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evaluating the impact this guidance will have on its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3.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has two classes of common stock outstanding, Class A and Class B-1. Loss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earnings as if all such loss had been distributed during the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of Class A common stock is computed by dividing net loss attributable to Class A common stockholders by the weighted average number of shares of Class A common stock outstanding during the period. Diluted loss per share of Class A common stock is computed by adjusting the net loss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per share.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potentially dilutive securities that were excluded from the computation of diluted loss per share:</w:t>
      </w:r>
    </w:p>
    <w:tbl>
      <w:tblPr>
        <w:tblW w:w="10205" w:type="dxa"/>
        <w:jc w:val="left"/>
        <w:tblInd w:w="0" w:type="dxa"/>
        <w:tblLayout w:type="fixed"/>
        <w:tblCellMar>
          <w:top w:w="28" w:type="dxa"/>
          <w:left w:w="28" w:type="dxa"/>
          <w:bottom w:w="28" w:type="dxa"/>
          <w:right w:w="28" w:type="dxa"/>
        </w:tblCellMar>
      </w:tblPr>
      <w:tblGrid>
        <w:gridCol w:w="1431"/>
        <w:gridCol w:w="1059"/>
        <w:gridCol w:w="1063"/>
        <w:gridCol w:w="798"/>
        <w:gridCol w:w="294"/>
        <w:gridCol w:w="197"/>
        <w:gridCol w:w="197"/>
        <w:gridCol w:w="197"/>
        <w:gridCol w:w="197"/>
        <w:gridCol w:w="798"/>
        <w:gridCol w:w="294"/>
        <w:gridCol w:w="197"/>
        <w:gridCol w:w="109"/>
        <w:gridCol w:w="109"/>
        <w:gridCol w:w="109"/>
        <w:gridCol w:w="712"/>
        <w:gridCol w:w="369"/>
        <w:gridCol w:w="182"/>
        <w:gridCol w:w="182"/>
        <w:gridCol w:w="182"/>
        <w:gridCol w:w="182"/>
        <w:gridCol w:w="712"/>
        <w:gridCol w:w="369"/>
        <w:gridCol w:w="266"/>
      </w:tblGrid>
      <w:tr>
        <w:trPr/>
        <w:tc>
          <w:tcPr>
            <w:tcW w:w="143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51,499,195 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the conversion option in the 2030 Convertible Senior Notes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18,738,880 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18,738,880 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pre-IPO options issued pursuant to the 2020 Unit Option Plan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2,594,137 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4,607,929 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4,607,929 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phantom units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 (“RSUs”)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2,111,603 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performance share units (“PSUs”)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381,226 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non-qualified stock options (“NQSOs”)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(“Nispera equity”)</w:t>
            </w:r>
          </w:p>
        </w:tc>
        <w:tc>
          <w:tcPr>
            <w:tcW w:w="10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177,067 </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177,067 </w:t>
            </w:r>
          </w:p>
        </w:tc>
        <w:tc>
          <w:tcPr>
            <w:tcW w:w="1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354,134 </w:t>
            </w:r>
          </w:p>
        </w:tc>
        <w:tc>
          <w:tcPr>
            <w:tcW w:w="2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of Class A common stock for the three and six months ended March 31, 2025 and 2024, respectively, have been computed as follows:</w:t>
      </w:r>
    </w:p>
    <w:tbl>
      <w:tblPr>
        <w:tblW w:w="10205" w:type="dxa"/>
        <w:jc w:val="left"/>
        <w:tblInd w:w="0" w:type="dxa"/>
        <w:tblLayout w:type="fixed"/>
        <w:tblCellMar>
          <w:top w:w="28" w:type="dxa"/>
          <w:left w:w="28" w:type="dxa"/>
          <w:bottom w:w="28" w:type="dxa"/>
          <w:right w:w="28" w:type="dxa"/>
        </w:tblCellMar>
      </w:tblPr>
      <w:tblGrid>
        <w:gridCol w:w="862"/>
        <w:gridCol w:w="718"/>
        <w:gridCol w:w="722"/>
        <w:gridCol w:w="211"/>
        <w:gridCol w:w="760"/>
        <w:gridCol w:w="109"/>
        <w:gridCol w:w="109"/>
        <w:gridCol w:w="109"/>
        <w:gridCol w:w="109"/>
        <w:gridCol w:w="379"/>
        <w:gridCol w:w="379"/>
        <w:gridCol w:w="383"/>
        <w:gridCol w:w="109"/>
        <w:gridCol w:w="109"/>
        <w:gridCol w:w="109"/>
        <w:gridCol w:w="227"/>
        <w:gridCol w:w="596"/>
        <w:gridCol w:w="117"/>
        <w:gridCol w:w="109"/>
        <w:gridCol w:w="109"/>
        <w:gridCol w:w="109"/>
        <w:gridCol w:w="211"/>
        <w:gridCol w:w="655"/>
        <w:gridCol w:w="109"/>
        <w:gridCol w:w="109"/>
        <w:gridCol w:w="109"/>
        <w:gridCol w:w="109"/>
        <w:gridCol w:w="379"/>
        <w:gridCol w:w="379"/>
        <w:gridCol w:w="383"/>
        <w:gridCol w:w="109"/>
        <w:gridCol w:w="109"/>
        <w:gridCol w:w="109"/>
        <w:gridCol w:w="226"/>
        <w:gridCol w:w="594"/>
        <w:gridCol w:w="171"/>
      </w:tblGrid>
      <w:tr>
        <w:trPr/>
        <w:tc>
          <w:tcPr>
            <w:tcW w:w="86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per Share</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w:t>
              <w:br/>
              <w:t>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w:t>
              <w:br/>
              <w:t>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126,843,301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5"/>
        <w:gridCol w:w="541"/>
        <w:gridCol w:w="545"/>
        <w:gridCol w:w="211"/>
        <w:gridCol w:w="749"/>
        <w:gridCol w:w="109"/>
        <w:gridCol w:w="109"/>
        <w:gridCol w:w="109"/>
        <w:gridCol w:w="109"/>
        <w:gridCol w:w="593"/>
        <w:gridCol w:w="593"/>
        <w:gridCol w:w="226"/>
        <w:gridCol w:w="109"/>
        <w:gridCol w:w="109"/>
        <w:gridCol w:w="109"/>
        <w:gridCol w:w="220"/>
        <w:gridCol w:w="565"/>
        <w:gridCol w:w="113"/>
        <w:gridCol w:w="109"/>
        <w:gridCol w:w="109"/>
        <w:gridCol w:w="109"/>
        <w:gridCol w:w="211"/>
        <w:gridCol w:w="749"/>
        <w:gridCol w:w="109"/>
        <w:gridCol w:w="109"/>
        <w:gridCol w:w="109"/>
        <w:gridCol w:w="109"/>
        <w:gridCol w:w="593"/>
        <w:gridCol w:w="593"/>
        <w:gridCol w:w="226"/>
        <w:gridCol w:w="109"/>
        <w:gridCol w:w="109"/>
        <w:gridCol w:w="109"/>
        <w:gridCol w:w="219"/>
        <w:gridCol w:w="564"/>
        <w:gridCol w:w="166"/>
      </w:tblGrid>
      <w:tr>
        <w:trPr/>
        <w:tc>
          <w:tcPr>
            <w:tcW w:w="67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per Share</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w:t>
              <w:br/>
              <w:t>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129,731,535 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w:t>
              <w:br/>
              <w:t>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129,731,535 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123,962,636 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4.    Revenue from Contracts with Customers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derived from sales of our energy storage products and solutions. The following table presents the Company’s revenue disaggregated by product or service type:</w:t>
      </w:r>
    </w:p>
    <w:tbl>
      <w:tblPr>
        <w:tblW w:w="10205" w:type="dxa"/>
        <w:jc w:val="left"/>
        <w:tblInd w:w="0" w:type="dxa"/>
        <w:tblLayout w:type="fixed"/>
        <w:tblCellMar>
          <w:top w:w="28" w:type="dxa"/>
          <w:left w:w="28" w:type="dxa"/>
          <w:bottom w:w="28" w:type="dxa"/>
          <w:right w:w="28" w:type="dxa"/>
        </w:tblCellMar>
      </w:tblPr>
      <w:tblGrid>
        <w:gridCol w:w="1499"/>
        <w:gridCol w:w="1303"/>
        <w:gridCol w:w="1310"/>
        <w:gridCol w:w="109"/>
        <w:gridCol w:w="109"/>
        <w:gridCol w:w="109"/>
        <w:gridCol w:w="222"/>
        <w:gridCol w:w="875"/>
        <w:gridCol w:w="115"/>
        <w:gridCol w:w="115"/>
        <w:gridCol w:w="115"/>
        <w:gridCol w:w="115"/>
        <w:gridCol w:w="222"/>
        <w:gridCol w:w="875"/>
        <w:gridCol w:w="115"/>
        <w:gridCol w:w="109"/>
        <w:gridCol w:w="109"/>
        <w:gridCol w:w="109"/>
        <w:gridCol w:w="211"/>
        <w:gridCol w:w="826"/>
        <w:gridCol w:w="109"/>
        <w:gridCol w:w="109"/>
        <w:gridCol w:w="109"/>
        <w:gridCol w:w="109"/>
        <w:gridCol w:w="211"/>
        <w:gridCol w:w="826"/>
        <w:gridCol w:w="160"/>
      </w:tblGrid>
      <w:tr>
        <w:trPr/>
        <w:tc>
          <w:tcPr>
            <w:tcW w:w="14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41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geographical region. Revenues are attributed to regions based on location of customers:</w:t>
      </w:r>
    </w:p>
    <w:tbl>
      <w:tblPr>
        <w:tblW w:w="9931" w:type="dxa"/>
        <w:jc w:val="left"/>
        <w:tblInd w:w="0" w:type="dxa"/>
        <w:tblLayout w:type="fixed"/>
        <w:tblCellMar>
          <w:top w:w="28" w:type="dxa"/>
          <w:left w:w="28" w:type="dxa"/>
          <w:bottom w:w="28" w:type="dxa"/>
          <w:right w:w="28" w:type="dxa"/>
        </w:tblCellMar>
      </w:tblPr>
      <w:tblGrid>
        <w:gridCol w:w="1386"/>
        <w:gridCol w:w="1216"/>
        <w:gridCol w:w="1223"/>
        <w:gridCol w:w="109"/>
        <w:gridCol w:w="109"/>
        <w:gridCol w:w="109"/>
        <w:gridCol w:w="224"/>
        <w:gridCol w:w="880"/>
        <w:gridCol w:w="116"/>
        <w:gridCol w:w="116"/>
        <w:gridCol w:w="116"/>
        <w:gridCol w:w="116"/>
        <w:gridCol w:w="224"/>
        <w:gridCol w:w="880"/>
        <w:gridCol w:w="116"/>
        <w:gridCol w:w="109"/>
        <w:gridCol w:w="109"/>
        <w:gridCol w:w="109"/>
        <w:gridCol w:w="211"/>
        <w:gridCol w:w="826"/>
        <w:gridCol w:w="109"/>
        <w:gridCol w:w="109"/>
        <w:gridCol w:w="109"/>
        <w:gridCol w:w="109"/>
        <w:gridCol w:w="211"/>
        <w:gridCol w:w="82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Customer Concentration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31, 2025 and 2024, the Company’s top two customers, in the aggregate, accounted for approximately 48% and 72% of total revenue, respectively.</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is included on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1655"/>
        <w:gridCol w:w="1424"/>
        <w:gridCol w:w="1433"/>
        <w:gridCol w:w="217"/>
        <w:gridCol w:w="852"/>
        <w:gridCol w:w="112"/>
        <w:gridCol w:w="112"/>
        <w:gridCol w:w="112"/>
        <w:gridCol w:w="112"/>
        <w:gridCol w:w="217"/>
        <w:gridCol w:w="852"/>
        <w:gridCol w:w="112"/>
        <w:gridCol w:w="109"/>
        <w:gridCol w:w="109"/>
        <w:gridCol w:w="109"/>
        <w:gridCol w:w="211"/>
        <w:gridCol w:w="826"/>
        <w:gridCol w:w="109"/>
        <w:gridCol w:w="109"/>
        <w:gridCol w:w="109"/>
        <w:gridCol w:w="109"/>
        <w:gridCol w:w="211"/>
        <w:gridCol w:w="826"/>
        <w:gridCol w:w="158"/>
      </w:tblGrid>
      <w:tr>
        <w:trPr/>
        <w:tc>
          <w:tcPr>
            <w:tcW w:w="165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45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648,090 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398,639 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54"/>
        <w:gridCol w:w="1335"/>
        <w:gridCol w:w="1341"/>
        <w:gridCol w:w="221"/>
        <w:gridCol w:w="756"/>
        <w:gridCol w:w="114"/>
        <w:gridCol w:w="114"/>
        <w:gridCol w:w="114"/>
        <w:gridCol w:w="114"/>
        <w:gridCol w:w="221"/>
        <w:gridCol w:w="866"/>
        <w:gridCol w:w="114"/>
        <w:gridCol w:w="109"/>
        <w:gridCol w:w="109"/>
        <w:gridCol w:w="109"/>
        <w:gridCol w:w="212"/>
        <w:gridCol w:w="725"/>
        <w:gridCol w:w="109"/>
        <w:gridCol w:w="109"/>
        <w:gridCol w:w="109"/>
        <w:gridCol w:w="109"/>
        <w:gridCol w:w="212"/>
        <w:gridCol w:w="831"/>
        <w:gridCol w:w="109"/>
        <w:gridCol w:w="109"/>
        <w:gridCol w:w="109"/>
        <w:gridCol w:w="109"/>
        <w:gridCol w:w="162"/>
      </w:tblGrid>
      <w:tr>
        <w:trPr/>
        <w:tc>
          <w:tcPr>
            <w:tcW w:w="155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beginning of period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end of period</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remaining performance obligations (“backlog”) represent the unrecognized revenue value of its contractual commitments, which include deferred revenue and amounts that will be billed and recognized as revenue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2025, the Company had $4.9 billion of remaining performa</w:t>
      </w:r>
      <w:r>
        <w:rPr>
          <w:rFonts w:ascii="Times New Roman;sans-serif" w:hAnsi="Times New Roman;sans-serif"/>
          <w:b w:val="false"/>
          <w:color w:val="000000"/>
          <w:sz w:val="20"/>
          <w:shd w:fill="FFFFFF" w:val="clear"/>
        </w:rPr>
        <w:t>nce obligations related to contractual commitments, of which, we expect to recognize in revenue approxim</w:t>
      </w:r>
      <w:r>
        <w:rPr>
          <w:rFonts w:ascii="Times New Roman;sans-serif" w:hAnsi="Times New Roman;sans-serif"/>
          <w:b w:val="false"/>
          <w:color w:val="000000"/>
          <w:sz w:val="20"/>
        </w:rPr>
        <w:t>ately 51% in the next 12 months, with the remainder recognized in revenue in periods thereafter.</w:t>
      </w:r>
    </w:p>
    <w:p>
      <w:pPr>
        <w:pStyle w:val="TextBody"/>
        <w:bidi w:val="0"/>
        <w:spacing w:before="240" w:after="283"/>
        <w:jc w:val="both"/>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659"/>
        <w:gridCol w:w="561"/>
        <w:gridCol w:w="564"/>
        <w:gridCol w:w="211"/>
        <w:gridCol w:w="826"/>
        <w:gridCol w:w="109"/>
        <w:gridCol w:w="109"/>
        <w:gridCol w:w="109"/>
        <w:gridCol w:w="109"/>
        <w:gridCol w:w="211"/>
        <w:gridCol w:w="757"/>
        <w:gridCol w:w="109"/>
        <w:gridCol w:w="109"/>
        <w:gridCol w:w="109"/>
        <w:gridCol w:w="109"/>
        <w:gridCol w:w="211"/>
        <w:gridCol w:w="826"/>
        <w:gridCol w:w="109"/>
        <w:gridCol w:w="109"/>
        <w:gridCol w:w="109"/>
        <w:gridCol w:w="109"/>
        <w:gridCol w:w="211"/>
        <w:gridCol w:w="826"/>
        <w:gridCol w:w="109"/>
        <w:gridCol w:w="109"/>
        <w:gridCol w:w="109"/>
        <w:gridCol w:w="109"/>
        <w:gridCol w:w="211"/>
        <w:gridCol w:w="757"/>
        <w:gridCol w:w="109"/>
        <w:gridCol w:w="109"/>
        <w:gridCol w:w="109"/>
        <w:gridCol w:w="109"/>
        <w:gridCol w:w="211"/>
        <w:gridCol w:w="826"/>
        <w:gridCol w:w="157"/>
      </w:tblGrid>
      <w:tr>
        <w:trPr/>
        <w:tc>
          <w:tcPr>
            <w:tcW w:w="6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0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17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Cubes,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 xml:space="preserve">6.    Other Current Assets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amounts:</w:t>
      </w:r>
    </w:p>
    <w:tbl>
      <w:tblPr>
        <w:tblW w:w="8561" w:type="dxa"/>
        <w:jc w:val="left"/>
        <w:tblInd w:w="0" w:type="dxa"/>
        <w:tblLayout w:type="fixed"/>
        <w:tblCellMar>
          <w:top w:w="28" w:type="dxa"/>
          <w:left w:w="28" w:type="dxa"/>
          <w:bottom w:w="28" w:type="dxa"/>
          <w:right w:w="28" w:type="dxa"/>
        </w:tblCellMar>
      </w:tblPr>
      <w:tblGrid>
        <w:gridCol w:w="1805"/>
        <w:gridCol w:w="1583"/>
        <w:gridCol w:w="1592"/>
        <w:gridCol w:w="292"/>
        <w:gridCol w:w="998"/>
        <w:gridCol w:w="150"/>
        <w:gridCol w:w="109"/>
        <w:gridCol w:w="109"/>
        <w:gridCol w:w="109"/>
        <w:gridCol w:w="352"/>
        <w:gridCol w:w="1205"/>
        <w:gridCol w:w="257"/>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recoverable warranty costs from suppliers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7.    Intangible Assets,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622"/>
        <w:gridCol w:w="458"/>
        <w:gridCol w:w="461"/>
        <w:gridCol w:w="109"/>
        <w:gridCol w:w="109"/>
        <w:gridCol w:w="109"/>
        <w:gridCol w:w="211"/>
        <w:gridCol w:w="721"/>
        <w:gridCol w:w="109"/>
        <w:gridCol w:w="109"/>
        <w:gridCol w:w="109"/>
        <w:gridCol w:w="109"/>
        <w:gridCol w:w="248"/>
        <w:gridCol w:w="868"/>
        <w:gridCol w:w="130"/>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11"/>
        <w:gridCol w:w="721"/>
        <w:gridCol w:w="155"/>
      </w:tblGrid>
      <w:tr>
        <w:trPr/>
        <w:tc>
          <w:tcPr>
            <w:tcW w:w="6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15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their estimated useful lives on a straight-line basis. Total amortization expense for the three months ended March 31, 2025 and 2024 was $2.9 million and $1.7 million, respectively. The amortization expense for the three months ended March 31, 2025 and 2024 included $1.3 million and $0.6 million for capitalized software, respectively. The amortization expense for the six months ended March 31, 2025 and 2024 was $5.2 million and $3.9 million, respectively. The amortization expense for the six months ended March 31, 2025 and 2024 included $2.6 million and $1.0 million for capitalized software,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8.    Goodwill</w:t>
      </w:r>
    </w:p>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was recognized for the six months ended March 31, 2025 or 2024. The following table presents the goodwill activity for the six months ended March 31, 2025 and 2024:</w:t>
      </w:r>
    </w:p>
    <w:tbl>
      <w:tblPr>
        <w:tblW w:w="5379" w:type="dxa"/>
        <w:jc w:val="left"/>
        <w:tblInd w:w="0" w:type="dxa"/>
        <w:tblLayout w:type="fixed"/>
        <w:tblCellMar>
          <w:top w:w="28" w:type="dxa"/>
          <w:left w:w="28" w:type="dxa"/>
          <w:bottom w:w="28" w:type="dxa"/>
          <w:right w:w="28" w:type="dxa"/>
        </w:tblCellMar>
      </w:tblPr>
      <w:tblGrid>
        <w:gridCol w:w="1060"/>
        <w:gridCol w:w="930"/>
        <w:gridCol w:w="935"/>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right-of-use assets and lease liabilities primarily relate to offices and warehouses. The Company’s leases generally have remaining lease terms of one year to ten years.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assets and liabilities and other information for our operating leases are as follows:</w:t>
      </w:r>
    </w:p>
    <w:tbl>
      <w:tblPr>
        <w:tblW w:w="9971" w:type="dxa"/>
        <w:jc w:val="left"/>
        <w:tblInd w:w="0" w:type="dxa"/>
        <w:tblLayout w:type="fixed"/>
        <w:tblCellMar>
          <w:top w:w="28" w:type="dxa"/>
          <w:left w:w="28" w:type="dxa"/>
          <w:bottom w:w="28" w:type="dxa"/>
          <w:right w:w="28" w:type="dxa"/>
        </w:tblCellMar>
      </w:tblPr>
      <w:tblGrid>
        <w:gridCol w:w="1457"/>
        <w:gridCol w:w="1278"/>
        <w:gridCol w:w="1285"/>
        <w:gridCol w:w="789"/>
        <w:gridCol w:w="789"/>
        <w:gridCol w:w="792"/>
        <w:gridCol w:w="292"/>
        <w:gridCol w:w="998"/>
        <w:gridCol w:w="150"/>
        <w:gridCol w:w="109"/>
        <w:gridCol w:w="109"/>
        <w:gridCol w:w="109"/>
        <w:gridCol w:w="390"/>
        <w:gridCol w:w="1138"/>
        <w:gridCol w:w="286"/>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Caption</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leases</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3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10.    Accruals and Provisions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mainly represent milestones not yet invoiced for inventory such as, but not limited to, batteries, cubes,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6956" w:type="dxa"/>
        <w:jc w:val="left"/>
        <w:tblInd w:w="0" w:type="dxa"/>
        <w:tblLayout w:type="fixed"/>
        <w:tblCellMar>
          <w:top w:w="28" w:type="dxa"/>
          <w:left w:w="28" w:type="dxa"/>
          <w:bottom w:w="28" w:type="dxa"/>
          <w:right w:w="28" w:type="dxa"/>
        </w:tblCellMar>
      </w:tblPr>
      <w:tblGrid>
        <w:gridCol w:w="1223"/>
        <w:gridCol w:w="1073"/>
        <w:gridCol w:w="1079"/>
        <w:gridCol w:w="265"/>
        <w:gridCol w:w="1038"/>
        <w:gridCol w:w="137"/>
        <w:gridCol w:w="109"/>
        <w:gridCol w:w="109"/>
        <w:gridCol w:w="109"/>
        <w:gridCol w:w="321"/>
        <w:gridCol w:w="1259"/>
        <w:gridCol w:w="23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with related parties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software development costs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expected project losses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 accrual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338,311 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2021, the Company entered into a credit agreement for a revolving credit facility (the “Revolver”), by and among Fluence Energy, LLC, as borrower, Fluence Energy, Inc., as parent guarantor, the subsidiary guarantors party thereto, the lenders party thereto, and JP Morgan Chase Bank, N.A., as administrative agent and collateral agent (as amended, the “Revolving Credit Agreement”). The Revolver was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aggregate amount of commitments was $200.0 million. The Revolver was originally scheduled to mature on November 1, 2025. The Revolving Credit Agreement was terminated effective November 22, 2023, in conjunction with the entry into the ABL Credit Agreement (as further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Agreement provided that borrowings under the Revolver bore interest at (i) with respect to loans comprising a Term Benchmark Borrowing, the Adjusted Term SOFR Rate, the Adjusted EURIBOR Rate, or the AUD Rate, as applicable, plus 3.0%, (ii) with respect to loans comprising an ABR Borrowing, the Alternate Base Rate plus 2.0%, or (iii) with respect to each RFR Loan, the applicable Daily Simple RFR plus 3.1193%, in each instance subject to customary benchmark replacement provisions. Fluence Energy, LLC was required to pay to the lenders a commitment fee of 0.55% per annum on the average daily unused portion of the revolving commitments through maturity. The Revolver also provided for up to $200.0 million in letter of credit issuances, which required customary issuance and administration fees, as well as a fronting fee payable to each issuer thereof and a letter of credit participation fee of 2.75% per annum payable to the lenders. Capitalized terms used in this paragraph that are not otherwise defined were defined in the Revolving Credit Agreement.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as administrative agent, which was amended by the Master Assignment and Assumption and Issuing Bank Joinder, effective December 15, 2023, Amendment No. 1, dated April 8, 2024,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ans-serif" w:hAnsi="Times New Roman;sans-serif"/>
          <w:b w:val="false"/>
          <w:color w:val="000000"/>
          <w:sz w:val="20"/>
        </w:rPr>
        <w:t xml:space="preserve">2027.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 availability under the ABL Facility was determined by a borrowing base calculation based on specified percentages of U.S. eligible inventory, net orderly liquidation value of most recent inventory appraisal, and U.S. eligible in-transit inventory, as well as potential borrowing base qualified cash, less the aggregate amount of any reserves. Borrowing base qualified cash was defined as the lesser of (a) the aggregate amount of cash (other than restricted cash) held in a specific borrowing base qualified cash account and (b) $100.0 million.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After g</w:t>
      </w:r>
      <w:r>
        <w:rPr>
          <w:rFonts w:ascii="Times New Roman;sans-serif" w:hAnsi="Times New Roman;sans-serif"/>
          <w:b w:val="false"/>
          <w:color w:val="000000"/>
          <w:sz w:val="20"/>
        </w:rPr>
        <w:t>iving effect to Amendment No. 2, unless a Covenant Relief Period (as defined below) had occurred and was continuing, t</w:t>
      </w:r>
      <w:r>
        <w:rPr>
          <w:rFonts w:ascii="Times New Roman;sans-serif" w:hAnsi="Times New Roman;sans-serif"/>
          <w:b w:val="false"/>
          <w:color w:val="000000"/>
          <w:sz w:val="20"/>
          <w:shd w:fill="FFFFFF" w:val="clear"/>
        </w:rPr>
        <w:t>he ABL Credit Agreement provided for a full cash dominion period (a) if an event of default was occurring or (b) beginning on the date on which Excess Availability (as defined below) was less than the greater of (i) 12.5% of the Line Cap (as defined below) and (ii) if the borrowing base then in effect was (A) less than $200.0 million, $25.0 million and (B) greater than or equal to $200.0 million, $50.0 million. Excess Availability was defined as (a) the lesser of (i) the total commitments of ABL Lenders and (ii) the borrowing base, minus (b) total outstanding revolving extensions of credit. Line Cap was defined as the lesser of the total commitments of ABL Lenders and the borrowing base. A Covenant Relief Period was a period during which (a) no default or event of default had occurred and was continuing and (b) either of the following existed: (i) the aggregate revolving credit exposure of the ABL Lenders was not greater than $0 or (ii) each of (A) the amount of aggregate borrowings was not greater than $0; (B) the non-cash collateralized LC exposure (as defined under the ABL Credit Agreement) was not greater than $15.0 million, and (C) the borrowing base exceeded the sum of all ABL Lenders’ letter of credit exposure.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under the ABL Facility was required to not be less than the greater of (i) 20% of the Line Cap and (ii) (A) if the borrowing base was less than $200.0 million, $50.0 million and (B) if the borrowing base was greater than or equal to $200.0 million, $64.0 million. In addition, unless we were in a Covenant Relief Period, the Company could not permit Excess Availability to be less than the greater of (i) $15.0 million and (ii) 10% of the Line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The ABL Credit Agreement set forth that (i) loans comprising each ABR Borrowing bore interest at the Alternate Base Rate plus an additional margin ranging from 1.00% to 1.50%, (ii) loans comprising each Canadian Prime Loan Borrowing bore interest at the Canadian Prime Rate plus an additional margin ranging from 1.00% to 1.50%, and (iii) the loans comprising each Term Benchmark Borrowing bore interest at the Adjusted Term SOFR Rate, the Adjusted EURIBOR Rate or Adjusted Term CORRA, as applicable, plus an additional margin ranging from 2.00% to 2.50%, in each instance subject to customary benchmark replacement provisions. Fluence Energy, LLC was required to pay to the ABL Lenders a commitment fee on the average daily unused portion of the commitments through maturity, which accrued at the rate of (a) until the last day of the first full calendar quarter following the closing of the ABL Facility, 0.450% per annum, and (b) thereafter, 0.450% per annum if average revolving loan utilization was less than or equal to 50% and 0.375% per annum if average revolving loan utilization was greater than 50%. The ABL Facility also provided for a letter of credit sublimit in the amount of $200.0 million, if certain conditions were met. Each letter of credit issuance was conditioned upon, among other conditions,</w:t>
      </w:r>
      <w:r>
        <w:rPr>
          <w:color w:val="000000"/>
          <w:shd w:fill="FFFFFF" w:val="clear"/>
        </w:rPr>
        <w:t xml:space="preserve"> </w:t>
      </w:r>
      <w:r>
        <w:rPr>
          <w:rFonts w:ascii="Times New Roman;sans-serif" w:hAnsi="Times New Roman;sans-serif"/>
          <w:b w:val="false"/>
          <w:color w:val="000000"/>
          <w:sz w:val="20"/>
          <w:shd w:fill="FFFFFF" w:val="clear"/>
        </w:rPr>
        <w:t xml:space="preserve">the payment of certain customary issuance and administration fees, as well as payment of a fronting fee to each issuer thereof and payment of a letter of credit participation fee payable to the ABL Lenders. </w:t>
      </w:r>
      <w:r>
        <w:rPr>
          <w:rFonts w:ascii="Times New Roman;sans-serif" w:hAnsi="Times New Roman;sans-serif"/>
          <w:b w:val="false"/>
          <w:color w:val="000000"/>
          <w:sz w:val="20"/>
        </w:rPr>
        <w:t>Capitalized terms used in this paragraph that are not otherwise defined are defined in the ABL Credit Agreement.</w:t>
      </w:r>
      <w:r>
        <w:rPr>
          <w:color w:val="000000"/>
          <w:shd w:fill="FFFFFF" w:val="clear"/>
        </w:rPr>
        <w:t xml:space="preserve">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The ABL Credit Agreement contained customary covenants for this type of financing, including, but not limited to, covenants that restricted our ability to incur indebtedness; incur liens; sell, transfer, or dispose of property and assets; make investments or acquisitions; pay dividends, make distributions or other restricted payments; and engage in affiliate transactions. The ABL Credit Agreement limited our ability to make certain payments, including dividends and distributions on Fluence Energy, LLC’s equity, the Company’s equity and other restricted payments. Fluence Energy, LLC and its subsidiaries were limited in their ability to pay</w:t>
      </w:r>
      <w:r>
        <w:rPr>
          <w:color w:val="000000"/>
        </w:rPr>
        <w:t xml:space="preserve"> </w:t>
      </w:r>
      <w:r>
        <w:rPr>
          <w:rFonts w:ascii="Times New Roman;sans-serif" w:hAnsi="Times New Roman;sans-serif"/>
          <w:b w:val="false"/>
          <w:color w:val="000000"/>
          <w:sz w:val="20"/>
        </w:rPr>
        <w:t>cash dividends to, lend to, or make other investments in Fluence Energy, Inc., subject to certain exceptions. If certain payment conditions under the ABL Credit Agreement were satisfied, then additional specified transactions could have been made by the Company. Such covenants were tested on a quarterly basis and upon the occurrence of other certain restricted payments, the incurrence of indebtedness, certain dispositions, and other specified transactions. As of the time of our entry into Amendment No. 3 to the ABL Credit Agreement (as discussed below), there were no outstanding borrowings under the ABL Facility or letters of credit outstanding.</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2024 Revolver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ans-serif" w:hAnsi="Times New Roman;sans-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ans-serif" w:hAnsi="Times New Roman;sans-serif"/>
          <w:b w:val="false"/>
          <w:color w:val="000000"/>
          <w:sz w:val="20"/>
        </w:rPr>
        <w:t>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ans-serif" w:hAnsi="Times New Roman;sans-serif"/>
          <w:b w:val="false"/>
          <w:color w:val="000000"/>
          <w:sz w:val="20"/>
          <w:shd w:fill="FFFFFF" w:val="clear"/>
        </w:rPr>
        <w:t>uch covenants are tested on a quarterly basis and upon the occurrence of other certain restr</w:t>
      </w:r>
      <w:r>
        <w:rPr>
          <w:rFonts w:ascii="Times New Roman;sans-serif" w:hAnsi="Times New Roman;sans-serif"/>
          <w:b w:val="false"/>
          <w:color w:val="000000"/>
          <w:sz w:val="20"/>
        </w:rPr>
        <w:t>icted payments, the incurrence of indebtedness, certain dispositions, and other specified transactions. As of March 31, 2025, we were in compliance with all such covenants.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ans-serif" w:hAnsi="Times New Roman;sans-serif"/>
          <w:b w:val="false"/>
          <w:color w:val="000000"/>
          <w:sz w:val="20"/>
          <w:shd w:fill="FFFFFF" w:val="clear"/>
        </w:rPr>
        <w:t>loans outstanding to be due and payable in whole or in part, and exercise other rights and remedies. The maturity date and the date of termination of lending commitments under the 2024 Credit Agreement both remain unchanged at November 22, 2027. As of March 31, 2025, there ar</w:t>
      </w:r>
      <w:r>
        <w:rPr>
          <w:rFonts w:ascii="Times New Roman;sans-serif" w:hAnsi="Times New Roman;sans-serif"/>
          <w:b w:val="false"/>
          <w:color w:val="000000"/>
          <w:sz w:val="20"/>
        </w:rPr>
        <w:t>e no cash</w:t>
      </w:r>
      <w:r>
        <w:rPr>
          <w:color w:val="000000"/>
          <w:shd w:fill="FFFFFF" w:val="clear"/>
        </w:rPr>
        <w:t xml:space="preserve"> </w:t>
      </w:r>
      <w:r>
        <w:rPr>
          <w:rFonts w:ascii="Times New Roman;sans-serif" w:hAnsi="Times New Roman;sans-serif"/>
          <w:b w:val="false"/>
          <w:color w:val="000000"/>
          <w:sz w:val="20"/>
          <w:shd w:fill="FFFFFF" w:val="clear"/>
        </w:rPr>
        <w:t>borrowings under the 2024 Revolver, and the</w:t>
      </w:r>
      <w:r>
        <w:rPr>
          <w:rFonts w:ascii="Times New Roman;sans-serif" w:hAnsi="Times New Roman;sans-serif"/>
          <w:b w:val="false"/>
          <w:color w:val="000000"/>
          <w:sz w:val="20"/>
        </w:rPr>
        <w:t>re are $67.5 million letters of credit outstanding under the 2024 Revolver, with remaining availability of $432.5 million, net of letters of credit issued.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 transferred $24.3 million in customer receivables to Standard Chartered Bank (“SCB”) in the Philippines for proceeds of $21.1 million. The receivables all related to the Company’s largest customer in that country. The underlying receivables transferred were previously aggregated into a long term note, with interest, and a maturity date of September 30, 2024. In April 2023, the Company aggregated into an additional long term note and transferred an additional $30.9 million in receivables with the same customer to SCB for proceeds of $27.0 million, upon substantially similar terms as the December 2022 transfer and with a maturity date of December 27, 2024. These transactions were treated as secured borrowings as the Company did not transfer the entire note receivables due from the customer to SCB. The Company continued to receive quarterly interest income from the customer, while SCB was responsible for collecting payments on the principal balances which represented the initial receivable balances from the customer. The Company had no other continuing involvement or exposure related to the underlying receivables. On September 16, 2024 and December 27, 2024, $24.3 and $30.9 million of receivables, respectively, were paid in full, resulting in release of the corresponding notes and borrowings. For the six months ended March 31, 2025, the Company recorded net interest income of $0.0 million, which represents the aggregate of $0.5 million in interest income and $0.5 million in interest expense recorded in “Interest income, net.” For the six months ended March 31, 2024, the Company recorded net interest income of $0.2 million, which represents the aggregate of $2.3 million in interest income and $2.1 million in interest expense recorded in “Interest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12.    Convertible Senior Notes,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2030 Convertible Senior Notes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during any calendar quarter (and only during such calendar quarter) commencing after the calendar quarter ending on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    upon the occurrence of specified corporate events, as set forth in the Indenture; or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(4)    if the Company calls any or all the 2030 Convertible Senior Notes for redemption, but only with respect to such 2030 Convertible Senior Notes called for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March 15, 2030, holders may convert their 2030 Convertible Senior Notes at any time until the close of business on the second scheduled trading day immediately before June 15, 2030.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 accrued and unpaid interest to, but excluding, the “fundamental change repurchase date” (as defined in the Indenture).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carrying value and fair value of the 2030 Convertible Senior Notes as of March 31, 2025:</w:t>
      </w:r>
    </w:p>
    <w:tbl>
      <w:tblPr>
        <w:tblW w:w="10205" w:type="dxa"/>
        <w:jc w:val="left"/>
        <w:tblInd w:w="0" w:type="dxa"/>
        <w:tblLayout w:type="fixed"/>
        <w:tblCellMar>
          <w:top w:w="28" w:type="dxa"/>
          <w:left w:w="28" w:type="dxa"/>
          <w:bottom w:w="28" w:type="dxa"/>
          <w:right w:w="28" w:type="dxa"/>
        </w:tblCellMar>
      </w:tblPr>
      <w:tblGrid>
        <w:gridCol w:w="804"/>
        <w:gridCol w:w="703"/>
        <w:gridCol w:w="690"/>
        <w:gridCol w:w="273"/>
        <w:gridCol w:w="1070"/>
        <w:gridCol w:w="141"/>
        <w:gridCol w:w="482"/>
        <w:gridCol w:w="1690"/>
        <w:gridCol w:w="253"/>
        <w:gridCol w:w="316"/>
        <w:gridCol w:w="1240"/>
        <w:gridCol w:w="163"/>
        <w:gridCol w:w="109"/>
        <w:gridCol w:w="109"/>
        <w:gridCol w:w="109"/>
        <w:gridCol w:w="211"/>
        <w:gridCol w:w="826"/>
        <w:gridCol w:w="109"/>
        <w:gridCol w:w="264"/>
        <w:gridCol w:w="264"/>
        <w:gridCol w:w="379"/>
      </w:tblGrid>
      <w:tr>
        <w:trPr/>
        <w:tc>
          <w:tcPr>
            <w:tcW w:w="80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Amount</w:t>
            </w:r>
          </w:p>
        </w:tc>
        <w:tc>
          <w:tcPr>
            <w:tcW w:w="2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17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Leveling</w:t>
            </w:r>
          </w:p>
        </w:tc>
      </w:tr>
      <w:tr>
        <w:trPr/>
        <w:tc>
          <w:tcPr>
            <w:tcW w:w="2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Convertible Senior Notes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was determined based on the quoted prices of the 2030 Convertible Senior Notes in an inactive market on the last traded day of the quarter ended March 31, 2025 and has been classified as Level 2 in the fair value hierarchy.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interest expense recognized related to the 2030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9378"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91"/>
        <w:gridCol w:w="850"/>
        <w:gridCol w:w="150"/>
        <w:gridCol w:w="150"/>
        <w:gridCol w:w="150"/>
        <w:gridCol w:w="150"/>
        <w:gridCol w:w="291"/>
        <w:gridCol w:w="560"/>
        <w:gridCol w:w="150"/>
        <w:gridCol w:w="109"/>
        <w:gridCol w:w="109"/>
        <w:gridCol w:w="109"/>
        <w:gridCol w:w="265"/>
        <w:gridCol w:w="776"/>
        <w:gridCol w:w="137"/>
        <w:gridCol w:w="137"/>
        <w:gridCol w:w="137"/>
        <w:gridCol w:w="137"/>
        <w:gridCol w:w="265"/>
        <w:gridCol w:w="511"/>
        <w:gridCol w:w="137"/>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Capped Call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2030 Convertible Senior Notes, the Company has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are generally expected to offset the potential dilution to the Company’s Class A common stock upon any conversion of the 2030 Convertible Senior Notes and/or offset any cash payments the Company is required to make in excess of the principal amount of any converted 2030 Convertible Senior Notes, with such reduction and/or offset subject to a cap.</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benefit was $2.0 million</w:t>
      </w:r>
      <w:r>
        <w:rPr>
          <w:color w:val="000000"/>
        </w:rPr>
        <w:t xml:space="preserve"> </w:t>
      </w:r>
      <w:r>
        <w:rPr>
          <w:rFonts w:ascii="Times New Roman;sans-serif" w:hAnsi="Times New Roman;sans-serif"/>
          <w:b w:val="false"/>
          <w:color w:val="000000"/>
          <w:sz w:val="20"/>
        </w:rPr>
        <w:t>and $1.7 million for the three months ended March 31, 2025 and 2024, respectively. The effective tax rate for the three months ended March 31, 2025 and 2024 was 4.5% and 11.5%, respectively. For the three months ended March 31, 2025, the Company’s effective tax rate differs from the U.S. statutory tax rate of 21% primarily due to valuation allowances and the U.S. taxation of foreign earnings.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Income tax benefit was $3.7 million</w:t>
      </w:r>
      <w:r>
        <w:rPr>
          <w:color w:val="000000"/>
        </w:rPr>
        <w:t xml:space="preserve"> </w:t>
      </w:r>
      <w:r>
        <w:rPr>
          <w:rFonts w:ascii="Times New Roman;sans-serif" w:hAnsi="Times New Roman;sans-serif"/>
          <w:b w:val="false"/>
          <w:color w:val="000000"/>
          <w:sz w:val="20"/>
        </w:rPr>
        <w:t>and $2.9 million for the six months ended March 31, 2025 and 2024, respectively. The effective tax rate for the six months ended March 31, 2025 and 2024 was 3.6% and 7.0%, respectively. For the six months ended March 31, 2025, the Company’s effective tax rate differs from the U.S. statutory tax rate of 21% primarily due to valuation allowances and the U.S. taxation of foreign earnings.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September 30, 2024,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realizability of its deferred tax assets on a quarterly basis and establishes valuation allowances when it is more-likely-than-not that all or a portion of a deferred tax asset may not be realized. As of March 31, 2025 and September 30, 2024,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is released in a future period, a Tax Receivable Agreement liability will be recorded based on the amounts probable and reasonably estimable in accordance with ASC 450.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Development’s (“OECD”) Pillar II Initiative introduced a 15% global minimum tax for certain multinational groups exceeding minimum annual global revenue thresholds. Some countries in which the Company operates have enacted legislation adopting the minimum tax effective January 1, 2024. To date, the Company has determined that immaterial liability will be incurred as a result of the Pillar II provisions. Certain tax jurisdictions either did not have Pillar II enacted for the current fiscal year or the Company has satisfied one or more of the safe harbor tests to prevent any minimum tax under Pillar II. The Company will continue to monitor its jurisdictions for any changes and include appropriate minimum tax throughout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2025, the Company had outstanding bank guarantees, parent company guara</w:t>
      </w:r>
      <w:r>
        <w:rPr>
          <w:rFonts w:ascii="Times New Roman;sans-serif" w:hAnsi="Times New Roman;sans-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issued as payment security to certain vendors. </w:t>
      </w:r>
      <w:r>
        <w:rPr>
          <w:rFonts w:ascii="Times New Roman;sans-serif" w:hAnsi="Times New Roman;sans-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ans-serif" w:hAnsi="Times New Roman;sans-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contingent contractual obligations as of March 31, 2025.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26"/>
        <w:gridCol w:w="990"/>
        <w:gridCol w:w="996"/>
        <w:gridCol w:w="382"/>
        <w:gridCol w:w="382"/>
        <w:gridCol w:w="384"/>
        <w:gridCol w:w="593"/>
        <w:gridCol w:w="593"/>
        <w:gridCol w:w="594"/>
        <w:gridCol w:w="1216"/>
        <w:gridCol w:w="1216"/>
        <w:gridCol w:w="1733"/>
      </w:tblGrid>
      <w:tr>
        <w:trPr/>
        <w:tc>
          <w:tcPr>
            <w:tcW w:w="112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 millions)</w:t>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Agreements</w:t>
            </w:r>
          </w:p>
        </w:tc>
        <w:tc>
          <w:tcPr>
            <w:tcW w:w="4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Maximum Exposure Range for Each Agreement </w:t>
            </w:r>
            <w:r>
              <w:rPr>
                <w:rFonts w:ascii="Times New Roman;sans-serif" w:hAnsi="Times New Roman;sans-serif"/>
                <w:b w:val="false"/>
                <w:i/>
                <w:color w:val="000000"/>
                <w:sz w:val="20"/>
              </w:rPr>
              <w:t>(in $ millions)</w:t>
            </w:r>
          </w:p>
        </w:tc>
      </w:tr>
      <w:tr>
        <w:trPr/>
        <w:tc>
          <w:tcPr>
            <w:tcW w:w="3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Guarantees and commitments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$2,885</w:t>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$0.1 - 379.3</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under bilateral credit facilities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0 - 3</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Letters of credit under 2024 Revolver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780"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16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0 - 10.1</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0 - 78.7</w:t>
            </w:r>
          </w:p>
        </w:tc>
      </w:tr>
      <w:tr>
        <w:trPr/>
        <w:tc>
          <w:tcPr>
            <w:tcW w:w="31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$3,414</w:t>
            </w:r>
          </w:p>
        </w:tc>
        <w:tc>
          <w:tcPr>
            <w:tcW w:w="17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416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commitments for minimum volumes or spend under master supply agreements with our vendors. The majority of the commitments are for purchases of battery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modules, and liquidated damages, if the minimum purchase volumes or spend are not met, as of March 31, 2025</w:t>
      </w:r>
      <w:r>
        <w:rPr>
          <w:rFonts w:ascii="Times New Roman;sans-serif" w:hAnsi="Times New Roman;sans-serif"/>
          <w:b w:val="false"/>
          <w:color w:val="000000"/>
          <w:sz w:val="24"/>
        </w:rPr>
        <w:t>:</w:t>
      </w:r>
    </w:p>
    <w:tbl>
      <w:tblPr>
        <w:tblW w:w="5714" w:type="dxa"/>
        <w:jc w:val="left"/>
        <w:tblInd w:w="0" w:type="dxa"/>
        <w:tblLayout w:type="fixed"/>
        <w:tblCellMar>
          <w:top w:w="28" w:type="dxa"/>
          <w:left w:w="28" w:type="dxa"/>
          <w:bottom w:w="28" w:type="dxa"/>
          <w:right w:w="28" w:type="dxa"/>
        </w:tblCellMar>
      </w:tblPr>
      <w:tblGrid>
        <w:gridCol w:w="614"/>
        <w:gridCol w:w="539"/>
        <w:gridCol w:w="542"/>
        <w:gridCol w:w="344"/>
        <w:gridCol w:w="1593"/>
        <w:gridCol w:w="177"/>
        <w:gridCol w:w="370"/>
        <w:gridCol w:w="1265"/>
        <w:gridCol w:w="27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Commitments</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3,790,796 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The Company makes advance payments as capacity guarantees pursuant to purchase agreements with our suppliers.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$70.0 million</w:t>
      </w:r>
      <w:r>
        <w:rPr>
          <w:color w:val="000000"/>
          <w:shd w:fill="FFFFFF" w:val="clear"/>
        </w:rPr>
        <w:t xml:space="preserve"> </w:t>
      </w:r>
      <w:r>
        <w:rPr>
          <w:rFonts w:ascii="Times New Roman;sans-serif" w:hAnsi="Times New Roman;sans-serif"/>
          <w:b w:val="false"/>
          <w:color w:val="000000"/>
          <w:sz w:val="20"/>
          <w:shd w:fill="FFFFFF" w:val="clear"/>
        </w:rPr>
        <w:t>is recorded within “Advances to suppliers”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Product Performance 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Warranties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both assurance and service-type warranties for various lengths of time. The Company recognizes revenue for service-type warranties, which are referred to as extended warranties, using a straight-line approach over the service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limited warranty related to the successful operation of battery-based energy storage solutions, apart from the service-type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solutions. Furthermore, we accrue the estimated liability cost of specific reserves or recalls when they are probable and estimable if identified. Warranty expense is recorded as a component of “Costs of goods and services” in the Company’s condensed consolidated statements of operations.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The Company records a corresponding asset for a portion of the warranty cost to be covered by the supplier warranty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September 30, 2024, the Company accrued the below estimated warranty liabilities, which the table reflects six months activity and twelve months activity, respectively:</w:t>
      </w:r>
    </w:p>
    <w:tbl>
      <w:tblPr>
        <w:tblW w:w="10205" w:type="dxa"/>
        <w:jc w:val="left"/>
        <w:tblInd w:w="0" w:type="dxa"/>
        <w:tblLayout w:type="fixed"/>
        <w:tblCellMar>
          <w:top w:w="28" w:type="dxa"/>
          <w:left w:w="28" w:type="dxa"/>
          <w:bottom w:w="28" w:type="dxa"/>
          <w:right w:w="28" w:type="dxa"/>
        </w:tblCellMar>
      </w:tblPr>
      <w:tblGrid>
        <w:gridCol w:w="2466"/>
        <w:gridCol w:w="2150"/>
        <w:gridCol w:w="2159"/>
        <w:gridCol w:w="281"/>
        <w:gridCol w:w="960"/>
        <w:gridCol w:w="144"/>
        <w:gridCol w:w="109"/>
        <w:gridCol w:w="109"/>
        <w:gridCol w:w="109"/>
        <w:gridCol w:w="332"/>
        <w:gridCol w:w="1139"/>
        <w:gridCol w:w="247"/>
      </w:tblGrid>
      <w:tr>
        <w:trPr/>
        <w:tc>
          <w:tcPr>
            <w:tcW w:w="246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6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6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beginning</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and assumed in period</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liability for warranty expirations, costs incurred, and foreign exchange impact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ending</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Recoverable warranty costs from suppliers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balance, net of recoverable warranty costs from suppliers, at end of period</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The Company’s Safety and Quality department has primary responsibility to determine the estimated failure rates for each generation of product.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inputs and assumptions used in calculating the estimated assurance warranty liability and related warranty asset are reviewed by management on a quarterly basis. The Company may make additional adjustments to the estimated assurance warranty liability and related warranty asset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and related warranty asset which may be material. As we are in an evolving market, there is a degree of estimation uncertainty regarding our estimated recurring warranty accrual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government investigations, and other regulatory or legal proceedings relating to claims that arise out of our operations and businesses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2021 Overheating Event at Customer Facility</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pStyle w:val="TextBody"/>
        <w:bidi w:val="0"/>
        <w:spacing w:lineRule="auto" w:line="288" w:before="16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Securities Class Actions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On March 11, 2025, a putative federal securities class action complaint captioned </w:t>
      </w:r>
      <w:r>
        <w:rPr>
          <w:rFonts w:ascii="Times New Roman;sans-serif" w:hAnsi="Times New Roman;sans-serif"/>
          <w:b w:val="false"/>
          <w:i/>
          <w:color w:val="000000"/>
          <w:sz w:val="20"/>
          <w:shd w:fill="FFFFFF" w:val="clear"/>
        </w:rPr>
        <w:t>Abramov v. Fluence Energy, Inc. et al.</w:t>
      </w:r>
      <w:r>
        <w:rPr>
          <w:color w:val="000000"/>
          <w:shd w:fill="FFFFFF" w:val="clear"/>
        </w:rPr>
        <w:t xml:space="preserve"> </w:t>
      </w:r>
      <w:r>
        <w:rPr>
          <w:rFonts w:ascii="Times New Roman;sans-serif" w:hAnsi="Times New Roman;sans-serif"/>
          <w:b w:val="false"/>
          <w:color w:val="000000"/>
          <w:sz w:val="20"/>
          <w:shd w:fill="FFFFFF" w:val="clear"/>
        </w:rPr>
        <w:t xml:space="preserve">(Case No. 1:25-cv-00444) was filed in the United States District Court, Eastern District of Virginia, against the Company and certain of the Company’s executive officers. The action purports to be brought on behalf of a purported class of stockholders, and asserts violations of Sections 10(b) and 20(a) of the Securities Exchange Act of 1934, and Rule 10b-5 promulgated thereunder. The complaint seeks unspecified damages and other relief. The Company believes the claims in the complaint are without merit and intends to defend the matter vigorously.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On April 15, 2025, a putative federal securities class action complaint captioned </w:t>
      </w:r>
      <w:r>
        <w:rPr>
          <w:rFonts w:ascii="Times New Roman;sans-serif" w:hAnsi="Times New Roman;sans-serif"/>
          <w:b w:val="false"/>
          <w:i/>
          <w:color w:val="000000"/>
          <w:sz w:val="20"/>
          <w:shd w:fill="FFFFFF" w:val="clear"/>
        </w:rPr>
        <w:t>Kramer v. Fluence Energy, Inc. et al.</w:t>
      </w:r>
      <w:r>
        <w:rPr>
          <w:color w:val="000000"/>
          <w:shd w:fill="FFFFFF" w:val="clear"/>
        </w:rPr>
        <w:t xml:space="preserve"> </w:t>
      </w:r>
      <w:r>
        <w:rPr>
          <w:rFonts w:ascii="Times New Roman;sans-serif" w:hAnsi="Times New Roman;sans-serif"/>
          <w:b w:val="false"/>
          <w:color w:val="000000"/>
          <w:sz w:val="20"/>
          <w:shd w:fill="FFFFFF" w:val="clear"/>
        </w:rPr>
        <w:t xml:space="preserve">(Case No. 1:25-cv-00634) was filed in the United States District Court, Eastern District of Virginia, against the Company, certain of the Company’s current and former executive officers, AES Grid Stability, and AES. The action purports to be brought on behalf of a purported class of stockholders, and asserts violations of Sections 10(b) and 20(a) of the Securities Exchange Act of 1934, and Rule 10b-5 promulgated thereunder. The complaint seeks unspecified damages and other relief. The Company believes the claims in the complaint are without merit and intends to defend the matter vigorously. </w:t>
      </w:r>
    </w:p>
    <w:p>
      <w:pPr>
        <w:pStyle w:val="TextBody"/>
        <w:bidi w:val="0"/>
        <w:spacing w:lineRule="auto" w:line="288"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Shareholder Derivative Actions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On March 25, 2025, a purported stockholder, Raffi Elmajian, filed a shareholder derivative complaint captioned </w:t>
      </w:r>
      <w:r>
        <w:rPr>
          <w:rFonts w:ascii="Times New Roman;sans-serif" w:hAnsi="Times New Roman;sans-serif"/>
          <w:b w:val="false"/>
          <w:i/>
          <w:color w:val="000000"/>
          <w:sz w:val="20"/>
        </w:rPr>
        <w:t xml:space="preserve">Elmajian v. Nebreda et al. </w:t>
      </w:r>
      <w:r>
        <w:rPr>
          <w:rFonts w:ascii="Times New Roman;sans-serif" w:hAnsi="Times New Roman;sans-serif"/>
          <w:b w:val="false"/>
          <w:color w:val="000000"/>
          <w:sz w:val="20"/>
          <w:shd w:fill="FFFFFF" w:val="clear"/>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sans-serif" w:hAnsi="Times New Roman;sans-serif"/>
          <w:b w:val="false"/>
          <w:i/>
          <w:color w:val="000000"/>
          <w:sz w:val="20"/>
        </w:rPr>
        <w:t>Al Amad v. Nebreda et al.</w:t>
      </w:r>
      <w:r>
        <w:rPr>
          <w:color w:val="000000"/>
          <w:shd w:fill="FFFFFF" w:val="clear"/>
        </w:rPr>
        <w:t xml:space="preserve"> </w:t>
      </w:r>
      <w:r>
        <w:rPr>
          <w:rFonts w:ascii="Times New Roman;sans-serif" w:hAnsi="Times New Roman;sans-serif"/>
          <w:b w:val="false"/>
          <w:color w:val="000000"/>
          <w:sz w:val="20"/>
          <w:shd w:fill="FFFFFF" w:val="clear"/>
        </w:rPr>
        <w:t xml:space="preserve">in the United States District Court, Eastern District of Virginia (Case No. 1:25-cv-577) against current and former officers and directors of the Company, naming the Company as a nominal defendant. Both derivative complaints allege claims under Section 14(a) of the Securities Exchange Act of 1934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sans-serif" w:hAnsi="Times New Roman;sans-serif"/>
          <w:b w:val="false"/>
          <w:i/>
          <w:color w:val="000000"/>
          <w:sz w:val="20"/>
          <w:shd w:fill="FFFFFF" w:val="clear"/>
        </w:rPr>
        <w:t>In re Fluence Energy, Inc. Shareholder Derivative Litigation</w:t>
      </w:r>
      <w:r>
        <w:rPr>
          <w:rFonts w:ascii="Times New Roman;sans-serif" w:hAnsi="Times New Roman;sans-serif"/>
          <w:b w:val="false"/>
          <w:color w:val="000000"/>
          <w:sz w:val="20"/>
          <w:shd w:fill="FFFFFF" w:val="clear"/>
        </w:rPr>
        <w:t xml:space="preserve">, Case No.: </w:t>
      </w:r>
      <w:r>
        <w:rPr>
          <w:rFonts w:ascii="Times New Roman;sans-serif" w:hAnsi="Times New Roman;sans-serif"/>
          <w:b w:val="false"/>
          <w:color w:val="000000"/>
          <w:sz w:val="20"/>
        </w:rPr>
        <w:t>1:25-cv-00521</w:t>
      </w:r>
      <w:r>
        <w:rPr>
          <w:rFonts w:ascii="Times New Roman;sans-serif" w:hAnsi="Times New Roman;sans-serif"/>
          <w:b w:val="false"/>
          <w:color w:val="000000"/>
          <w:sz w:val="20"/>
          <w:shd w:fill="FFFFFF" w:val="clear"/>
        </w:rPr>
        <w:t xml:space="preserve">. The Company believes the claims in the complaints are without merit and intends to defend the matter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15.    Related-Party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primarily represented by AES and Siemens, their respective subsidiaries, other entities under common control, and other entities in which Siemens and AES have significant influence. As of March 31, 2025, AES Grid Stability holds 51,499,195 shares of Class B-1 common stock of Fluence Energy, Inc. and Siemens beneficially owns an aggregate of 51,499,195 shares of Class A common stock of Fluence Energy,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signs back-to-back battery-based energy storage solution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ans-serif" w:hAnsi="Times New Roman;sans-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4 - Revenue from Contracts with Customers.”</w:t>
      </w:r>
      <w:r>
        <w:rPr>
          <w:color w:val="000000"/>
        </w:rPr>
        <w:t xml:space="preserve"> </w:t>
      </w:r>
      <w:r>
        <w:rPr>
          <w:rFonts w:ascii="Times New Roman;sans-serif" w:hAnsi="Times New Roman;sans-serif"/>
          <w:b w:val="false"/>
          <w:color w:val="000000"/>
          <w:sz w:val="20"/>
        </w:rPr>
        <w:t xml:space="preserve">Revenue from the consulting services is primarily recognized ratably over time based on a project specific period of performance in which we expect the performance obligation to be fulfilled. For the three months ended March 31, 2025 and 2024, the Company recognized $3.8 million and $2.5 million in revenue from consulting services with AES, respectively. For the six months ended March 31, 2025 and 2024, the Company recognized $5.4 million and $3.9 million in revenue from consulting services with AES, respectively.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affiliates is included in “Revenue from related parties” on the Company’s condensed consolidated statements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purchases materials and supplies from its affiliates and records the costs in “Cost of goods and services” on the Company’s condensed consolidated statements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Administrative and Service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March 31, 2025, the Company has received a limited scope of consulting services from Siemens Advanta, a subsidiary of Siemens AG, and limited treasury services related to executing trades for derivative contracts from The AES Corporation.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consulting services are recorded in “Costs of goods and services” or “General and administrative expenses” depending on the scope or nature of the underlying project. The other administrative service agreements are recorded in “General and administrative expenses” on the Company’s condensed consolidated statement of operations.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17 - Supply Chain Financing” for details of the related party guarantees associated with the supply chain financing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Balance Sheet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balance sheets included the following balances with related parties for the periods indicated:</w:t>
      </w:r>
    </w:p>
    <w:tbl>
      <w:tblPr>
        <w:tblW w:w="6701" w:type="dxa"/>
        <w:jc w:val="left"/>
        <w:tblInd w:w="0" w:type="dxa"/>
        <w:tblLayout w:type="fixed"/>
        <w:tblCellMar>
          <w:top w:w="28" w:type="dxa"/>
          <w:left w:w="28" w:type="dxa"/>
          <w:bottom w:w="28" w:type="dxa"/>
          <w:right w:w="28" w:type="dxa"/>
        </w:tblCellMar>
      </w:tblPr>
      <w:tblGrid>
        <w:gridCol w:w="1131"/>
        <w:gridCol w:w="992"/>
        <w:gridCol w:w="997"/>
        <w:gridCol w:w="265"/>
        <w:gridCol w:w="1038"/>
        <w:gridCol w:w="137"/>
        <w:gridCol w:w="109"/>
        <w:gridCol w:w="109"/>
        <w:gridCol w:w="109"/>
        <w:gridCol w:w="321"/>
        <w:gridCol w:w="1259"/>
        <w:gridCol w:w="23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related parties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362,523 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provisions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0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deferred revenue, advances, accounts payables, accruals and provisions, and other current and non-current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Statement of Operations Related Party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related party transactions that are included in the Company’s condensed consolidated statements of operations for the periods indicated: </w:t>
      </w:r>
    </w:p>
    <w:tbl>
      <w:tblPr>
        <w:tblW w:w="8869"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24"/>
        <w:gridCol w:w="880"/>
        <w:gridCol w:w="116"/>
        <w:gridCol w:w="116"/>
        <w:gridCol w:w="116"/>
        <w:gridCol w:w="116"/>
        <w:gridCol w:w="224"/>
        <w:gridCol w:w="880"/>
        <w:gridCol w:w="116"/>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goods and services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Revenue from AES and its affiliates was approximately $166.9 million and $235.6 million for the three and six months ended March 31, 2025, respectively. Revenue from AES and its affiliates was approximately $341.3 million and $443.2 million for the three and six months ended March 31, 2024, respectively.</w:t>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(b) Represent purchases from related parties that are included in costs of goods and services and are not associated with the revenue listed in the table above.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(c) Represents factoring income from a subsidiary of AES related to receivables sold under the Master Receivable Purchase Agreement (“MRPA”) for the three and six months ended March 31, 2024. The corresponding cost paid to the purchaser was $1.5 million and is recorded in “Sales and marketing expense” and is not considered a related party transaction. Pursuant to the MRPA (as defined below), Fluence Energy, LLC may sell certain receivables for any of our customers that choose to participate in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16.    Stock-Based Compensation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initial public offering on November 1, 2021 (the “IPO”)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existing terms under the Option Plan. The Option Plan is accounted for as an equity plan. The Company will not make any further awards under the Option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2,594,137 stock options under the Option Plan remain outstanding with no unrecognized stock compensation expense.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Phantom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directors, and consultants were granted compensation under the Company’s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The Company will not make any further awards under the Phantom Incentive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are no phantom unit awards outstanding and there is no unrecognized stock compensation expense.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Stock-Based Compensation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ending September 30,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NQSOs, restricted stock, PSUs, and RSUs. Employee stock-based awards currently issued pursuant to the 2021 Incentive Plan that are expected to be settled by issuing shares of Class A common stock are recorded as equity awards. The Company accounts for forfeitures as they occur.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on the grant date. The market value of our Class A common stock is calculated using the closing price of our Class A common stock on the date of grant. The following table summarizes activity under the 2021 Incentive Plan for the six months ended March 31, 2025: </w:t>
      </w:r>
    </w:p>
    <w:tbl>
      <w:tblPr>
        <w:tblW w:w="4486" w:type="dxa"/>
        <w:jc w:val="center"/>
        <w:tblInd w:w="0" w:type="dxa"/>
        <w:tblLayout w:type="fixed"/>
        <w:tblCellMar>
          <w:top w:w="28" w:type="dxa"/>
          <w:left w:w="28" w:type="dxa"/>
          <w:bottom w:w="28" w:type="dxa"/>
          <w:right w:w="28" w:type="dxa"/>
        </w:tblCellMar>
      </w:tblPr>
      <w:tblGrid>
        <w:gridCol w:w="1049"/>
        <w:gridCol w:w="920"/>
        <w:gridCol w:w="925"/>
        <w:gridCol w:w="488"/>
        <w:gridCol w:w="488"/>
        <w:gridCol w:w="6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October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1,759,857 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1,751,843 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(553,330)</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(185,569)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2,772,801 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2,772,801 RSUs previously issued remained outstanding with unrecognized stock compensation expense of $28.4 million.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Non-Qualified Stock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2025, the Company granted 310,422 non-qualified stock options to purchase Class A common stock under the 2021 Incentive Plan with a weighted average exercise price of $16.07.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474,992 non-qualified stock options previously issued pursuant to the 2021 Incentive Plan remained outstanding with unrecognized stock compensation expense of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Share Units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2025, the Company granted 670,173 PSUs redeemable for Class A common stock under the 2021 Incentive Plan. The Company has issued two rounds of PSU grants under the 2021 Incentive Plan, the first commencing at the start of fiscal year 2024 and the second commencing at the start of fiscal year 2025. The PSUs for the 2024-2026 performance cycle and the 2025-2027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Compensation and Human Resources Committee of the Company’s Board of Directors. PSUs are considered fully vested when both the performance and service based requirements are met in accordance with the vesting requirements and will be settled in Class A shares of Company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982,820 PSUs previously issued remained outstanding with estimated unrecognized stock compensation expense of $0.0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Nispera AG in 2022, Fluence issued 531,202 shares of restricted stock to Nispera’s management team. The estimated post combination expense to the Company as a result of the business combination was approximately $6.9 million which is being recognized on a straight-line basis over the remaining service period that was stipulated in each holder’s original restricted stock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177,067 restricted stock awards previously issued remained outstanding with estimated unrecognized stock compensation expense of $0.0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Stock-based compensation expense was recorded as follows:</w:t>
      </w:r>
      <w:r>
        <w:rPr>
          <w:color w:val="000000"/>
        </w:rPr>
        <w:t xml:space="preserve"> </w:t>
      </w:r>
    </w:p>
    <w:tbl>
      <w:tblPr>
        <w:tblW w:w="8015"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67"/>
        <w:gridCol w:w="781"/>
        <w:gridCol w:w="138"/>
        <w:gridCol w:w="138"/>
        <w:gridCol w:w="138"/>
        <w:gridCol w:w="138"/>
        <w:gridCol w:w="267"/>
        <w:gridCol w:w="781"/>
        <w:gridCol w:w="138"/>
        <w:gridCol w:w="233"/>
        <w:gridCol w:w="680"/>
        <w:gridCol w:w="120"/>
        <w:gridCol w:w="120"/>
        <w:gridCol w:w="120"/>
        <w:gridCol w:w="120"/>
        <w:gridCol w:w="233"/>
        <w:gridCol w:w="796"/>
        <w:gridCol w:w="17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 xml:space="preserve">In thousands </w:t>
            </w:r>
            <w:r>
              <w:rPr>
                <w:rFonts w:ascii="Times New Roman;sans-serif" w:hAnsi="Times New Roman;sans-serif"/>
                <w:b w:val="false"/>
                <w:i/>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23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17.    Supply Chain Financing</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Company has provided certain of our suppliers with access to a supply chain financing program through a third-party financing institution (“SCF Bank”). This program allows the Company to seek extended payment terms up to 120 days with our suppliers and allows our suppliers to monetize their receivables prior to the payment due date, subject to a discount. The Company does not pledge any assets as collateral under the program. Once a supplier elects to participate in the program and reaches an agreement with SCF Bank, the supplier chooses which individual invoices to sell to the SCF Bank. The Company then pays SCF Bank on the invoice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Corporation, a subsidiary of Siemens, pursuant to the terms of the Credit Support and Reimbursement Agreement. As of March 31, 2025, AES and Siemens Corporation issued guarantees of $50 million each, for a total of $100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to SCF Bank on our behalf. The Company’s outstanding obligations confirmed as valid under its supplier financing program for periods ended March 31, 2025 and September 30, 2024, are as follows:</w:t>
      </w:r>
    </w:p>
    <w:tbl>
      <w:tblPr>
        <w:tblW w:w="8140" w:type="dxa"/>
        <w:jc w:val="left"/>
        <w:tblInd w:w="0" w:type="dxa"/>
        <w:tblLayout w:type="fixed"/>
        <w:tblCellMar>
          <w:top w:w="28" w:type="dxa"/>
          <w:left w:w="28" w:type="dxa"/>
          <w:bottom w:w="28" w:type="dxa"/>
          <w:right w:w="28" w:type="dxa"/>
        </w:tblCellMar>
      </w:tblPr>
      <w:tblGrid>
        <w:gridCol w:w="1652"/>
        <w:gridCol w:w="1450"/>
        <w:gridCol w:w="1457"/>
        <w:gridCol w:w="292"/>
        <w:gridCol w:w="998"/>
        <w:gridCol w:w="150"/>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beginning of the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issued during the period</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 during the period</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(144,558)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(192,367)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outstanding at the end of the period</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two suppliers were actively participating in the supply chain financing program. All outstanding payments owed under the program are recorded within “Accounts payable”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18.    Derivatives and Hedging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legal entity. These intercompany sales are denominated in the functional currency of the regional entities, primarily the Euro, the British Pound, and the Australian dollar, while the functional currency of the centralized procurement legal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consolidated statements of operations</w:t>
      </w:r>
      <w:r>
        <w:rPr>
          <w:rFonts w:ascii="Arial;sans-serif" w:hAnsi="Arial;sans-serif"/>
          <w:b w:val="false"/>
          <w:color w:val="000000"/>
          <w:sz w:val="24"/>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also has foreign currency forward contracts that are not designated as hedges and the changes in fair value of such derivatives are recognized in current period earnings. As of March 31, 2025, the impact on our condensed consolidated financial statements was not significant.</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 Hedges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flow hedges as well as their classification on the condensed consolidated balance sheets as of March 31, 2025 and September 30,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89"/>
        <w:gridCol w:w="518"/>
        <w:gridCol w:w="520"/>
        <w:gridCol w:w="109"/>
        <w:gridCol w:w="109"/>
        <w:gridCol w:w="109"/>
        <w:gridCol w:w="231"/>
        <w:gridCol w:w="793"/>
        <w:gridCol w:w="119"/>
        <w:gridCol w:w="109"/>
        <w:gridCol w:w="109"/>
        <w:gridCol w:w="109"/>
        <w:gridCol w:w="300"/>
        <w:gridCol w:w="662"/>
        <w:gridCol w:w="154"/>
        <w:gridCol w:w="413"/>
        <w:gridCol w:w="706"/>
        <w:gridCol w:w="214"/>
        <w:gridCol w:w="109"/>
        <w:gridCol w:w="109"/>
        <w:gridCol w:w="109"/>
        <w:gridCol w:w="223"/>
        <w:gridCol w:w="875"/>
        <w:gridCol w:w="115"/>
        <w:gridCol w:w="109"/>
        <w:gridCol w:w="109"/>
        <w:gridCol w:w="109"/>
        <w:gridCol w:w="313"/>
        <w:gridCol w:w="602"/>
        <w:gridCol w:w="161"/>
        <w:gridCol w:w="296"/>
        <w:gridCol w:w="866"/>
        <w:gridCol w:w="227"/>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6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16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gains or losses resulting from changes in fair value of the Company’s cash flow hedges recognized in accumulated other comprehensive income (loss) for the three and six months ended March 31, 2025 and 2024 are as follows:</w:t>
      </w:r>
    </w:p>
    <w:tbl>
      <w:tblPr>
        <w:tblW w:w="9783"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315"/>
        <w:gridCol w:w="382"/>
        <w:gridCol w:w="162"/>
        <w:gridCol w:w="162"/>
        <w:gridCol w:w="162"/>
        <w:gridCol w:w="162"/>
        <w:gridCol w:w="315"/>
        <w:gridCol w:w="919"/>
        <w:gridCol w:w="162"/>
        <w:gridCol w:w="109"/>
        <w:gridCol w:w="109"/>
        <w:gridCol w:w="109"/>
        <w:gridCol w:w="244"/>
        <w:gridCol w:w="712"/>
        <w:gridCol w:w="126"/>
        <w:gridCol w:w="126"/>
        <w:gridCol w:w="126"/>
        <w:gridCol w:w="126"/>
        <w:gridCol w:w="244"/>
        <w:gridCol w:w="712"/>
        <w:gridCol w:w="178"/>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within “Revenue” in the condensed consolidated statements of operations with respect to the Company’s cash flow hedges for the three and six months ended March 31, 2025 and 2024 are as follows:</w:t>
      </w:r>
    </w:p>
    <w:tbl>
      <w:tblPr>
        <w:tblW w:w="8930"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310"/>
        <w:gridCol w:w="794"/>
        <w:gridCol w:w="160"/>
        <w:gridCol w:w="160"/>
        <w:gridCol w:w="160"/>
        <w:gridCol w:w="160"/>
        <w:gridCol w:w="310"/>
        <w:gridCol w:w="530"/>
        <w:gridCol w:w="160"/>
        <w:gridCol w:w="109"/>
        <w:gridCol w:w="109"/>
        <w:gridCol w:w="109"/>
        <w:gridCol w:w="275"/>
        <w:gridCol w:w="803"/>
        <w:gridCol w:w="142"/>
        <w:gridCol w:w="142"/>
        <w:gridCol w:w="142"/>
        <w:gridCol w:w="142"/>
        <w:gridCol w:w="275"/>
        <w:gridCol w:w="471"/>
        <w:gridCol w:w="20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changes in the cumulative impact of the gain (loss) on derivatives designated for hedge accounting for the six months ended March 31, 2025:</w:t>
      </w:r>
    </w:p>
    <w:tbl>
      <w:tblPr>
        <w:tblW w:w="9026" w:type="dxa"/>
        <w:jc w:val="left"/>
        <w:tblInd w:w="0" w:type="dxa"/>
        <w:tblLayout w:type="fixed"/>
        <w:tblCellMar>
          <w:top w:w="28" w:type="dxa"/>
          <w:left w:w="28" w:type="dxa"/>
          <w:bottom w:w="28" w:type="dxa"/>
          <w:right w:w="28" w:type="dxa"/>
        </w:tblCellMar>
      </w:tblPr>
      <w:tblGrid>
        <w:gridCol w:w="2612"/>
        <w:gridCol w:w="2296"/>
        <w:gridCol w:w="2307"/>
        <w:gridCol w:w="109"/>
        <w:gridCol w:w="109"/>
        <w:gridCol w:w="109"/>
        <w:gridCol w:w="296"/>
        <w:gridCol w:w="972"/>
        <w:gridCol w:w="216"/>
      </w:tblGrid>
      <w:tr>
        <w:trPr/>
        <w:tc>
          <w:tcPr>
            <w:tcW w:w="261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as of September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recognized in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 reclassified from accumulated other comprehensive income (loss)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as of March 31,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19. Sale of Receivables under Master Receivables Purchase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the Company’s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the six months ended March 31, 2024, the Company sold receivables to CACIB under the MRPA for net proceeds of $71.5 million. At the date of the true sale, the receivables were de-recognized in their entirety from the condensed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marketing expense” on the condensed consolidated statements of operations</w:t>
      </w:r>
      <w:r>
        <w:rPr>
          <w:rFonts w:ascii="Times New Roman;sans-serif" w:hAnsi="Times New Roman;sans-serif"/>
          <w:b w:val="false"/>
          <w:color w:val="000000"/>
          <w:sz w:val="20"/>
          <w:shd w:fill="FFFFFF" w:val="clear"/>
        </w:rPr>
        <w:t xml:space="preserve">. Proceeds from the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receivables are reflected in operating cash flows on the condensed consolidated statements of cash flows. There were no transactions for the six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 2025, the U.S. government announced a new tariff plan. As a general principle, the United States will impose a minimum tariff on all imports and a special rate on imports from certain countries, including China.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2025, the special rate was paused for 90 days for all countries with the exception of China.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new tariffs announced in April 2025 is currently not reflected in our results of operations as of and for the three months ended March 31, 2025. As of the filing date of this Report, we currently estimate that these new additional tariffs will reduce our “Gross profit” by approximately $20.0 million in the second half of the fiscal year after considering the effects of any mitigation measures, as well as the use of inventory on-hand which preceded the new additional tariffs. However, there is a high degree of uncertainty on future trade policy as well as any future outcomes which could substantially change our evaluation and estimate. A large portion of our current suppliers for our U.S. operations are situated outside of the United States, including battery cell suppliers in China. Implementation of these tariffs may materially increase inventory costs and costs of goods and services, which would reduce our gross margins to the extent the Company is unable to offset these costs or pass on these additional costs to our customers. If we are unable to implement effective mitigation strategies, our financial performance could be negatively affected.</w:t>
      </w:r>
    </w:p>
    <w:p>
      <w:pPr>
        <w:pStyle w:val="TextBody"/>
        <w:bidi w:val="0"/>
        <w:spacing w:before="160" w:after="283"/>
        <w:ind w:left="0" w:right="0" w:firstLine="360"/>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for the period ended March 31, 2025 (this “Report”) and in conjunction with our audited consolidated financial statements and related notes included in our Annual Report on Form 10-K for the fiscal year ended September 30, 2024, filed with the U.S. Securities and Exchange Commission (the “SEC”) on November 29, 2024 (the “2024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2024 Annual Report, Part II, Item 1A. “Risk Factors” in our Quarterly Report on Form 10-Q for the fiscal period ended December 31, 2024 (the “First Quarter Report”), and Part II, Item 1A. “Risk Factors” and the section titled “Cautionary Statement Regarding Forward-Looking Information” included elsewhere in this Report. Additionally, our historical results are not necessarily indicative of the results that may be expected for any period in the future. We use words such as “anticipate,” “believe,” “continue,” “could,” “estimate,” “expect,” “intend,” “may,” “plan,” “predict,” “project,” “potential,” “seek,” “should,” “will,” “would,” “commit,” “target,” “contemplate,” and similar expressions to identify forward-looking statements.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begins on October 1 and ends on September 30. References to “fiscal year 2022,” “fiscal year 2023,” “fiscal year 2024,” and “fiscal year 2025” refer to the twelve months ended September 30, 2022, September 30, 2023, September 30, 2024 and ending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Key Factors, Trends, and Uncertainties Affecting our Performance</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our performance and future success depend on several factors that present significant opportunities for us but also pose risks and challenges, including those discussed below and in Part I, Item 1A. “Risk Factors” within our 2024 Annual Report, Part II, Item 1A. “Risk Factors” in our First Quarter Report, and Part II, Item 1A. “Risk Factors” in this Report.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Industry Outlook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utility-scale battery storage industry as a whole is witnessing unprecedented growth, fueled by global transitions toward renewable energy, heightened focus on grid resilience, and supportive regulatory frameworks. Deployment of renewable energy resources has accelerated over the last decade. Industry-wide, the push for decarbonization is creating increasing demand for grid-scale energy storage, which is critical to enabling the integration of variable renewable energy sources, reducing the intermittency and volatility of renewable energy generation, and meeting ambitious net-zero targets. BloombergNEF estimates that the global utility scale market, excluding China, will add approximately 2,660 GWh between 2024 and 2035.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solutions by our customers. One factor that impacts this continued adoption of energy storage solutions is the cost of lithium-ion energy storage hardware. The cost of lithium-ion energy storage hardware has declined significantly in the aggregate in the last decade and has resulted in a large addressable market today. In fiscal year 2022, we saw prices for lithium-ion battery packs increase from prior years, though prices returned to their historical trend of declining year-over-year in fiscal years 2023 and 2024. The market for energy storage continues to rapidly evolve and while we believe lithium-ion battery pack costs will continue to decline over the long term, there is no guarantee that they will decline or decline at the rates we expect. If costs do not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decline long term and instead remain steady or increase, as seen in fiscal year 2022, this could adversely affect our ability to increase our revenue, our order intake, and grow our business.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Our growth strategy includes leveraging our global scale, technology leadership, product development, and market share position to help transform the way we power our world for a more sustainable future. Overall, we believe Fluence is well-positioned to continue to capitalize on the utility-scale battery storage market as we continue to deliver solutions that address the complex needs of a transforming energy landscape. We have and intend in the future to further develop and innovate to provide energy storage solutions and digital software offerings that aim to solve our customers’ energy challenges, and expand our services with additional value-add offerings. We are also focused on expanding our business with standardized offerings that are optimized for each of our sales channels and continuing to move towards a more localized, regional organizational structure to better support customers and sales channels, improve logistics, and enhance market focus. For instance, the Company is ramping up use of domestic manufacturing facilities in Arizona, Texas, Tennessee, and Utah, as well as our domestic inverter supplier in South Carolina for our customers and projects in the United States. However, there is no guarantee that the deployment of renewable energy will occur at the rate estimated by BloombergNEF or that such renewable energy will rely on lithium-ion battery technology for</w:t>
      </w:r>
      <w:r>
        <w:rPr>
          <w:color w:val="000000"/>
          <w:shd w:fill="FFFFFF" w:val="clear"/>
        </w:rPr>
        <w:t xml:space="preserve"> </w:t>
      </w:r>
      <w:r>
        <w:rPr>
          <w:rFonts w:ascii="Times New Roman;sans-serif" w:hAnsi="Times New Roman;sans-serif"/>
          <w:b w:val="false"/>
          <w:color w:val="000000"/>
          <w:sz w:val="20"/>
          <w:shd w:fill="FFFFFF" w:val="clear"/>
        </w:rPr>
        <w:t>energy storage. Economic uncertainties, supply chain disruptions, geo-political conflicts, government regulations and incentives, trade environment, including tariff policy, and other factors could result in fluctuations in demand for and deployment of renewable energy resources and may materially increase inventory costs and costs of goods and services, adversely affecting our revenue, growth, and ability to generate profits in the future. See Part I, Item 1A. “Risk Factors” in our 2024 Annual Report and Part II, Item 1A. “Risk Factors” in this Report for further discussion on these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 Trends and Uncertainties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Current economic conditions affecting our industry and the global markets more generally, including ambiguity around interest rates, softening labor markets, fluctuations in currency exchange rates, and recent government and policy changes implemented in the United States, including rapid changes in announced tariff policy, have created uncertainty in the global economy, a level of volatility in the capital markets and recessionary pressures, which have, and which may in the future have, adverse impacts on our business and may also adversely impact our future results of operations. If a prolonged economic downturn or recession develops from these conditions, it could also result in further adverse impacts to our business and results of operations in the future. We will continue to evaluate the evolving economic environment to take action to mitigate the impact on our business, consolidated results of operations, and financial condition. </w:t>
      </w:r>
      <w:r>
        <w:rPr>
          <w:rFonts w:ascii="Times New Roman;sans-serif" w:hAnsi="Times New Roman;sans-serif"/>
          <w:b w:val="false"/>
          <w:color w:val="000000"/>
          <w:sz w:val="20"/>
        </w:rPr>
        <w:t>See Part I, Item 1A. “Risk Factors” in our 2024 Annual Report for further discussion on risks relating to macroeconomic uncertainty and market conditions and Part II, Item 1A. “Risk Factors” in this Report for further discussion on risks related to changes in the trade environment and related impact on general economic uncertainty.</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Increased Electricity Demand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a publication from the Office of Policy of the U.S. Department of Energy in August 2024, electricity demand is forecasted to grow substantially in the United States over the next decade. We are seeing similar trends of increasing electricity demand in other countries, including in those in which we operate. We believe that such increase in electricity demand is helping to, and will continue to help to, increase demand for energy storage solutions globally, including for our energy storage solutions. Electricity demand, and in turn related energy storage demand, is being driven and we believe will continue to be driven, primarily by new data centers, artificial intelligence, new manufacturing facilities, and sector-wide electrification.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Government Regulation and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Adoption of energy storage solutions, services, and digital application offerings by our customers is also dependent on applicable government regulation, legislation, and policies. Governments across the globe have announced, implemented, and continue to consider implementation of various policies, regulation, and legislation to support the transition from fossil fuels to low-carbon forms of energy, including through the development and deployment of energy storage. For example, in August 2022, the United States passed the Inflation Reduction Act of 2022 (the “IRA”), which includes incentives that support the adoption of energy storage solutions, including the “technology neutral” Investment Tax Credit (ITC) and Production Tax Credit (PTC) for projects placed in service after calendar year 2024 and changes to the non-“technology neutral” ITC and PTC for projects that started construction prior to the end of calendar year 2024 and are placed in service after calendar year 2022. The ITC is available for investments in a qualified storage facility, a qualified renewable energy and storage facility, or a qualified renewable energy facility, and the PTC is available for investments in a qualified renewable energy and storage facility or a qualified renewable energy facility. Prevailing wage and apprenticeship requirements apply to receive the full ITC and PTC value, and the credit value can be further increased if the project also qualifies for the domestic content bonus credit, the energy communities bonus credit, or the low-income bonus credit (although only projects less than 5 megawatts alternating current are eligible for the low-income bonus). The IRA also includes a manufacturing production tax credit for specific renewable energy and battery storage related products and components manufactured in the U.S. We believe we are well positioned to capture the benefits of the manufacturing production tax credit with our battery module manufacturing at our U.S. contract manufacturing facility, our supply agreement for U.S. manufactured battery cells, and our supply agreement for U.S. manufactured inverters. In addition, we believe our complete U.S. supply chain of modules, cells, inverters, battery pack, enclosures, battery management systems and thermal management systems positions us well to benefit from the domestic content bonus credit under the IRA.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government policies, regulations, legislation, and programs are becoming increasingly instrumental in stimulating adoption of energy storage solutions across different markets through a variety of methods, including by providing financial support and incentives, facilitating grid integration, supporting research and development, and establishing favorable regulatory regimes. To the extent that any existing government incentives are modified, reduced, eliminated, or are permitted to expire or there is determination of inapplicability of such government incentives or regulations relating to or mandating or encouraging use of renewable energy and/or energy storage, including the IRA, there may be adverse effects on customer demand and our business. Refer to the “Government Regulation and Compliance” section in our 2024 Annual Report and Part II, Item 1A. “Risk Factors” in this Report for further details on the IRA and other significant government regulations affecting our business and specific discussion of risks to our business from the modification, reduction, elimination, and expiration of government incentives and regulations relating to or mandating or encouraging use of renewable energy and/or energy storage.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In May 2024, the Biden administration announced a significant shift in the tariff framework for the energy storage industry. Under this new structure, the Section 301 tariff rate on lithium-ion non-EV batteries imported from China will increase from the current 7.5% to 25%, effective January 1, 2026. This change specifically targeted "batteries" as defined by U.S. Customs and Border Protection, encompassing battery energy storage systems, modules, and certain types of cells. Under the May 2024 structure announced by the Biden administration, the Section 301 tariff rate on battery "parts"–including separators, electrolytes, cans, and electrodes remains at its current 25% level. In April 2025, the Trump administration enacted additional tariffs on nearly all types of imports (including those used in our energy storage solutions) from countries around the world, including high tariffs on Chinese imports, which may increase, decrease, or change with little to no advanced notice. These re</w:t>
      </w:r>
      <w:r>
        <w:rPr>
          <w:rFonts w:ascii="Times New Roman;sans-serif" w:hAnsi="Times New Roman;sans-serif"/>
          <w:b w:val="false"/>
          <w:color w:val="000000"/>
          <w:sz w:val="20"/>
        </w:rPr>
        <w:t xml:space="preserve">cent tariff policy changes and current uncertainty relating to U.S. trade policy and the corresponding response from other foreign countries are impacting and may in the future impact the energy storage market, demand for our energy storage solutions by customers, and our business as well as those of our customers, partners, and suppliers and may in the future impact our results of operations. </w:t>
      </w:r>
      <w:r>
        <w:rPr>
          <w:rFonts w:ascii="Times New Roman;sans-serif" w:hAnsi="Times New Roman;sans-serif"/>
          <w:b w:val="false"/>
          <w:color w:val="000000"/>
          <w:sz w:val="20"/>
          <w:shd w:fill="FFFFFF" w:val="clear"/>
        </w:rPr>
        <w:t>As of the filing date of this Report, covered imports from China relevant to our energy storage systems will be subject to the 125% China-specific “reciprocal tariff,” plus the current China-specific 20% “fentanyl-related tariff”, plus the 3.4% base tariff on all countries, plus the applicable Section 301 tariff. The Company has exposure from the imposition of these new tariffs, as the Company imports components, including battery cells from China, into the United States for customers and projects in the United States. We have experienced paused and delayed customer contracting activity in response to the recent tariff-related uncertainty, including as a result of the mutual agreement by the Company with certain customers in the United States to (i) defer entry into new energy storage solutions contracts and (ii) pause active, currently signed contracts that are under project execution. This impact to customer contracting behavior from the uncertain trade environment may in turn impact our revenue, business, operating metrics, and results of operations in the future.</w:t>
      </w:r>
      <w:r>
        <w:rPr>
          <w:color w:val="000000"/>
        </w:rPr>
        <w:t xml:space="preserve"> </w:t>
      </w:r>
      <w:r>
        <w:rPr>
          <w:rFonts w:ascii="Times New Roman;sans-serif" w:hAnsi="Times New Roman;sans-serif"/>
          <w:b w:val="false"/>
          <w:color w:val="000000"/>
          <w:sz w:val="20"/>
        </w:rPr>
        <w:t xml:space="preserve">See Part II, Item 1A. “Risk Factors” in this Report for further discussion on risks related to changes in the trade environment. </w:t>
      </w:r>
    </w:p>
    <w:p>
      <w:pPr>
        <w:pStyle w:val="TextBody"/>
        <w:bidi w:val="0"/>
        <w:spacing w:lineRule="auto" w:line="288" w:before="160" w:after="283"/>
        <w:jc w:val="both"/>
        <w:rPr/>
      </w:pPr>
      <w:r>
        <w:rPr>
          <w:rFonts w:ascii="Times New Roman;sans-serif" w:hAnsi="Times New Roman;sans-serif"/>
          <w:b/>
          <w:i/>
          <w:color w:val="000000"/>
          <w:sz w:val="20"/>
        </w:rPr>
        <w:t>Competition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energy storage sector is highly competitive and continuously evolving. Our energy storage products, solutions, services, and digital applications are designed to meet the unique demands of the clean energy industry. The intricacy involved in the design and integration of these offerings underscores their technical complexity. Nevertheless, new companies enter the market continuously and offer products and services that compete with ours. We remain committed to pioneering novel use cases and exploring untapped market segments, many of which present lower levels of competition. We believe that competitive factors in the energy storage market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safety, reliability, and quality;</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ability to obtain financing;</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integration approach (including if competitor has vertical integration);</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cost of ownership;</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price of energy storage solutions, services, and digital application offerings;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ability to issue performance guarantees, credit support, and product warranties;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density and duration of products and solutions;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shortened delivery, installation, and commissioning time;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stability in supply chain;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performance of energy storage products and solutions, services and digital applications;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historical customer track record (as the market and industry continues to grow);</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experience in the battery energy storage system market (of the respective competitor and the leadership team);</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technological expertise and innovation;</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comprehensive solutions and offerings from a single provider;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brand recognition;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certain government initiatives and tax credits;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impact of legislation, regulations, and policies;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size of projects companies are competing on;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ease of integration;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seamless hardware and software-enabled service offerings.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competitive landscape for battery e</w:t>
      </w:r>
      <w:r>
        <w:rPr>
          <w:rFonts w:ascii="Times New Roman;sans-serif" w:hAnsi="Times New Roman;sans-serif"/>
          <w:b w:val="false"/>
          <w:color w:val="000000"/>
          <w:sz w:val="20"/>
          <w:shd w:fill="FFFFFF" w:val="clear"/>
        </w:rPr>
        <w:t>nergy storage varies across different geographies, countries, grid services, and customer segments. As the global demand for energy storage products and solutions continues to rise, so does the influx of new and potential entrants into the energy storage sector. Our key competitors currently include, but are not limited to, Tesla, Inc., Wartsila, Powin Energy Corporation, Sungrow, and Contemporary Amperex Technology Co., Limited. However, we believe we distinguish ourselves from competitors by our adeptness in identifying and addressing customer needs with tailor-made products, services, and use cases. We believe we maintain a competitive edge through our performance and value creation, evidenced by attributes such as low total cost of ownership, long-term reliability, diverse service options, and streamlined sales and delivery proce</w:t>
      </w:r>
      <w:r>
        <w:rPr>
          <w:rFonts w:ascii="Times New Roman;sans-serif" w:hAnsi="Times New Roman;sans-serif"/>
          <w:b w:val="false"/>
          <w:color w:val="000000"/>
          <w:sz w:val="20"/>
        </w:rPr>
        <w:t>sses.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Supply Chain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Many components and parts of our integrated energy storage solutions are sourced from suppliers and stakeholders from all over the world and are reliant on various raw materials including, steel, aluminum, copper, nickel, iron phosphate, graphite, manganese, lithium carbonate, lithium hydroxide, and cobalt. Although we do not rely on any single supplier for the majority of our key components, certain components are still sourced from a limited number of stakeholders. Due to the specialized and unique nature of the products being purchased, the opportunity cost of changing suppliers is high, and substitution is often time-consuming. Fluence has accepted and may in the future also accept terms that are less advantageous, including on pricing.</w:t>
      </w:r>
      <w:r>
        <w:rPr>
          <w:color w:val="000000"/>
          <w:shd w:fill="FFFFFF" w:val="clear"/>
        </w:rPr>
        <w:t xml:space="preserve"> </w:t>
      </w:r>
      <w:r>
        <w:rPr>
          <w:rFonts w:ascii="Times New Roman;sans-serif" w:hAnsi="Times New Roman;sans-serif"/>
          <w:b w:val="false"/>
          <w:color w:val="000000"/>
          <w:sz w:val="20"/>
          <w:shd w:fill="FFFFFF" w:val="clear"/>
        </w:rPr>
        <w:t xml:space="preserve">Volatility in our supply chain has in the past impacted and may in the future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demand from customers and in turn, our order intake and cause corresponding volatility in our results of operations. </w:t>
      </w:r>
      <w:r>
        <w:rPr>
          <w:rFonts w:ascii="Times New Roman;sans-serif" w:hAnsi="Times New Roman;sans-serif"/>
          <w:b w:val="false"/>
          <w:color w:val="000000"/>
          <w:sz w:val="20"/>
        </w:rPr>
        <w:t>We have also taken steps to diversify our supply chain and continue to explore opportunities to diversify our supply base to mitigate the ever changing regulatory, environmental, social, and geographic conditions as well as the impact from trade policy, including tariffs. The Company faces exposure from the imposition of the recently enacted tariffs by the Trump administration, as the Company current imports certain components, including battery c</w:t>
      </w:r>
      <w:r>
        <w:rPr>
          <w:rFonts w:ascii="Times New Roman;sans-serif" w:hAnsi="Times New Roman;sans-serif"/>
          <w:b w:val="false"/>
          <w:color w:val="000000"/>
          <w:sz w:val="20"/>
          <w:shd w:fill="FFFFFF" w:val="clear"/>
        </w:rPr>
        <w:t>ells from China, into the United States for customers and projects in the United States.</w:t>
      </w:r>
      <w:r>
        <w:rPr>
          <w:color w:val="000000"/>
        </w:rPr>
        <w:t xml:space="preserve"> </w:t>
      </w:r>
      <w:r>
        <w:rPr>
          <w:rFonts w:ascii="Times New Roman;sans-serif" w:hAnsi="Times New Roman;sans-serif"/>
          <w:b w:val="false"/>
          <w:color w:val="000000"/>
          <w:sz w:val="20"/>
        </w:rPr>
        <w:t xml:space="preserve">The Company is ramping up use of domestic manufacturing facilities in Arizona, Texas, Tennessee, and Utah, as well as our domestic inverter supplier in South Carolina. However, while our U.S. centric regionalization strategy is progressing, a large portion of our current suppliers are situated outside of the United States and there is currently uncertainty about the future relationship between the United States and other countries with respect to trade policies, taxes, and government regulations. Changes to tariffs and trade policy have impacted our supply chain in the past and may impact our supply chain in the future as well as our supply chain strategies, both domestically and internationally, which may then have an adverse impact on our results of operations and business. For more information about the potential risks relating to our supply chain and exposure to international pressures, see Part I, Item 1A. “Risk Factors” in our 2024 Annual Report and Part II, Item 1A. “Risk Factors” in this Report for further discussion on risks related to changes in the trade environment. </w:t>
      </w:r>
    </w:p>
    <w:p>
      <w:pPr>
        <w:pStyle w:val="TextBody"/>
        <w:bidi w:val="0"/>
        <w:spacing w:lineRule="auto" w:line="288" w:before="160" w:after="283"/>
        <w:jc w:val="left"/>
        <w:rPr/>
      </w:pPr>
      <w:r>
        <w:rPr>
          <w:rFonts w:ascii="Times New Roman;sans-serif" w:hAnsi="Times New Roman;sans-serif"/>
          <w:b/>
          <w:i/>
          <w:color w:val="000000"/>
          <w:sz w:val="20"/>
        </w:rPr>
        <w:t>Permits and Approvals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installations or customer installations must be designed, constructed, and operated in compliance with applicable international, federal, state, and local laws, regulations, codes, standards, and guidelines. To install and operate energy storage products and solutions on our platform, we, our customers, or our partners, as may be applicable, are required to obtain and maintain applicable permits and approvals from the relevant governmental or regulatory authorities having jurisdiction to install energy storage products and solutions and to interconnect the products with the local electrical utility. We often cannot predict whether or when all permits required for a given customer’s project will be granted or whether the conditions associated with the permits will be achievable. Furthermore, unforeseen delays in the review and permitting process has and could in the future delay the timing of the delivery and/or installation of our energy storage products thereby adversely affecting our revenue and operating results. See Part I, Item 1A. “Risk Factors” in our 2024 Annual Report for further discussion on risks related to permits and approvals.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Legal Proceedings and Legal Contingencies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describes certain line items in our condensed consolidated statements of operations.</w:t>
      </w:r>
    </w:p>
    <w:p>
      <w:pPr>
        <w:pStyle w:val="TextBody"/>
        <w:bidi w:val="0"/>
        <w:spacing w:lineRule="auto" w:line="288" w:before="160" w:after="283"/>
        <w:jc w:val="both"/>
        <w:rPr/>
      </w:pPr>
      <w:r>
        <w:rPr>
          <w:rFonts w:ascii="Times New Roman;sans-serif" w:hAnsi="Times New Roman;sans-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battery-based energy storage solutions, service agreements with customers to provide operational services related to battery-based energy storage solutions, and from digital application contracts. Fluence enters into contracts with utility companies, developers, and commercial and industrial customers.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for our energy storage solutions as we transfer control of our product to the customer.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solutions by our customers and our ability to increase our share of demand in the geographic regions where we currently compete and plan to compete in the future, which is driven by the demand for our products, geographic mix of our customers, strength of competitors’ product offerings, and availability of government incentives to the end-users of our products as well as our ability to continue to develop and commercialize new and innovative solutions that address the changing technology and performance requirements of our customers. </w:t>
      </w:r>
    </w:p>
    <w:p>
      <w:pPr>
        <w:pStyle w:val="TextBody"/>
        <w:bidi w:val="0"/>
        <w:spacing w:lineRule="auto" w:line="288" w:before="160" w:after="283"/>
        <w:jc w:val="both"/>
        <w:rPr/>
      </w:pPr>
      <w:r>
        <w:rPr>
          <w:rFonts w:ascii="Times New Roman;sans-serif" w:hAnsi="Times New Roman;sans-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Standard inventory materials that could be used interchangeably on other projects are included in cost of goods sold when they are integrated into, or restricted to, the production of a customer’s project.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ans-serif" w:hAnsi="Times New Roman;sans-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profit margin may vary from quarter to quarter and are primarily affected by our volume fulfilled, product prices, and product costs.</w:t>
      </w:r>
    </w:p>
    <w:p>
      <w:pPr>
        <w:pStyle w:val="TextBody"/>
        <w:bidi w:val="0"/>
        <w:spacing w:lineRule="auto" w:line="288" w:before="160" w:after="283"/>
        <w:jc w:val="both"/>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future. </w:t>
      </w:r>
    </w:p>
    <w:p>
      <w:pPr>
        <w:pStyle w:val="TextBody"/>
        <w:bidi w:val="0"/>
        <w:spacing w:lineRule="auto" w:line="288" w:before="160" w:after="283"/>
        <w:jc w:val="both"/>
        <w:rPr/>
      </w:pPr>
      <w:r>
        <w:rPr>
          <w:rFonts w:ascii="Times New Roman;sans-serif" w:hAnsi="Times New Roman;sans-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a system-level testing facility in Pennsylvania that is used for quality assurance and the rapid iteration, testing, and launching of new Fluence energy storage technology and products, a testing facility located in Erlangen, Germany, and a deployment center located in Long Beach, California. We have established an additional Hardware in the Loop testing facility, 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ans-serif" w:hAnsi="Times New Roman;sans-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including salaries, stock-based compensation, employee benefits and factoring discounts on receivables sold.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TextBody"/>
        <w:bidi w:val="0"/>
        <w:spacing w:lineRule="auto" w:line="288" w:before="160" w:after="283"/>
        <w:jc w:val="both"/>
        <w:rPr/>
      </w:pPr>
      <w:r>
        <w:rPr>
          <w:rFonts w:ascii="Times New Roman;sans-serif" w:hAnsi="Times New Roman;sans-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(Income),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consists primarily of interest income net of interest expense. Interest income consists of interest earned on cash deposits and interest on customer notes receivables. Interest expense consists primarily of interest on borrowings against notes receivable pledged as collateral interest from 2030 Convertible Senior Notes, unused line fees and commitment fees related to credit facilities, and amortization of debt issuance costs.</w:t>
      </w:r>
    </w:p>
    <w:p>
      <w:pPr>
        <w:pStyle w:val="TextBody"/>
        <w:bidi w:val="0"/>
        <w:spacing w:lineRule="auto" w:line="288" w:before="160" w:after="283"/>
        <w:jc w:val="both"/>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primarily consists of expense or income from foreign currency exchange gains and losses on monetary assets and liabilities, factoring income from sale of receivables. and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ans-serif" w:hAnsi="Times New Roman;sans-serif"/>
          <w:b/>
          <w:color w:val="000000"/>
          <w:sz w:val="20"/>
        </w:rPr>
        <w:t>Key Operating Metrics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key operating metrics as of March 31, 2025 and September 30, 2024. The tables below present the metrics in either Gigawatts (GW) or Gigawatt hours (GWh). Our key operating metrics focus on project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milestones to measure our performance and designate each project as either “deployed”, “assets under management”, “contracted backlog”, or “pipeline”. </w:t>
      </w:r>
    </w:p>
    <w:tbl>
      <w:tblPr>
        <w:tblW w:w="9780"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tbl>
      <w:tblPr>
        <w:tblW w:w="8594"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tbl>
      <w:tblPr>
        <w:tblW w:w="8594"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79"/>
        <w:gridCol w:w="479"/>
        <w:gridCol w:w="481"/>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order intake for the three and six months ended March 31, 2025 and 2024. The table is presented in Gigawatts (GW):</w:t>
      </w:r>
    </w:p>
    <w:tbl>
      <w:tblPr>
        <w:tblW w:w="10205" w:type="dxa"/>
        <w:jc w:val="left"/>
        <w:tblInd w:w="0" w:type="dxa"/>
        <w:tblLayout w:type="fixed"/>
        <w:tblCellMar>
          <w:top w:w="28" w:type="dxa"/>
          <w:left w:w="28" w:type="dxa"/>
          <w:bottom w:w="28" w:type="dxa"/>
          <w:right w:w="28" w:type="dxa"/>
        </w:tblCellMar>
      </w:tblPr>
      <w:tblGrid>
        <w:gridCol w:w="666"/>
        <w:gridCol w:w="487"/>
        <w:gridCol w:w="491"/>
        <w:gridCol w:w="109"/>
        <w:gridCol w:w="109"/>
        <w:gridCol w:w="109"/>
        <w:gridCol w:w="308"/>
        <w:gridCol w:w="161"/>
        <w:gridCol w:w="161"/>
        <w:gridCol w:w="161"/>
        <w:gridCol w:w="161"/>
        <w:gridCol w:w="161"/>
        <w:gridCol w:w="308"/>
        <w:gridCol w:w="161"/>
        <w:gridCol w:w="161"/>
        <w:gridCol w:w="109"/>
        <w:gridCol w:w="109"/>
        <w:gridCol w:w="109"/>
        <w:gridCol w:w="250"/>
        <w:gridCol w:w="250"/>
        <w:gridCol w:w="251"/>
        <w:gridCol w:w="109"/>
        <w:gridCol w:w="109"/>
        <w:gridCol w:w="109"/>
        <w:gridCol w:w="270"/>
        <w:gridCol w:w="270"/>
        <w:gridCol w:w="271"/>
        <w:gridCol w:w="109"/>
        <w:gridCol w:w="109"/>
        <w:gridCol w:w="109"/>
        <w:gridCol w:w="283"/>
        <w:gridCol w:w="172"/>
        <w:gridCol w:w="154"/>
        <w:gridCol w:w="154"/>
        <w:gridCol w:w="154"/>
        <w:gridCol w:w="154"/>
        <w:gridCol w:w="283"/>
        <w:gridCol w:w="172"/>
        <w:gridCol w:w="154"/>
        <w:gridCol w:w="109"/>
        <w:gridCol w:w="109"/>
        <w:gridCol w:w="109"/>
        <w:gridCol w:w="250"/>
        <w:gridCol w:w="250"/>
        <w:gridCol w:w="251"/>
        <w:gridCol w:w="109"/>
        <w:gridCol w:w="109"/>
        <w:gridCol w:w="109"/>
        <w:gridCol w:w="251"/>
        <w:gridCol w:w="251"/>
        <w:gridCol w:w="361"/>
      </w:tblGrid>
      <w:tr>
        <w:trPr/>
        <w:tc>
          <w:tcPr>
            <w:tcW w:w="6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Deployed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Assets Under Management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Contracted Backlog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Contracted/Order Intake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ans-serif" w:hAnsi="Times New Roman;sans-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ans-serif" w:hAnsi="Times New Roman;sans-serif"/>
          <w:b w:val="false"/>
          <w:color w:val="000000"/>
          <w:sz w:val="20"/>
        </w:rPr>
        <w:t xml:space="preserve">Pipeline is an internal management metric that we construct from market information reported by our global sales force. </w:t>
      </w:r>
      <w:r>
        <w:rPr>
          <w:rFonts w:ascii="Times New Roman;sans-serif" w:hAnsi="Times New Roman;sans-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calculated from the consolidated statements of operations using net income (loss) adjusted for (i) interest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calculated using gross profit, adjusted to exclude (i) stock-based compensation expenses, (ii) amortization, and (iii) other non-recurring income or expenses. Adjusted Gross Profit Margin is calculated using Adjusted Gross Profit divided by total revenue.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U.S. generally accepted accounting principles (“U.S. GAAP”) financial measures, such as net cash provided by operating activities; and (iii) this metric does not reflect our future contractual commitments.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non-GAAP measures for the periods indicated. </w:t>
      </w:r>
    </w:p>
    <w:tbl>
      <w:tblPr>
        <w:tblW w:w="11852" w:type="dxa"/>
        <w:jc w:val="left"/>
        <w:tblInd w:w="0" w:type="dxa"/>
        <w:tblLayout w:type="fixed"/>
        <w:tblCellMar>
          <w:top w:w="28" w:type="dxa"/>
          <w:left w:w="28" w:type="dxa"/>
          <w:bottom w:w="28" w:type="dxa"/>
          <w:right w:w="28" w:type="dxa"/>
        </w:tblCellMar>
      </w:tblPr>
      <w:tblGrid>
        <w:gridCol w:w="693"/>
        <w:gridCol w:w="306"/>
        <w:gridCol w:w="307"/>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40"/>
        <w:gridCol w:w="241"/>
        <w:gridCol w:w="451"/>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40"/>
        <w:gridCol w:w="241"/>
        <w:gridCol w:w="508"/>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 in thousands)</w:t>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9"/>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9"/>
              </w:rPr>
              <w:t>Change %</w:t>
            </w:r>
          </w:p>
        </w:tc>
      </w:tr>
      <w:tr>
        <w:trPr/>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non-recurring expenses</w:t>
            </w:r>
            <w:r>
              <w:rPr>
                <w:rFonts w:ascii="Times New Roman;sans-serif" w:hAnsi="Times New Roman;sans-serif"/>
                <w:b w:val="false"/>
                <w:i/>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Adjusted EBITDA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(55,721)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4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4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(b) Amount for the three and six months ended March 31, 2025 includes $3.1 million in severance costs related to restructuring. Amount for the six months ended March 31, 2024 includes approximately $1.2 million of costs related to the termination of the Revolving Credit Agreement and $0.8 million in costs related to the secondary offering completed in December 2023.</w:t>
      </w:r>
    </w:p>
    <w:tbl>
      <w:tblPr>
        <w:tblW w:w="12952" w:type="dxa"/>
        <w:jc w:val="left"/>
        <w:tblInd w:w="0" w:type="dxa"/>
        <w:tblLayout w:type="fixed"/>
        <w:tblCellMar>
          <w:top w:w="28" w:type="dxa"/>
          <w:left w:w="28" w:type="dxa"/>
          <w:bottom w:w="28" w:type="dxa"/>
          <w:right w:w="28" w:type="dxa"/>
        </w:tblCellMar>
      </w:tblPr>
      <w:tblGrid>
        <w:gridCol w:w="693"/>
        <w:gridCol w:w="306"/>
        <w:gridCol w:w="307"/>
        <w:gridCol w:w="109"/>
        <w:gridCol w:w="109"/>
        <w:gridCol w:w="109"/>
        <w:gridCol w:w="247"/>
        <w:gridCol w:w="264"/>
        <w:gridCol w:w="557"/>
        <w:gridCol w:w="109"/>
        <w:gridCol w:w="109"/>
        <w:gridCol w:w="109"/>
        <w:gridCol w:w="211"/>
        <w:gridCol w:w="826"/>
        <w:gridCol w:w="271"/>
        <w:gridCol w:w="109"/>
        <w:gridCol w:w="109"/>
        <w:gridCol w:w="109"/>
        <w:gridCol w:w="211"/>
        <w:gridCol w:w="841"/>
        <w:gridCol w:w="109"/>
        <w:gridCol w:w="109"/>
        <w:gridCol w:w="109"/>
        <w:gridCol w:w="109"/>
        <w:gridCol w:w="259"/>
        <w:gridCol w:w="207"/>
        <w:gridCol w:w="417"/>
        <w:gridCol w:w="109"/>
        <w:gridCol w:w="109"/>
        <w:gridCol w:w="109"/>
        <w:gridCol w:w="211"/>
        <w:gridCol w:w="721"/>
        <w:gridCol w:w="271"/>
        <w:gridCol w:w="109"/>
        <w:gridCol w:w="109"/>
        <w:gridCol w:w="109"/>
        <w:gridCol w:w="211"/>
        <w:gridCol w:w="826"/>
        <w:gridCol w:w="271"/>
        <w:gridCol w:w="109"/>
        <w:gridCol w:w="109"/>
        <w:gridCol w:w="109"/>
        <w:gridCol w:w="211"/>
        <w:gridCol w:w="841"/>
        <w:gridCol w:w="109"/>
        <w:gridCol w:w="109"/>
        <w:gridCol w:w="109"/>
        <w:gridCol w:w="109"/>
        <w:gridCol w:w="260"/>
        <w:gridCol w:w="206"/>
        <w:gridCol w:w="472"/>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i/>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non-recurring expenses</w:t>
            </w:r>
            <w:r>
              <w:rPr>
                <w:rFonts w:ascii="Times New Roman;sans-serif" w:hAnsi="Times New Roman;sans-serif"/>
                <w:b w:val="false"/>
                <w:i/>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Margin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Includes incentive awards that will be settled in shares and incentive awards that will be settled in cash.</w:t>
      </w:r>
    </w:p>
    <w:p>
      <w:pPr>
        <w:pStyle w:val="TextBody"/>
        <w:bidi w:val="0"/>
        <w:spacing w:lineRule="auto" w:line="288" w:before="4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(b) Amount primarily relates to amortization of capitalized software included in cost of goods and services.</w:t>
      </w:r>
    </w:p>
    <w:p>
      <w:pPr>
        <w:pStyle w:val="TextBody"/>
        <w:bidi w:val="0"/>
        <w:spacing w:lineRule="auto" w:line="288" w:before="4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(c) Amount relates to severance costs related to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2"/>
        <w:gridCol w:w="1356"/>
        <w:gridCol w:w="1362"/>
        <w:gridCol w:w="109"/>
        <w:gridCol w:w="109"/>
        <w:gridCol w:w="109"/>
        <w:gridCol w:w="211"/>
        <w:gridCol w:w="901"/>
        <w:gridCol w:w="109"/>
        <w:gridCol w:w="109"/>
        <w:gridCol w:w="109"/>
        <w:gridCol w:w="109"/>
        <w:gridCol w:w="211"/>
        <w:gridCol w:w="721"/>
        <w:gridCol w:w="109"/>
        <w:gridCol w:w="109"/>
        <w:gridCol w:w="109"/>
        <w:gridCol w:w="109"/>
        <w:gridCol w:w="211"/>
        <w:gridCol w:w="901"/>
        <w:gridCol w:w="109"/>
        <w:gridCol w:w="109"/>
        <w:gridCol w:w="109"/>
        <w:gridCol w:w="109"/>
        <w:gridCol w:w="269"/>
        <w:gridCol w:w="271"/>
        <w:gridCol w:w="61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ind w:left="0" w:right="0" w:firstLine="360"/>
        <w:jc w:val="both"/>
        <w:rPr>
          <w:rFonts w:ascii="Times New Roman;sans-serif" w:hAnsi="Times New Roman;sans-serif"/>
          <w:b/>
          <w:i/>
          <w:color w:val="000000"/>
          <w:sz w:val="19"/>
        </w:rPr>
      </w:pPr>
      <w:r>
        <w:rPr>
          <w:rFonts w:ascii="Times New Roman;sans-serif" w:hAnsi="Times New Roman;sans-serif"/>
          <w:b/>
          <w:i/>
          <w:color w:val="000000"/>
          <w:sz w:val="19"/>
        </w:rPr>
        <w:t xml:space="preserve">Comparison of the three and six months ended March 31, 2025 and 2024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following table sets forth our operating results for the periods indicated.</w:t>
      </w:r>
      <w:r>
        <w:rPr>
          <w:color w:val="000000"/>
        </w:rPr>
        <w:t xml:space="preserve"> </w:t>
      </w:r>
    </w:p>
    <w:tbl>
      <w:tblPr>
        <w:tblW w:w="12579" w:type="dxa"/>
        <w:jc w:val="left"/>
        <w:tblInd w:w="0" w:type="dxa"/>
        <w:tblLayout w:type="fixed"/>
        <w:tblCellMar>
          <w:top w:w="28" w:type="dxa"/>
          <w:left w:w="28" w:type="dxa"/>
          <w:bottom w:w="28" w:type="dxa"/>
          <w:right w:w="28" w:type="dxa"/>
        </w:tblCellMar>
      </w:tblPr>
      <w:tblGrid>
        <w:gridCol w:w="678"/>
        <w:gridCol w:w="306"/>
        <w:gridCol w:w="307"/>
        <w:gridCol w:w="109"/>
        <w:gridCol w:w="109"/>
        <w:gridCol w:w="109"/>
        <w:gridCol w:w="308"/>
        <w:gridCol w:w="390"/>
        <w:gridCol w:w="391"/>
        <w:gridCol w:w="109"/>
        <w:gridCol w:w="109"/>
        <w:gridCol w:w="109"/>
        <w:gridCol w:w="308"/>
        <w:gridCol w:w="390"/>
        <w:gridCol w:w="391"/>
        <w:gridCol w:w="109"/>
        <w:gridCol w:w="109"/>
        <w:gridCol w:w="109"/>
        <w:gridCol w:w="369"/>
        <w:gridCol w:w="418"/>
        <w:gridCol w:w="423"/>
        <w:gridCol w:w="109"/>
        <w:gridCol w:w="109"/>
        <w:gridCol w:w="109"/>
        <w:gridCol w:w="259"/>
        <w:gridCol w:w="207"/>
        <w:gridCol w:w="417"/>
        <w:gridCol w:w="109"/>
        <w:gridCol w:w="109"/>
        <w:gridCol w:w="109"/>
        <w:gridCol w:w="308"/>
        <w:gridCol w:w="419"/>
        <w:gridCol w:w="422"/>
        <w:gridCol w:w="109"/>
        <w:gridCol w:w="109"/>
        <w:gridCol w:w="109"/>
        <w:gridCol w:w="308"/>
        <w:gridCol w:w="390"/>
        <w:gridCol w:w="391"/>
        <w:gridCol w:w="109"/>
        <w:gridCol w:w="109"/>
        <w:gridCol w:w="109"/>
        <w:gridCol w:w="369"/>
        <w:gridCol w:w="418"/>
        <w:gridCol w:w="423"/>
        <w:gridCol w:w="109"/>
        <w:gridCol w:w="109"/>
        <w:gridCol w:w="109"/>
        <w:gridCol w:w="268"/>
        <w:gridCol w:w="213"/>
        <w:gridCol w:w="472"/>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431,618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623,141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(191,523)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618,406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987,097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(368,691)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886,531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64,180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63,783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(14,542)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(29,383)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(102,653)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(41,333)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(41,932)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(29,056)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(98,945)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(60,513)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Total re</w:t>
      </w:r>
      <w:r>
        <w:rPr>
          <w:rFonts w:ascii="Times New Roman;sans-serif" w:hAnsi="Times New Roman;sans-serif"/>
          <w:b w:val="false"/>
          <w:color w:val="000000"/>
          <w:sz w:val="20"/>
          <w:shd w:fill="FFFFFF" w:val="clear"/>
        </w:rPr>
        <w:t>venue de</w:t>
      </w:r>
      <w:r>
        <w:rPr>
          <w:rFonts w:ascii="Times New Roman;sans-serif" w:hAnsi="Times New Roman;sans-serif"/>
          <w:b w:val="false"/>
          <w:color w:val="000000"/>
          <w:sz w:val="20"/>
        </w:rPr>
        <w:t xml:space="preserve">creased by $191.5 million, or 31%, for the three months ended March 31, 2025, compared to the three months ended March 31, 2024. The decrease in total revenue for the three months ended March 31, 2025 was mainly attributable to a decrease in revenue from our battery-based energy storage products and solutions which was primarily driven by decreased volumes of Gridstack solutions projects fulfilled due to timing based upon customer schedules and due to the pronounced backend nature of expected revenue for the fiscal year 2025 compared to the revenue distribution seen in fiscal year 2024.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Total re</w:t>
      </w:r>
      <w:r>
        <w:rPr>
          <w:rFonts w:ascii="Times New Roman;sans-serif" w:hAnsi="Times New Roman;sans-serif"/>
          <w:b w:val="false"/>
          <w:color w:val="000000"/>
          <w:sz w:val="20"/>
          <w:shd w:fill="FFFFFF" w:val="clear"/>
        </w:rPr>
        <w:t>venue de</w:t>
      </w:r>
      <w:r>
        <w:rPr>
          <w:rFonts w:ascii="Times New Roman;sans-serif" w:hAnsi="Times New Roman;sans-serif"/>
          <w:b w:val="false"/>
          <w:color w:val="000000"/>
          <w:sz w:val="20"/>
        </w:rPr>
        <w:t xml:space="preserve">creased by $368.7 million, or 37%, for the six months ended March 31, 2025, compared to the six months ended March 31, 2024. The decrease in total revenue for the six months ended March 31, 2025 was mainly attributable to a decrease in revenue from our battery-based energy storage products and solutions which was primarily driven by decreased volumes of Gridstack solutions projects fulfilled due to timing based upon customer schedules and due to the pronounced backend nature of expected revenue for the fiscal year 2025 compared to the revenue distribution seen in fiscal year 2024. </w:t>
      </w:r>
    </w:p>
    <w:p>
      <w:pPr>
        <w:pStyle w:val="TextBody"/>
        <w:bidi w:val="0"/>
        <w:spacing w:lineRule="auto" w:line="288" w:before="160" w:after="283"/>
        <w:jc w:val="both"/>
        <w:rPr/>
      </w:pPr>
      <w:r>
        <w:rPr>
          <w:rFonts w:ascii="Times New Roman;sans-serif" w:hAnsi="Times New Roman;sans-serif"/>
          <w:b/>
          <w:i/>
          <w:color w:val="000000"/>
          <w:sz w:val="20"/>
        </w:rPr>
        <w:t>Costs of Goods and Services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decreased by $169.9 million, or 30%, for the three months ended March 31, 2025, compared to the three months ended March 31, 2024. The decrease in cost of goods and services for the three months ended March 31, 2025 was mainly attributable to the decreased volumes of Gridstack solutions projects fulfilled due to timing based upon customer schedules.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decreased by $331.9 million, or 37%, for the six months ended March 31, 2025, compared to the six months ended March 31, 2024. The decrease in cost of goods and services for the six months ended March 31, 2025 was mainly attributable to the decreased volumes of Gridstack solutions projects fulfilled due to timing based upon customer schedules.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Gross Profit and Gross Profit Margin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decreased by $21.6 million, or 34%, for the three months ended March 31, 2025, compared to the three months ended March 31, 2024. The decrease in gross profit for the three months ended March 31, 2025 was primarily due to decreased volumes of Gridstack solutions projects fulfilled due to timing based upon customer schedules, while gross profit margin remained relatively consistent.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decreased by $36.8 million, or 37%, for the six months ended March 31, 2025, compared to the six months ended March 31, 2024. The decrease in gross profit for the six months ended March 31, 2025 was primarily due to decreased volumes of Gridstack solutions projects fulfilled due to timing based upon customer schedules, while gross profit margin remained relatively consistent.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$4.7 million, or 27%, for the three months ended March 31, 2025, compared to the three months ended March 31, 2024. The increase in research and development expenses for the three months ended March 31, 2025 was primarily attributable to a $1.4 million increase in expenditures for consulting services related to our forthcoming U.S. battery module manufacturing and a $1.5 million increase in salaries and personnel-related expenses, including stock-based compensation, due to an increase in headcount to support our growth.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$6.4 million, or 20%, for the six months ended March 31, 2025, compared to the six months ended March 31, 2024. The increase in research and development expenses for the six months ended March 31, 2025 was primarily attributable to a $2.3 million increase in expenditures for consulting services related to our forthcoming U.S. battery module manufacturing and a $2.0 million increase in salaries and personnel-related expenses, including stock-based compensation, due to an increase in headcount to support our growth.</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$5.4 million, or 34%, for the three months ended March 31, 2025, compared to the three months ended March 31, 2024. The increase in sales and marketing expenses for the three months ended March 31, 2025 was primarily attributable to a $4.0 million increase in salaries and personnel-related expenses, including stock-based compensation, due to an increase in headcount to support our growth.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$12.9 million, or 49%, for the six months ended March 31, 2025, compared to the six months ended March 31, 2024. The increase in sales and marketing expenses for the six months ended March 31, 2025 was primarily attributable to a $10.7 million increase in salaries and personnel-related expenses, including stock-based compensation, due to an increase in headcount to support our growth.</w:t>
      </w:r>
    </w:p>
    <w:p>
      <w:pPr>
        <w:pStyle w:val="TextBody"/>
        <w:bidi w:val="0"/>
        <w:spacing w:lineRule="auto" w:line="288" w:before="16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relatively flat for the three months ended March 31, 2025, compared to the three months ended March 31, 2024.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relatively flat for the six months ended March 31, 2025, compared to the six months ended March 31, 2024.</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by $0.5 million, or 19%, for the three months ended March 31, 2025, compared to the three months ended March 31, 2024, primarily attributable to increases in amortization of capitalized software.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by $0.8 million, or 16% for the six months ended March 31, 2025, compared to the six months ended March 31, 2024, primarily attributable to increases in amortization of capitalized software.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(Income), Net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Interest expense (income), net increased by $1.7 million, or </w:t>
      </w:r>
      <w:r>
        <w:rPr>
          <w:rFonts w:ascii="Times New Roman;sans-serif" w:hAnsi="Times New Roman;sans-serif"/>
          <w:b w:val="false"/>
          <w:color w:val="000000"/>
          <w:sz w:val="20"/>
        </w:rPr>
        <w:t>131%, i</w:t>
      </w:r>
      <w:r>
        <w:rPr>
          <w:rFonts w:ascii="Times New Roman;sans-serif" w:hAnsi="Times New Roman;sans-serif"/>
          <w:b w:val="false"/>
          <w:color w:val="000000"/>
          <w:sz w:val="20"/>
          <w:shd w:fill="FFFFFF" w:val="clear"/>
        </w:rPr>
        <w:t>n the three months ended March 31, 2025, compared to the three months ended March 31, 2024, primarily attributable to the interest expense</w:t>
      </w:r>
      <w:r>
        <w:rPr>
          <w:color w:val="000000"/>
        </w:rPr>
        <w:t xml:space="preserve"> </w:t>
      </w:r>
      <w:r>
        <w:rPr>
          <w:rFonts w:ascii="Times New Roman;sans-serif" w:hAnsi="Times New Roman;sans-serif"/>
          <w:b w:val="false"/>
          <w:color w:val="000000"/>
          <w:sz w:val="20"/>
        </w:rPr>
        <w:t xml:space="preserve">of $2.7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recognized for the 2030 Convertible Senior Notes (as defined below), partially offset by an increase in interest income of $1.5 million related to cash deposits and investments.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Interest income, net decreased by $2.9 million, or </w:t>
      </w:r>
      <w:r>
        <w:rPr>
          <w:rFonts w:ascii="Times New Roman;sans-serif" w:hAnsi="Times New Roman;sans-serif"/>
          <w:b w:val="false"/>
          <w:color w:val="000000"/>
          <w:sz w:val="20"/>
        </w:rPr>
        <w:t>89%, i</w:t>
      </w:r>
      <w:r>
        <w:rPr>
          <w:rFonts w:ascii="Times New Roman;sans-serif" w:hAnsi="Times New Roman;sans-serif"/>
          <w:b w:val="false"/>
          <w:color w:val="000000"/>
          <w:sz w:val="20"/>
          <w:shd w:fill="FFFFFF" w:val="clear"/>
        </w:rPr>
        <w:t xml:space="preserve">n the </w:t>
      </w:r>
      <w:r>
        <w:rPr>
          <w:rFonts w:ascii="Times New Roman;sans-serif" w:hAnsi="Times New Roman;sans-serif"/>
          <w:b w:val="false"/>
          <w:color w:val="000000"/>
          <w:sz w:val="20"/>
        </w:rPr>
        <w:t>six months ended March 31, 2025</w:t>
      </w:r>
      <w:r>
        <w:rPr>
          <w:rFonts w:ascii="Times New Roman;sans-serif" w:hAnsi="Times New Roman;sans-serif"/>
          <w:b w:val="false"/>
          <w:color w:val="000000"/>
          <w:sz w:val="20"/>
          <w:shd w:fill="FFFFFF" w:val="clear"/>
        </w:rPr>
        <w:t xml:space="preserve">, compared to the </w:t>
      </w:r>
      <w:r>
        <w:rPr>
          <w:rFonts w:ascii="Times New Roman;sans-serif" w:hAnsi="Times New Roman;sans-serif"/>
          <w:b w:val="false"/>
          <w:color w:val="000000"/>
          <w:sz w:val="20"/>
        </w:rPr>
        <w:t>six months ended March 31, 2024, primarily attributable to the interest expense of $3.3 million recognized for the 2030 Convertible Senior Notes (as defined below).</w:t>
      </w:r>
    </w:p>
    <w:p>
      <w:pPr>
        <w:pStyle w:val="TextBody"/>
        <w:bidi w:val="0"/>
        <w:spacing w:lineRule="auto" w:line="288" w:before="160" w:after="283"/>
        <w:jc w:val="both"/>
        <w:rPr/>
      </w:pPr>
      <w:r>
        <w:rPr>
          <w:rFonts w:ascii="Times New Roman;sans-serif" w:hAnsi="Times New Roman;sans-serif"/>
          <w:b/>
          <w:i/>
          <w:color w:val="000000"/>
          <w:sz w:val="20"/>
        </w:rPr>
        <w:t>Other (Income) Expense, Net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Other </w:t>
      </w:r>
      <w:r>
        <w:rPr>
          <w:rFonts w:ascii="Times New Roman;sans-serif" w:hAnsi="Times New Roman;sans-serif"/>
          <w:b w:val="false"/>
          <w:color w:val="000000"/>
          <w:sz w:val="20"/>
        </w:rPr>
        <w:t>(income) expense, net increased by $1.8 million, or 820%, for the three months ended March 31, 2025, compared to the three months ended March 31, 2024. The increase in other (income) expense, net for the three months ended March 31, 2025 was primarily attributable to a $3.6 million increase in favorable foreign currency exchange gains on monetary assets and liabilities period over period, partially offset by factoring income of $1.5 million related to the MRPA (as defined below) recorded in the prior period.</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Other </w:t>
      </w:r>
      <w:r>
        <w:rPr>
          <w:rFonts w:ascii="Times New Roman;sans-serif" w:hAnsi="Times New Roman;sans-serif"/>
          <w:b w:val="false"/>
          <w:color w:val="000000"/>
          <w:sz w:val="20"/>
        </w:rPr>
        <w:t>(income) expense, net decreased by $5.2 million, or 533%, for the six months ended March 31, 2025, compared to the six months ended March 31, 2024. The increase in other expense (income), net for the six months ended March 31, 2025 was primarily attributable to a $5.3 million increase in unfavorable foreign currency exchange losses on monetary assets and liabilities period over period.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increased by $0.3 million, or 20%, for the three months ended March 31, 2025, compared to the three months ended March 31, 2024. The increase in income tax benefit for the three months ended March 31, 2025 was primarily attributable to an increase in global pre-tax losses.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increased by $0.8 million, or 28%, for the six months ended March 31, 2025, compared to the six months ended March 31, 2024. The increase in income tax benefit for the six months ended March 31, 2025 was primarily attributable to an increase in global pre-tax losses.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$29.1 million, or 226%, for the three months ended March 31, 2025, compared to the three months ended March 31, 2024. The increase in net loss for the three months ended March 31, 2025 was primarily attributable to (i) a decrease in “Gross profit,” (ii) an increase in “Sales and marketing expenses,” and (iii) an increase in “Research and development expenses,” each as described above.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increased by $60.5 million, or 157%, for the six months ended March 31, 2025, compared to the six months ended March 31, 2024. The increase in net loss for the six months ended March 31, 2025 was primarily attributable to (i) a decrease in “Gross profit,” (ii) an increase in “Sales and marketing expenses,” and (iii) an increase in “Research and development expenses,” each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and through March 31, 2025, our principal sources of liquidity were the proceeds from our initial public offering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LLC (“Siemens Industry”) and proceeds from the investment by QIA Florence Holdings, LLC, an affiliate of Qatar Holding LLC in 2021, proceeds from short term investments, borrowings against note receivables, and proceeds from sale of accounts receivable under the MRPA (as defined below).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proceeds received from our IPO, our existing cash and cash equivalents, cash flows from operations, which includes sales of accounts receivable under the MRPA, proceeds from the issuance of the 2030 Convertible Senior Notes, borrowings against notes receivable, and availability under our 2024 Revolver (as defined below) will be sufficient to meet our expense and capital requirements for at least the next 12 months following the filing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Our capital requirements, and ability to generate cash flow, have been and may in the future vary materially from those planned and will depend on many factors, including our rate of reven</w:t>
      </w:r>
      <w:r>
        <w:rPr>
          <w:rFonts w:ascii="Times New Roman;sans-serif" w:hAnsi="Times New Roman;sans-serif"/>
          <w:b w:val="false"/>
          <w:color w:val="000000"/>
          <w:sz w:val="20"/>
          <w:shd w:fill="FFFFFF" w:val="clear"/>
        </w:rPr>
        <w:t>ue growth, the timing and extent of our growth initiatives, our introduction of new products, services, and digital application offerings, and overall regulatory and macroeconomic conditions, including, among others, factors relating to inflation, interest rate environment, impacts from tariffs and trade restrictions, labor shortages, supply chain disruptions, changing consumer behavior, increas</w:t>
      </w:r>
      <w:r>
        <w:rPr>
          <w:rFonts w:ascii="Times New Roman;sans-serif" w:hAnsi="Times New Roman;sans-serif"/>
          <w:b w:val="false"/>
          <w:color w:val="000000"/>
          <w:sz w:val="20"/>
        </w:rPr>
        <w:t>ed competition, and pandemics like COVID-19.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2030 Convertible Senior Notes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2024, the Company issued $400.0 million aggregate principal amount of 2.25% convertible senior notes due 2030 (the “2030 Convertible Senior Notes”). The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2030 Convertible Senior Notes, the Company purchased capped calls with certain financial institutions pursuant to capped call confirmations (collectively the “Capped Calls”). The premiums paid for the purchases of the Called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For further discussion of the 2030 Convertible Senior Notes and the Capped Calls, refer to “Note 12- </w:t>
      </w:r>
      <w:r>
        <w:rPr>
          <w:rFonts w:ascii="Times New Roman;sans-serif" w:hAnsi="Times New Roman;sans-serif"/>
          <w:b w:val="false"/>
          <w:color w:val="000000"/>
          <w:sz w:val="20"/>
        </w:rPr>
        <w:t>Convertible Senior Notes, Net</w:t>
      </w:r>
      <w:r>
        <w:rPr>
          <w:color w:val="000000"/>
          <w:shd w:fill="FFFFFF" w:val="clear"/>
        </w:rPr>
        <w:t xml:space="preserve">” </w:t>
      </w:r>
      <w:r>
        <w:rPr>
          <w:rFonts w:ascii="Times New Roman;sans-serif" w:hAnsi="Times New Roman;sans-serif"/>
          <w:b w:val="false"/>
          <w:color w:val="000000"/>
          <w:sz w:val="20"/>
          <w:shd w:fill="FFFFFF" w:val="clear"/>
        </w:rPr>
        <w:t>to our consolidated financial statements included elsewhere in this Report.</w:t>
      </w:r>
    </w:p>
    <w:p>
      <w:pPr>
        <w:pStyle w:val="TextBody"/>
        <w:bidi w:val="0"/>
        <w:spacing w:lineRule="auto" w:line="288" w:before="160" w:after="283"/>
        <w:jc w:val="both"/>
        <w:rPr>
          <w:rFonts w:ascii="Times New Roman;sans-serif" w:hAnsi="Times New Roman;sans-serif"/>
          <w:b/>
          <w:i/>
          <w:color w:val="0D0D0D"/>
          <w:sz w:val="20"/>
        </w:rPr>
      </w:pPr>
      <w:r>
        <w:rPr>
          <w:rFonts w:ascii="Times New Roman;sans-serif" w:hAnsi="Times New Roman;sans-serif"/>
          <w:b/>
          <w:i/>
          <w:color w:val="0D0D0D"/>
          <w:sz w:val="20"/>
        </w:rPr>
        <w:t>Supply Chain Financing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Corporation and Siemens Corporation, a subsidiary of Siemens AG, pursuant to the terms of the Credit Support and Reimbursement Agreement (as defined below). As of March 31, 2025, AES Corporation and Siemens Corporation issued guarantees of $50.0 million each, for a total of $100.0 million, to SCF Bank on our behalf.</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two suppliers were actively participating in the supply chain financing program, and we had $0.05 million of payables outstanding subject to the program. All outstanding payments owed under the program are recorded within “Accounts payable” on the condensed consolidated balance sheets.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Shelf Registration Statement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11, 2023, we filed an automatic shelf registration statement on Form S-3 with the SEC (the “Form S-3”) which became effective upon filing and will remain effective through August 11, 2026, subject to our continued eligibility to use such form.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We entered into a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“Revolving Credit Agreement”). The aggregate amount of commitments was $200.0 million. The Revolver was originally scheduled to mature on November 1, 2025. The Revolving Credit Agreement was terminated effective November 22, 2023, in conjunction with the entry into the ABL Credit Agreement (as further described below), and at such time, the Company prepaid all amounts outstanding under the Revolver and terminated all commitments thereunder. No penalties were required to be paid as a result of the termination.</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the Revolver, refer to “Note 11 - Debt” to our unaudited condensed consolidated financial statements included elsewhere in this Report.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Asset-Based Lending Facility</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as administrative agent, which was amended by the Master Assignment and Assumption and Issuing Bank Joinder, effective December 15, 2023, Amendment No. 1, dated April 8, 2024,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ans-serif" w:hAnsi="Times New Roman;sans-serif"/>
          <w:b w:val="false"/>
          <w:color w:val="000000"/>
          <w:sz w:val="20"/>
        </w:rPr>
        <w:t xml:space="preserve">2027, which remains the maturity date of borrowings under the 2024 Revolver.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time of our entry into Amendment No. 3 to the ABL Credit Agreement (as discussed below), there were no outstanding borrowings under the ABL Facility or letters of credit outstanding.</w:t>
      </w:r>
    </w:p>
    <w:p>
      <w:pPr>
        <w:pStyle w:val="TextBody"/>
        <w:bidi w:val="0"/>
        <w:spacing w:lineRule="auto" w:line="288" w:before="16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further discussion of the ABL Credit Agreement, refer to “Note 11 - Debt” to our consolidated financial statements included elsewhere in this Report.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2024 Revolver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(the "Amendment Effective Date"),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accrue at the rate of 0.50% per annum.</w:t>
      </w:r>
      <w:r>
        <w:rPr>
          <w:color w:val="000000"/>
        </w:rPr>
        <w:t xml:space="preserve"> </w:t>
      </w:r>
      <w:r>
        <w:rPr>
          <w:rFonts w:ascii="Times New Roman;sans-serif" w:hAnsi="Times New Roman;sans-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ans-serif" w:hAnsi="Times New Roman;sans-serif"/>
          <w:b w:val="false"/>
          <w:color w:val="000000"/>
          <w:sz w:val="20"/>
        </w:rPr>
        <w:t>In addition, we are required to maintain (i) from the Amendment Effective Date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ans-serif" w:hAnsi="Times New Roman;sans-serif"/>
          <w:b w:val="false"/>
          <w:color w:val="000000"/>
          <w:sz w:val="20"/>
          <w:shd w:fill="FFFFFF" w:val="clear"/>
        </w:rPr>
        <w:t xml:space="preserve">uch covenants are tested on a quarterly basis and upon the occurrence of other certain restricted payments, the incurrence of indebtedness, certain dispositions, and other specified transactions. As of March 31, 2025, we were in compliance with all such covenants.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ans-serif" w:hAnsi="Times New Roman;sans-serif"/>
          <w:b w:val="false"/>
          <w:color w:val="000000"/>
          <w:sz w:val="20"/>
          <w:shd w:fill="FFFFFF" w:val="clear"/>
        </w:rPr>
        <w:t xml:space="preserve">loans outstanding to be due and payable in whole or in part, and exercise other rights and remedies. The maturity date and the date of termination of lending commitments under the 2024 Credit Agreement both remain unchanged at November 22, 2027. </w:t>
      </w:r>
      <w:r>
        <w:rPr>
          <w:rFonts w:ascii="Times New Roman;sans-serif" w:hAnsi="Times New Roman;sans-serif"/>
          <w:b w:val="false"/>
          <w:color w:val="000000"/>
          <w:sz w:val="20"/>
        </w:rPr>
        <w:t xml:space="preserve">As of March 31, 2025, there are no cash borrowings under the 2024 Revolver, and there are $67.5 million letters of credit outstanding under the 2024 Revolver, with remaining availability of $432.5 million, net of letters of credit issued.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Borrowings Against Note Receivable - Pledged as Collateral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a maturity date of September 30, 2024. In April 2023, we aggregated and transferred an additional $30.9 million in receivables into a second long term note with the same customer to SCB for proceeds of $27.0 million, upon substantially similar terms as the December 2022 transfer and with a maturity date of December 27, 2024. These transactions were treated as secured borrowings as we did not transfer the entire note receivables due from the customer to SCB. We continued to receive quarterly interest income from the customer, while SCB was responsible for collecting payments on the principal balances which represented the initial receivable balances from the customer. We had no other continuing involvement or exposure related to the underlying receivables. On September 16, 2024 and December 27, 2024, $24.3 and $30.9 million of receivables, respectively, were paid in full, resulting in release of the corresponding notes and borrowings. For the six months ended March 31, 2025, the Company recorded net interest income of $0.0 million, which represents the aggregate of $0.5 million in interest income and $0.5 million in interest expense recorded in “Interest income, net.” For the six months ended March 31, 2024, the Company recorded net interest income of $0.2 million, which represents the aggregate of $2.3 million in interest income and $2.1 million in interest expense recorded in “Interest income, net.”</w:t>
      </w: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Sale of Receivables under Master Receivables Purchase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2024, Fluence Energy, LLC entered into the Master Receivables Purchase Agreement, by and among Fluence Energy, LLC and any other seller from time to time party thereto, as sellers and servicers, and Credit Agricole Corporate and Investment Bank ("CACIB"), as purchaser, of certain receivables on an uncommitted basis (the “MRPA”).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lineRule="auto" w:line="288" w:before="160" w:after="283"/>
        <w:jc w:val="both"/>
        <w:rPr/>
      </w:pPr>
      <w:r>
        <w:rPr>
          <w:rFonts w:ascii="Times New Roman;sans-serif" w:hAnsi="Times New Roman;sans-serif"/>
          <w:b/>
          <w:i/>
          <w:color w:val="000000"/>
          <w:sz w:val="20"/>
        </w:rPr>
        <w:t>Credit Support and Reimbursement Agreement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“Costs of goods and services” on Fluence’s condensed consolidated statements of operations. Guarantees are also issued by AES and Siemens Corporation, pursuant to the terms of the Credit Support and Reimbursement Agreement, in connection with the supplier chain financing program (as described in greater detail above).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Commitments, Contingencies, and Off-Balance Sheet Arrangements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As of March 31, 2025, the Company had outstanding bank guarantees, parent guarantees, letters of credit, and surety bonds issued as performance security arrangements for a large number of customer projects. </w:t>
      </w:r>
      <w:r>
        <w:rPr>
          <w:rFonts w:ascii="Times New Roman;sans-serif" w:hAnsi="Times New Roman;sans-serif"/>
          <w:b w:val="false"/>
          <w:color w:val="000000"/>
          <w:sz w:val="20"/>
          <w:shd w:fill="FFFFFF" w:val="clear"/>
        </w:rPr>
        <w:t xml:space="preserve">In addition, we have a limited number of parent company guarantees issued as payment security to certain vendors. </w:t>
      </w:r>
      <w:r>
        <w:rPr>
          <w:rFonts w:ascii="Times New Roman;sans-serif" w:hAnsi="Times New Roman;sans-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14 - Commitments and Contingencies” to our unaudited condensed financial statements included elsewhere in this Report for more information regarding our contingent obligations, including off-balance sheet arrangements, and legal contingencies.</w:t>
      </w:r>
    </w:p>
    <w:p>
      <w:pPr>
        <w:pStyle w:val="TextBody"/>
        <w:bidi w:val="0"/>
        <w:spacing w:lineRule="auto" w:line="288" w:before="240" w:after="283"/>
        <w:jc w:val="both"/>
        <w:rPr/>
      </w:pPr>
      <w:r>
        <w:rPr>
          <w:rFonts w:ascii="Times New Roman;sans-serif" w:hAnsi="Times New Roman;sans-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354"/>
        <w:gridCol w:w="1190"/>
        <w:gridCol w:w="1195"/>
        <w:gridCol w:w="109"/>
        <w:gridCol w:w="109"/>
        <w:gridCol w:w="109"/>
        <w:gridCol w:w="235"/>
        <w:gridCol w:w="1000"/>
        <w:gridCol w:w="121"/>
        <w:gridCol w:w="121"/>
        <w:gridCol w:w="121"/>
        <w:gridCol w:w="121"/>
        <w:gridCol w:w="235"/>
        <w:gridCol w:w="808"/>
        <w:gridCol w:w="121"/>
        <w:gridCol w:w="109"/>
        <w:gridCol w:w="109"/>
        <w:gridCol w:w="109"/>
        <w:gridCol w:w="211"/>
        <w:gridCol w:w="892"/>
        <w:gridCol w:w="109"/>
        <w:gridCol w:w="109"/>
        <w:gridCol w:w="109"/>
        <w:gridCol w:w="109"/>
        <w:gridCol w:w="393"/>
        <w:gridCol w:w="393"/>
        <w:gridCol w:w="604"/>
      </w:tblGrid>
      <w:tr>
        <w:trPr/>
        <w:tc>
          <w:tcPr>
            <w:tcW w:w="135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359,113 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365,744 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(5515.7)</w:t>
            </w:r>
          </w:p>
        </w:tc>
        <w:tc>
          <w:tcPr>
            <w:tcW w:w="6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 were $257.4 million for the six months ended March 31, 2025, compared to net cash provided by operating activities of $90.2 million for the six months ended March 31, 2024. The $347.7 million increase in net cash used in operating activities period over period was primarily due to a decrease in working capital balances of $275.3 million and an increase in net loss of $60.5 million. Below we describe in more detail the cash flows (used in) provided by operating activities for each period:</w:t>
      </w:r>
    </w:p>
    <w:p>
      <w:pPr>
        <w:pStyle w:val="TextBody"/>
        <w:bidi w:val="0"/>
        <w:spacing w:lineRule="auto" w:line="288" w:before="160" w:after="283"/>
        <w:jc w:val="both"/>
        <w:rPr/>
      </w:pPr>
      <w:r>
        <w:rPr>
          <w:color w:val="000000"/>
        </w:rPr>
        <w:t>•</w:t>
      </w:r>
      <w:r>
        <w:rPr>
          <w:rFonts w:ascii="Times New Roman;sans-serif" w:hAnsi="Times New Roman;sans-serif"/>
          <w:b w:val="false"/>
          <w:color w:val="000000"/>
          <w:sz w:val="20"/>
        </w:rPr>
        <w:t>Net cash flows used in operating activities of $257.4 million for the six months ended March 31, 2025 were primarily due to (i) net loss of $98.9 million, (ii) increases in inventory of $520.2 million due to cash expenditures on inventory, and (iii) decreases in accounts payable of $202.9 million due to the timing of payments to various vendors. These cash outflows were partially offset by net positive effects of changes in customer contract assets and liabilities. Specifically, deferred revenue, inclusive of related parties, increased in aggregate by $379.7 million and receivables, inclusive of trade, unbilled accounts receivable and receivables from related parties decreased in aggregate by $247.1 million due to timing of various customer project billings and cash collections in accordance with contract milestone payment schedules.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color w:val="000000"/>
        </w:rPr>
        <w:t>•</w:t>
      </w:r>
      <w:r>
        <w:rPr>
          <w:rFonts w:ascii="Times New Roman;sans-serif" w:hAnsi="Times New Roman;sans-serif"/>
          <w:b w:val="false"/>
          <w:color w:val="000000"/>
          <w:sz w:val="20"/>
        </w:rPr>
        <w:t>Net cash flows provided by operating activities of $90.2 million for the six months ended March 31, 2024 were primarily driven by increases in (i) accounts payable of $182.6 million due to timing of payments to various vendors and (ii) deferred revenue, inclusive of related parties of $51.0 million due to timing of various customer project billings and cash collections in accordance with contract milestone payment schedules. These cash inflows were partially offset by (i) an increase in inventory, impacting cash flow negatively by $96.4 million, and (ii) net loss of $38.4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$12.8 million for the six months ended March 31, 2025, which were due to purchases of property and equipment of $6.5 million and capital expenditures on software of $6.3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$7.5 million for the six months ended March 31, 2024, which were due to capital expenditures on software of $5.0 million and to purchases of property and equipment of $2.5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financing activities were $359.1 million for the six months ended March 31, 2025, which were primarily related to the proceeds received from the issuance of the 2030 Convertible Senior Notes of $400.0 million, partially offset by (i) premiums paid for the purchases of the Capped Calls of $29.0 million and (ii) payments for the debt issuance costs related to the 2030 Convertible Senior Notes of $10.6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financing activities were approximately $6.6 million for the six months ended March 31, 2024, which were primarily due to $4.3 million in payments related to debt issuances costs for the ABL Facility, and $3.9 million in payments for a previously acquired company (Nispera), partially offset by $1.6 million of proceeds from the exercise of stock options.</w:t>
      </w:r>
    </w:p>
    <w:p>
      <w:pPr>
        <w:pStyle w:val="TextBody"/>
        <w:bidi w:val="0"/>
        <w:spacing w:lineRule="auto" w:line="288" w:before="160" w:after="283"/>
        <w:jc w:val="both"/>
        <w:rPr/>
      </w:pPr>
      <w:r>
        <w:rPr>
          <w:rFonts w:ascii="Times New Roman;sans-serif" w:hAnsi="Times New Roman;sans-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Siemens Industry, Inc.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$126.4 million. The Founders will be entitled to receive payments under the Tax Receivable Agreement equaling 85% of such amount, or $107.4 million; assuming,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$1.5 million of Tax Receivable Agreement payment realized as of September 30, 2024,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ans-serif" w:hAnsi="Times New Roman;sans-serif"/>
          <w:b w:val="false"/>
          <w:color w:val="000000"/>
          <w:sz w:val="20"/>
        </w:rPr>
        <w:t>During the six months ended March 31, 2025, there we</w:t>
      </w:r>
      <w:r>
        <w:rPr>
          <w:rFonts w:ascii="Times New Roman;sans-serif" w:hAnsi="Times New Roman;sans-serif"/>
          <w:b w:val="false"/>
          <w:color w:val="000000"/>
          <w:sz w:val="20"/>
          <w:shd w:fill="FFFFFF" w:val="clear"/>
        </w:rPr>
        <w:t xml:space="preserve">re no significant changes in application of our critical accounting policies or estimation procedures from those </w:t>
      </w:r>
      <w:r>
        <w:rPr>
          <w:rFonts w:ascii="Times New Roman;sans-serif" w:hAnsi="Times New Roman;sans-serif"/>
          <w:b w:val="false"/>
          <w:color w:val="000000"/>
          <w:sz w:val="20"/>
        </w:rPr>
        <w:t>described under the heading “Management’s Discussion and Analysis of Financial Condition and Results of Operations—Critical Accounting Policies and Use of Estimates” in our 2024 Annual Report and the notes to the audited consolidated financial statements appearing elsewhere in the 2024 Annual Report</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our exposure to market risk as disclosed in Part II, Item 7A, “Quantitative and Qualitative Disclosures About Market Risk” of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March 31, 2025, the end of the period covered by this Report. Based upon that evaluation, management concluded that, as of March 31, 2025, our disclosure controls and procedures were effective at the reasonable assurance level.</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2025, the Company completed implementation and began using a new enterprise resource planning ("ERP") system, which replaced its pre-existing operational and financial system. As a result of this implementation, the Company modified certain existing internal controls over financial reporting and implemented new controls and procedures related to the new ERP system.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other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color w:val="000000"/>
          <w:sz w:val="20"/>
        </w:rPr>
        <w:t>Item 1A. Risk Factors</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There have been no material changes with respect to our risk factors previously disclosed in our 2024 Annual Report and in our Quarterly Report on Form 10-Q for the fiscal period ended December 31, 2024 filed with the SEC on February 10, 2025 (the “First Quarter Report”), other than as set forth below. You should carefully consider the risks described in Item 1A. "Risk Factors" of our 2024 Annual Report, Item 1A. “Risk Factors” of our First Quarter Report, and the risk factors below along with our unaudited condensed consolidated financial statements and the related notes, as well as our other public filings with the SEC, before making an investment decision. Our business, financial condition, and results of operations could be materially and adversely affected by any of these risks or un</w:t>
      </w:r>
      <w:r>
        <w:rPr>
          <w:rFonts w:ascii="Times New Roman;sans-serif" w:hAnsi="Times New Roman;sans-serif"/>
          <w:b w:val="false"/>
          <w:color w:val="000000"/>
          <w:sz w:val="20"/>
          <w:shd w:fill="FFFFFF" w:val="clear"/>
        </w:rPr>
        <w:t>certainties.</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business and customer demand for our offerings depends in part on government incentives and/or regulations relating to or mandating the use of renewable energy and/or energy storage. The reduction, elimination, modification, expiration, or determination of inapplicability of such government incentives or regulations could reduce customer demand for our energy storage solutions, which could lead to adverse effects to our business, operating results, and cash flows.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Federal, state, local, and foreign government bodies provide incentives and/or regulations relating to mandating or encouraging use of renewable energy and/or energy storage to owners, end users, distributors, system integrators, and manufacturers of renewable energy and energy storage products and solutions to promote renewable electricity and energy storage in the form of rebates, tax credits, other financial incentives, procurement requirements and market structures. The range and duration of these incentives and regulations varies widely by jurisdiction. Our customers typically use our energy storage solutions for grid-connected applications wherein power is sold under a power purchase agreement or into an organized electric market. The reduction, elimination, modification, expiration, or determination of inapplicability of government incentives or regulations related to mandating or encouraging the use of grid-connected renewable electricity and/or energy storage may negatively affect the competitiveness of our offerings relative to conventional renewable sources of electricity and could harm or halt the growth of our industry and our business. These incentives and/or regulations may expire on a particular date, end when the allocated funding is exhausted or be reduced or terminated as renewable energy adoption rates increase or as a result of legal challenges, the adoption of new statutes or regulations or changes to existing regulations, new regulatory guidance, or the passage of time. Reductions, modification, terminations, or determination of inapplicability of government incentives and/or regulations may occur without warning. There is no guarantee that such policies, regulations, and incentives will continue to exist in current form, if at all. The reduction, modification, elimination, or expiration of such government incentives and/or regulations or determination of inapplicability of such government incentives or regulations could reduce customer demand for our offerings, lead to a loss of customers and potential customer projects, and could harm our business, operating results, and cash flows.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For example, in August 2022, </w:t>
      </w:r>
      <w:r>
        <w:rPr>
          <w:rFonts w:ascii="Times New Roman;sans-serif" w:hAnsi="Times New Roman;sans-serif"/>
          <w:b w:val="false"/>
          <w:color w:val="000000"/>
          <w:sz w:val="20"/>
        </w:rPr>
        <w:t xml:space="preserve">the United States passed the Inflation Reduction Act of 2022 (the “IRA”), which includes incentives that support the adoption of energy storage solutions and services, including the “technology neutral” Investment Tax Credit (ITC) and Production Tax Credit (PTC) for projects placed in service after calendar year 2024, and changes to the non-“technology neutral” ITC and PTC for projects that started construction prior to the end of calendar year 2024 and are placed in service after calendar year 2022. The ITC is available for investments in a qualified storage facility, a qualified renewable energy and storage facility, or a qualified renewable energy facility, and the PTC is available for investments in a qualified renewable energy and storage facility or a qualified renewable energy facility. Prevailing wage and apprenticeship requirements apply to receive the full ITC and PTC value, and the credit value can be further increased if the project also qualifies for the domestic content bonus credit, the energy communities bonus credit, or the low-income bonus credit (only projects less than 5 megawatts alternating current are eligible for the low-income bonus). The IRA also includes a manufacturing production tax credit for specific renewable energy and battery storage related products and components manufactured in the U.S. </w:t>
      </w:r>
      <w:r>
        <w:rPr>
          <w:rFonts w:ascii="Times New Roman;sans-serif" w:hAnsi="Times New Roman;sans-serif"/>
          <w:b w:val="false"/>
          <w:color w:val="000000"/>
          <w:sz w:val="20"/>
          <w:shd w:fill="FFFFFF" w:val="clear"/>
        </w:rPr>
        <w:t>To date, the IRA regulations and guidance issued by the U.S. Department of Treasury and Internal Revenue Service associated with these various tax credits, including but not limited to the ITC/PTC, ITC/PTC prevailing wage and apprenticeship requirements, bonus credits, and manufacturing production tax credit, have provided substantive clarity; however, there continues to be some uncertainty on certain aspects of the IRA and the related guidance as well uncertainty relating to potential future changes to the IRA. Such uncertainty has in the past caused certain customers to take an extended period to evaluate, negotiate, and enter into a energy storage project and may cause customers to do so in the future or may cause customers to delay projects as they navigate such uncertainty regarding the IRA and the related guidance as well as uncertainty relating to potential future changes to the IRA, which could have a material negative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if we are unable to provide energy storage solutions that qualify our customers for the ITC/PTC domestic content bonus credit under the IRA on the timeline and in such quantities that we currently anticipate, then there may negative impact to our reputation, ability to compete in the market, demand from our customers, and our financial condition. Our competitors may be able to build a more robust domestic supply chain than Fluence and may be able to offer customers U.S. domestic content products in greater quantity and on a speedier timeline than we may be able to if our production of our battery components in the U.S. (e.g., modules, cells, enclosures, thermal management systems, and battery management systems) are delayed or hindered or otherwise negatively impacted. Such impacts would adversely impact our results of operations as well as our brand and ability to compete.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 xml:space="preserve">The full impact of the tax credits in the IRA, its accompanying guidance, and potential future changes in law that may apply to our business and operations cannot be known with certainty and we may not recognize the full extent of benefits we currently anticipate. We are continuing to evaluate the potential overall impact and applicability of these tax credits and any potential future changes in law on our business and operations. To the extent that any impacts from the IRA tax credits are less beneficial than currently anticipated, it may materially and adversely impact our business, financial condition, and results of operations. </w:t>
      </w:r>
      <w:r>
        <w:rPr>
          <w:rFonts w:ascii="Times New Roman;sans-serif" w:hAnsi="Times New Roman;sans-serif"/>
          <w:b w:val="false"/>
          <w:color w:val="000000"/>
          <w:sz w:val="20"/>
        </w:rPr>
        <w:t xml:space="preserve">For example, there is ongoing discussion in Congress regarding potential changes to the manufacturing production tax credit under the IRA that would place restrictions on eligibility if the taxpayer taking the manufacturing production tax credit is a “foreign entity of concern” (“FEOC”), which may include Chinese and Russian domiciled entities. How a FEOC is defined and what exact restrictions may be required are unknown at this time. If FEOC restrictions relating to the manufacturing production tax credit become law, it may have negative consequences on certain of our U.S. suppliers, due to their respective ownership structure, and/or pricing, depending on the structure and applicability of the restrictions. As a result, the direct risks to our business from FEOC status are uncertain at this time, but any such designation of our suppliers or manufacturers as an FEOC in the future may impact our supplier or manufacturer base and cost structure for components used in our domestic content offerings, may impact eligibility for our offerings to qualify as domestic content under the IRA and qualify for certain tax credits, and may cause us to fail to recognize the currently anticipated benefits of our domestic content production, which would have a negative impact on our business and results of operations.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international markets in which we operate or may operate in the future have or may in the future put in place policies to promote renewable energy, including energy storage. These incentives and mechanisms vary from country to country. In seeking to achieve growth internationally, we have and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There is no assurance that these governments will continue to provide sufficient incentives and support to the energy storage industry and that the industry in any particular country will not suffer significant downturns in the future as the result of changes in public policies or government interest in renewable energy, any of which would adversely affect demand for our energy storage solutions and services.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the global trade environment, including the imposition of new tariffs, changes to existing tariffs, and related general economic uncertainty, has impacted our business and operations and may adversely affect the amount or timing of our revenues, results of operations, and cash flows in the future.</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early 2025, the United States imposed significant new tariffs on nearly all products and components imported into the United States (including certain materials and components used in our energy storage solutions) and could propose additional tariffs or increases to those already in place, including current high tariffs on imports from China. The exact scope of any such tariffs that will remain in place or ultimately be implemented is not known at this time, and the ultimate impacts on our business and operations is uncertain.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Prior to these most recently enacted tariffs, in May 2024, the Biden administration announced a significant shift in the tariff framework for the energy storage industry. Under this new structure, the Section 301 tariff rate on lithium-ion non-EV batteries imported from China will increase from the current 7.5% to 25%, effective January 1, 2026. This change specifically targeted "batteries" as defined by U.S. Customs and Border Protection, encompassing battery energy storage systems, modules, and certain types of cells, including those used in our energy storage solutions. Under the May 2024 structure announced by the Biden administration, the Section 301 tariff rate on battery "parts"–including separators, electrolytes, cans, and electrodes remains at its current 25% level.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the filing date of this Report, covered imports relevant to our energy storage systems will be subject to the 125% China-specific “reciprocal tariff”, plus th</w:t>
      </w:r>
      <w:r>
        <w:rPr>
          <w:rFonts w:ascii="Times New Roman;sans-serif" w:hAnsi="Times New Roman;sans-serif"/>
          <w:b w:val="false"/>
          <w:color w:val="000000"/>
          <w:sz w:val="20"/>
          <w:shd w:fill="FFFFFF" w:val="clear"/>
        </w:rPr>
        <w:t>e current China-specific 20% “fentanyl-related tariff”, plus the 3.4% base tariff on all countries,</w:t>
      </w:r>
      <w:r>
        <w:rPr>
          <w:color w:val="000000"/>
        </w:rPr>
        <w:t xml:space="preserve"> </w:t>
      </w:r>
      <w:r>
        <w:rPr>
          <w:rFonts w:ascii="Times New Roman;sans-serif" w:hAnsi="Times New Roman;sans-serif"/>
          <w:b w:val="false"/>
          <w:color w:val="000000"/>
          <w:sz w:val="20"/>
          <w:shd w:fill="FFFFFF" w:val="clear"/>
        </w:rPr>
        <w:t xml:space="preserve">plus the applicable Section 301 tariff. </w:t>
      </w:r>
      <w:r>
        <w:rPr>
          <w:rFonts w:ascii="Times New Roman;sans-serif" w:hAnsi="Times New Roman;sans-serif"/>
          <w:b w:val="false"/>
          <w:color w:val="000000"/>
          <w:sz w:val="20"/>
        </w:rPr>
        <w:t>We have exposure to these tariffs, as we currently import components, including battery c</w:t>
      </w:r>
      <w:r>
        <w:rPr>
          <w:rFonts w:ascii="Times New Roman;sans-serif" w:hAnsi="Times New Roman;sans-serif"/>
          <w:b w:val="false"/>
          <w:color w:val="000000"/>
          <w:sz w:val="20"/>
          <w:shd w:fill="FFFFFF" w:val="clear"/>
        </w:rPr>
        <w:t xml:space="preserve">ells from China, into the United States for customers and projects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shd w:fill="FFFFFF" w:val="clear"/>
        </w:rPr>
        <w:t>States. Retaliatory tariffs imposed by other countries and the uncertainties surrounding domestic and foreign tariffs could also adversely impact demand for our products. If we fail to manage these dynamics successfully or mitigate the impact of tariffs, our gross margins and results of operations could be adversely affected. Although we have taken steps to ramp up domestic production of key products and components of our energy storage solutions in the United States to try to mitigate our potential exposure, there is no guarantee we will be able to do so successfully. We have and we may in the future also face unanticipated costs and delays in developing our domestic supply chain, and there is no guarantee we will be able to scale domestic production to the degree both in volume and as quickly as would be required to avoid material adverse impacts to the business and our results of operations from changes in the trade environment.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shd w:fill="FFFFFF" w:val="clear"/>
        </w:rPr>
        <w:t>The economic uncertainty created by the rapid recent changes in tariff policy in the United States has and may continue to adversely impact the energy storage market and customer contracting activity. For instance, i</w:t>
      </w:r>
      <w:r>
        <w:rPr>
          <w:rFonts w:ascii="Times New Roman;sans-serif" w:hAnsi="Times New Roman;sans-serif"/>
          <w:b w:val="false"/>
          <w:color w:val="000000"/>
          <w:sz w:val="20"/>
        </w:rPr>
        <w:t>n response to this tariff-related uncertainty, we have mutually agreed</w:t>
      </w:r>
      <w:r>
        <w:rPr>
          <w:color w:val="000000"/>
          <w:shd w:fill="FFFFFF" w:val="clear"/>
        </w:rPr>
        <w:t xml:space="preserve"> </w:t>
      </w:r>
      <w:r>
        <w:rPr>
          <w:rFonts w:ascii="Times New Roman;sans-serif" w:hAnsi="Times New Roman;sans-serif"/>
          <w:b w:val="false"/>
          <w:color w:val="000000"/>
          <w:sz w:val="20"/>
          <w:shd w:fill="FFFFFF" w:val="clear"/>
        </w:rPr>
        <w:t xml:space="preserve">with certain customers to delay entry into new energy storage solutions contracts and to pause active, currently signed contracts that are under project execution. We may also experience cancellation of customers’ orders of our energy storage solutions in the future due to such tariff uncertainty. Customer contracting behavior in response to the tariff-related uncertainty may in turn adversely impact our results of operations in the future. </w:t>
      </w:r>
    </w:p>
    <w:p>
      <w:pPr>
        <w:pStyle w:val="TextBody"/>
        <w:bidi w:val="0"/>
        <w:spacing w:lineRule="auto" w:line="288"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currently there are ongoing investigations into certain additional tariffs on specific imports and trade practices that may result in tariffs and/or more restrictive trade duties and restrictions on components for our energy storage solutions that we import into the U.S. from overseas, including, but not limited to, an anti-circumvention and countervailing tariff investigation proceeding before the U.S. International Trade Commission and U.S. Department of Commerce regarding imported graphite active anode material (AAM) utilized in our energy storage solutions. Due to the uncertainty relating to the outcome of these various investigations, we cannot predict the ultimate impact the outcome of these investigations and any resulting tariffs or other trade actions could have to our business, financial condition, and results of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impact of the new tariffs announced in April 2025 is currently not reflected in our results of operations as of March 31, 2025. These e</w:t>
      </w:r>
      <w:r>
        <w:rPr>
          <w:rFonts w:ascii="Times New Roman;sans-serif" w:hAnsi="Times New Roman;sans-serif"/>
          <w:b w:val="false"/>
          <w:color w:val="000000"/>
          <w:sz w:val="20"/>
          <w:shd w:fill="FFFFFF" w:val="clear"/>
        </w:rPr>
        <w:t xml:space="preserve">xisting or future tariffs or trade policy and resulting economic conditions may materially increase costs of certain components and our inventory costs, may increase our prices and reduce demand for our solutions, has and may further negatively affect our customers, suppliers, and manufacturing partners and their own respective businesses and operations, has and may further require significant attention from our management, and may significantly harm our business, prospects, financial condition, and operating results if we are unable to manage these impacts effectively.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2030 Convertible Senior Notes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2030 Convertible Senior Notes.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30, 2025, we had approximately $400.0 million of indebtedness outstanding under the 2030 Convertible Senior Notes, and no cash borrowings outstanding under the 2024 Revolver (excluding $67.5 million letters of credit outstanding thereunder), with remaining availability of $432.5 million, net of letters of credit issued. All borrowings and obligations under the 2024 Revolver will be effectively senior to our obligations under the 2030 Convertible Senior Notes to the extent of the value of the assets securing such borrowings and obligations, and structurally senior to the 2030 Convertible Senior Notes as the 2030 Convertible Senior Notes are not guaranteed by Fluence Energy, LLC, a borrower under the 2024 Revolver.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making it more difficult for us to satisfy our obligations with respect to our 2030 Convertible Senior Notes and our other debt;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exposing us to the risk of increased interest rates to the extent any of our borrowings are at variable rates of interest;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limiting our flexibility in planning for and reacting to changes in the industry in which we compete;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placing us at a disadvantage compared to other, less leveraged competitors;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increasing our cost of borrowing.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additional indebtedness we incur will heighten the potential for the consequences discussed above and could negatively impact our credit ratings, if any, in the future.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not generate sufficient funds, and we may otherwise be unable to maintain sufficient cash reserves, to pay amounts due under our indebtedness, including the 2030 Convertible Senior Notes, and our cash needs may increase in the future. In addition, the 2024 Revolver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conduct all of our operations through our subsidiaries, including Fluence Energy, LLC, and may not be able to receive dividends or other distributions in needed amounts from our subsidiaries; Fluence Energy, Inc. is a holding company.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all of our operations through our subsidiaries, including Fluence Energy, LLC; Fluence Energy, Inc. is a holding company. Accordingly, payment of interest or repayment of principal on our indebtedness, including the 2030 Convertible Senior Notes, is significantly dependent on the generation of cash flow by our subsidiaries and their ability to make such cash available to us, by dividend, interest payment on debt they owe to us (including interest payments on the 2.25% Intercompany Subordinated Convertible Note issued by Fluence Energy, LLC to Fluence Energy, Inc., dated December 12, 2024 (the “Intercompany Convertible Note”)), debt repayment, or otherwise. None of our subsidiaries will guarantee the 2030 Convertible Senior Notes and our subsidiaries will not have any obligation to pay amounts due on the 2030 Convertible Senior Notes or to make funds available for that purpose. Noteholders are not entitled to rights under the Intercompany Convertible Note. Fluence Energy, LLC’s failure to make interest payments thereunder will not itself constitute a default or event of default under the indenture governing the 2030 Convertible Senior Notes. We have pledged our interest in the Intercompany Convertible Note to secure our obligations under the 2024 Revolver, and the Intercompany Convertible Note is subordinated in right of payment to Fluence Energy, LLC’s obligations under the 2024 Revolver and its other indebtedness. Our subsidiaries may not be able to, or may not be permitted to, make distributions to enable us to make payments in respect of our indebtedness, including the 2030 Convertible Senior Notes. Each subsidiary is a distinct legal entity, and, under certain circumstances, legal and contractual restrictions may limit our ability to obtain cash from our subsidiaries. While the agreement governing our 2024 Revolver limits the ability of certain of our subsidiaries to incur restrictions on their ability to pay dividends or make other intercompany payments to us, these limitations are subject to qualifications and exceptions. Additionally, the agreement governing our 2024 Revolver limits the ability of Fluence Energy, LLC to pay dividends or make other distributions to us, and substantially limits our ability to prepay or repay the principal amount of the 2030 Convertible Senior Notes with cash, upon conversion, maturity or otherwise. Furthermore, other holders of LLC Interests are entitled to participate pro rata with Fluence Energy, Inc. in dividends from Fluence Energy, LLC. In the event that we do not receive distributions from our subsidiaries, we may be unable to make required principal and interest payments on our indebtedness, including the 2030 Convertible Senior Notes.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Higher interest rates could increase the cost of refinancing our indebtedness and could cause our debt service obligations to increase significantly.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high interest rate environment could adversely impact us. If interest rates remain at their current elevated levels or continue to increase, this could adversely impact our ability to refinance existing indebtedness or obtain additional debt financing on acceptable terms or at all. In addition, we expect this refinancing effort will, and future debt refinancings may, increase our debt service obligations as we refinance lower interest rate debt with higher interest rate debt.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2030 Convertible Senior Notes, if triggered, may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2030 Convertible Senior Notes is triggered, noteholders will be entitled to convert the 2030 Convertible Senior Notes at any time during specified periods at their option. If one or more holders elect to convert their 2030 Convertible Senior Notes, we may, to the extent permitted by, and subject to compliance with the terms of, the agreement governing the 2024 Revolver and our other indebtedness in existence at such time, settle a portion or all of our conversion obligation through the payment of cash, which could adversely affect our liquidity.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issuance or sale of shares of our Class A common stock, or rights to acquire shares of our Class A common stock, could depress the trading price of our Class A common stock and the 2030 Convertible Senior Notes.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conduct future offerings of our Class A common stock, preferred stock, or other securities that are convertible into or exercisable for our Class A common stock to finance our operations, fund acquisitions, or for other purposes. The sale of shares of our Class A common stock or other securities that are convertible into or exercisable for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In addition, upon conversion of the 2030 Convertible Senior Notes, we will pay consideration that consists of cash, shares of our Class A common stock, or a combination of cash and shares of our Class A common stock (together with cash in lieu of any fractional shares, if applicable), at our election. These factors could also make it more difficult for us to raise additional funds through future offerings of our shares of Class A common stock or other securities. We have also reserved 9,500,000 shares of our Class A common stock for issuance under our 2021 Incentive Award Plan (the “2021 Equity Plan”).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2030 Convertible Senior Notes does not restrict our ability to issue additional equity securities. If we issue additional shares of our Class A common stock or rights to acquire shares of our Class A common stock, if any of our existing stockholders sells a substantial amount of our Class A common stock, or if the market perceives that such issuances or sales may occur, then the trading price of our Class A common stock, and, accordingly, the 2030 Convertible Senior Notes may significantly decline. In addition, our issuance of additional shares of Class A common stock will dilute the ownership interests of our existing common stockholders, including noteholders who have received shares of our Class A common stock upon conversion of their 2030 Convertible Senior Notes, and any Class A common stock issued upon conversion of the 2030 Convertible Senior Notes may dilute the interests of our existing common stockholders.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the 2030 Convertible Senior Notes could adversely affect our reported financial condition and results.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method for reflecting the 2030 Convertible Senior Notes on our balance sheet, accruing interest expense for the 2030 Convertible Senior Notes and reflecting the underlying shares of our Class A common stock in our reported diluted earnings per share may adversely affect our reported earnings and financial condition.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standards, the 2030 Convertible Senior Notes are reflected as a liability on our balance sheets, with the initial carrying amount equal to the principal amount of the 2030 Convertible Senior Notes, net of issuance costs. The issuance costs are treated as a debt discount for accounting purposes, which will be amortized into interest expense over the term of the 2030 Convertible Senior Notes. As a result of this amortization, the interest expense that we expect to recognize for the 2030 Convertible Senior Notes for accounting purposes will be greater than the cash interest payments we will pay on the 2030 Convertible Senior Notes, which will result in lower reported income.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potential dilutive shares underlying the 2030 Convertible Senior Notes are reflected in our diluted earnings per share using the “if converted” method. The denominator of diluted earnings per share for the 2030 Convertible Senior Notes is determined by multiplying the principal amount of the 2030 Convertible Senior Notes by the applicable conversion rate for the reporting period. The after-tax interest expense associated with the 2030 Convertible Senior Notes is added back to the numerator of the diluted earnings per share calculation for these purposes. However, if reflecting the 2030 Convertible Senior Notes in diluted earnings per share in this manner is anti-dilutive, then the shares underlying the 2030 Convertible Senior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2030 Convertible Senior Notes is satisfied, then we may be required under applicable accounting standards to reclassify the liability carrying value of the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as a current, rather than a long-term liability. This reclassification could be required even if no noteholders convert their 2030 Convertible Senior Notes and could materially reduce our reported working capital.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Provisions in the 2030 Convertible Senior Notes and the Indenture governing the 2030 Convertible Senior Notes could delay or prevent an otherwise beneficial takeover of 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in the 2030 Convertible Senior Notes and its Indenture could make a third-party attempt to acquire us more difficult or expensive. For example, if a takeover constitutes a “fundamental change”, then noteholders will have the right to require us to repurchase their 2030 Convertible Senior Notes for cash. In addition, if a takeover constitutes a “make-whole fundamental change” (as defined in the Indenture), then we may be required to temporarily increase the conversion rate. In either case, and in other cases, our obligations under the 2030 Convertible Senior Notes and the Indenture could increase the cost of acquiring us or otherwise discourage a third party from acquiring us or removing incumbent management, including in a transaction that noteholders or holders of our Class A common stock may view as favorable.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2030 Convertible Senior Notes and our Class A common stock.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2030 Convertible Senior Notes, we entered into privately negotiated capped call transactions with the option counterparties. The capped call transactions cover, subject to customary adjustments, the number of shares of our Class A common stock underlying the 2030 Convertible Senior Notes. The capped call transactions are expected to offset the potential dilution and/or offset any cash payments we are required to make in excess of the principal amount of converted 2030 Convertible Senior Notes, as the case may be, as a result of conversion of the 2030 Convertible Senior Notes, with such offset subject to a cap.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advised that, in connection with establishing their initial hedges of the capped call transactions, the option counterparties or their respective affiliates entered into various derivative transactions with respect to our Class A common stock and/or purchased shares of our Class A common stock.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2030 Convertible Senior Notes and prior to the maturity of the 2030 Convertible Senior Notes (and are likely to do so (x) during any observation period related to a conversion of the 2030 Convertible Senior Notes or following any redemption or fundamental change repurchase of the 2030 Convertible Senior Notes, (y) following any other repurchase of the 2030 Convertible Senior Notes if we unwind a corresponding portion of the capped call transactions in connection with such repurchase and (z) if we otherwise unwind all or a portion of the capped call transactions). This activity could also cause or avoid an increase or a decrease in the market price of our Class A common stock.</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counterparties to the capped call transactions are financial institutions, or their affiliates, and we will be subject to the risk that one or more of the counterparties may default or otherwise fail to perform, or may exercise certain rights to terminate, their obligations under the capped call transactions. Our exposure to the credit risk of the counterparties is not secured by any collateral.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conditions have in the past resulted in the actual or perceived potential failure or financial difficulties of many financial institutions. If a counterparty to one or more capped call transactions becomes subject to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Class A common stock increases. In addition, upon a default or other failure to perform, or a termination of obligations, by a counterparty, the counterparty may fail to deliver the shares of common stock required to be delivered to us under the capped call transactions and we may experience adverse tax consequences and more dilution than we currently anticipate with respect to our Class A common stock. We can provide no assurances as to the financial stability or viability of any of the counterparties.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unregistered sales of our equity securities during the quarter ended March 31, 2025 that were not otherwise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     </w:t>
      </w:r>
      <w:r>
        <w:rPr>
          <w:rFonts w:ascii="Times New Roman;sans-serif" w:hAnsi="Times New Roman;sans-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During the three months ended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the following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2025, Harald von Heynitz, a director of the Company, terminated a Rule 10b5-1 sales plan that was intended to satisfy the affirmative defense of Rule 10b5-1(c) (the “von Heynitz Plan”), which was originally adopted on December 21, 2024 and that was otherwise expected to remain in effect until the earlier of June 1, 2025 or such date the von Heynitz Plan was otherwise terminated according to its terms. The von Heynitz Plan provided for the potential sale of up to 40% of the gross number of shares received upon the vesting of 11,341 restricted stock units on March 20, 2025. No shares of Class A common stock were sold pursuant to the von Heynitz Plan prior to its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2135"/>
        <w:gridCol w:w="1950"/>
        <w:gridCol w:w="1889"/>
        <w:gridCol w:w="170"/>
        <w:gridCol w:w="170"/>
        <w:gridCol w:w="171"/>
        <w:gridCol w:w="256"/>
        <w:gridCol w:w="256"/>
        <w:gridCol w:w="224"/>
        <w:gridCol w:w="238"/>
        <w:gridCol w:w="238"/>
        <w:gridCol w:w="239"/>
        <w:gridCol w:w="354"/>
        <w:gridCol w:w="354"/>
        <w:gridCol w:w="49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22, 2022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 xml:space="preserve">Certificate of Retirement of 65,674,195 shares of Class B-1 Common Stock Fluence Energy, Inc.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petewilliamsxup.htm">
              <w:r>
                <w:rPr>
                  <w:rStyle w:val="InternetLink"/>
                  <w:rFonts w:ascii="Times New Roman;sans-serif" w:hAnsi="Times New Roman;sans-serif"/>
                  <w:b w:val="false"/>
                  <w:color w:val="000080"/>
                  <w:sz w:val="20"/>
                  <w:u w:val="single"/>
                </w:rPr>
                <w:t>Offer Letter,</w:t>
              </w:r>
            </w:hyperlink>
            <w:hyperlink w:anchor="exhibit101-petewilliamsxup.htm">
              <w:r>
                <w:rPr>
                  <w:rStyle w:val="InternetLink"/>
                  <w:rFonts w:ascii="Times New Roman;sans-serif" w:hAnsi="Times New Roman;sans-serif"/>
                  <w:b w:val="false"/>
                  <w:color w:val="000080"/>
                  <w:sz w:val="20"/>
                  <w:u w:val="single"/>
                </w:rPr>
                <w:t xml:space="preserve"> effective date April 1, 2025,</w:t>
              </w:r>
            </w:hyperlink>
            <w:hyperlink w:anchor="exhibit101-petewilliamsxup.htm">
              <w:r>
                <w:rPr>
                  <w:rStyle w:val="InternetLink"/>
                  <w:rFonts w:ascii="Times New Roman;sans-serif" w:hAnsi="Times New Roman;sans-serif"/>
                  <w:b w:val="false"/>
                  <w:color w:val="000080"/>
                  <w:sz w:val="20"/>
                  <w:u w:val="single"/>
                </w:rPr>
                <w:t xml:space="preserve"> between Fluence Energy, Inc. and Peter Williams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q10-q2025ex311.htm">
              <w:r>
                <w:rPr>
                  <w:rStyle w:val="InternetLink"/>
                  <w:rFonts w:ascii="Times New Roman;sans-serif" w:hAnsi="Times New Roman;sans-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q10-q2025ex312.htm">
              <w:r>
                <w:rPr>
                  <w:rStyle w:val="InternetLink"/>
                  <w:rFonts w:ascii="Times New Roman;sans-serif" w:hAnsi="Times New Roman;sans-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q10-q2025ex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q10-q2025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0"/>
        </w:rPr>
        <w:t>Indicates a management or compensatory plan or arrangement.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73e83414d6b44d1b2592813511029a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52"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100" w:type="dxa"/>
        <w:jc w:val="left"/>
        <w:tblInd w:w="0" w:type="dxa"/>
        <w:tblLayout w:type="fixed"/>
        <w:tblCellMar>
          <w:top w:w="28" w:type="dxa"/>
          <w:left w:w="28" w:type="dxa"/>
          <w:bottom w:w="28" w:type="dxa"/>
          <w:right w:w="28" w:type="dxa"/>
        </w:tblCellMar>
      </w:tblPr>
      <w:tblGrid>
        <w:gridCol w:w="591"/>
        <w:gridCol w:w="520"/>
        <w:gridCol w:w="523"/>
        <w:gridCol w:w="197"/>
        <w:gridCol w:w="197"/>
        <w:gridCol w:w="197"/>
        <w:gridCol w:w="197"/>
        <w:gridCol w:w="197"/>
        <w:gridCol w:w="197"/>
        <w:gridCol w:w="962"/>
        <w:gridCol w:w="962"/>
        <w:gridCol w:w="136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9024"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09"/>
        <w:gridCol w:w="109"/>
        <w:gridCol w:w="109"/>
        <w:gridCol w:w="1946"/>
        <w:gridCol w:w="1946"/>
        <w:gridCol w:w="27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Ahmed Pasha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pPr>
      <w:r>
        <w:rPr>
          <w:rFonts w:ascii="Times New Roman;sans-serif" w:hAnsi="Times New Roman;sans-serif"/>
          <w:b/>
          <w:color w:val="000000"/>
          <w:sz w:val="20"/>
        </w:rPr>
        <w:t>Exhibit 10.1</w:t>
      </w:r>
      <w:r>
        <w:rPr>
          <w:color w:val="000000"/>
        </w:rPr>
        <w:t>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333" w:before="0" w:after="0"/>
        <w:jc w:val="right"/>
        <w:rPr>
          <w:rFonts w:ascii="Open Sans;sans-serif" w:hAnsi="Open Sans;sans-serif"/>
          <w:b w:val="false"/>
          <w:color w:val="5D6367"/>
          <w:sz w:val="17"/>
        </w:rPr>
      </w:pPr>
      <w:r>
        <w:rPr>
          <w:rFonts w:ascii="Open Sans;sans-serif" w:hAnsi="Open Sans;sans-serif"/>
          <w:b w:val="false"/>
          <w:color w:val="5D6367"/>
          <w:sz w:val="17"/>
        </w:rPr>
        <w:t>4601 Fairfax Drive N, Suite 600 | Arlington, VA 22203</w:t>
      </w:r>
    </w:p>
    <w:p>
      <w:pPr>
        <w:pStyle w:val="TextBody"/>
        <w:bidi w:val="0"/>
        <w:spacing w:lineRule="auto" w:line="333" w:before="0" w:after="0"/>
        <w:jc w:val="right"/>
        <w:rPr>
          <w:rFonts w:ascii="Open Sans;sans-serif" w:hAnsi="Open Sans;sans-serif"/>
          <w:b w:val="false"/>
          <w:color w:val="5D6367"/>
          <w:sz w:val="17"/>
        </w:rPr>
      </w:pPr>
      <w:r>
        <w:rPr>
          <w:rFonts w:ascii="Open Sans;sans-serif" w:hAnsi="Open Sans;sans-serif"/>
          <w:b w:val="false"/>
          <w:color w:val="5D6367"/>
          <w:sz w:val="17"/>
        </w:rPr>
        <w:t>+1 833 358 3623</w:t>
      </w:r>
    </w:p>
    <w:p>
      <w:pPr>
        <w:pStyle w:val="TextBody"/>
        <w:bidi w:val="0"/>
        <w:spacing w:lineRule="auto" w:line="333" w:before="0" w:after="0"/>
        <w:ind w:left="0" w:right="0" w:firstLine="720"/>
        <w:jc w:val="right"/>
        <w:rPr>
          <w:rFonts w:ascii="Open Sans;sans-serif" w:hAnsi="Open Sans;sans-serif"/>
          <w:b w:val="false"/>
          <w:color w:val="00B0B9"/>
          <w:sz w:val="17"/>
        </w:rPr>
      </w:pPr>
      <w:r>
        <w:rPr>
          <w:rFonts w:ascii="Open Sans;sans-serif" w:hAnsi="Open Sans;sans-serif"/>
          <w:b w:val="false"/>
          <w:color w:val="00B0B9"/>
          <w:sz w:val="17"/>
        </w:rPr>
        <w:t>fluenceenergy.com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March 25,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Peter Williams </w:t>
      </w:r>
    </w:p>
    <w:p>
      <w:pPr>
        <w:pStyle w:val="TextBody"/>
        <w:bidi w:val="0"/>
        <w:spacing w:before="0" w:after="0"/>
        <w:jc w:val="both"/>
        <w:rPr/>
      </w:pPr>
      <w:r>
        <w:rPr/>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 xml:space="preserve">Dear Pete, </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I am delighted to confirm that the Fluence Energy, Inc. (“Fluence”) Board of Directors approved your new role as SVP, Chief Product and Supply Chain Officer reporting to Julian Nebreda, Chief Executive Officer. This role is effective April 1, 2025. You will continue to work out of the Fluence San Francisco office. This position is considered a Section 16 Officer position subject to certain external disclosures as Fluence is a publicly traded company. In this position you will participate in, or be eligible for, the compensation and benefits outlined below in accordance with the job being evaluated as an Executive Officer at the Executive Officer job grade level EO3.</w:t>
      </w:r>
    </w:p>
    <w:p>
      <w:pPr>
        <w:pStyle w:val="TextBody"/>
        <w:bidi w:val="0"/>
        <w:spacing w:lineRule="auto" w:line="300" w:before="0" w:after="160"/>
        <w:jc w:val="both"/>
        <w:rPr>
          <w:rFonts w:ascii="Arial;sans-serif" w:hAnsi="Arial;sans-serif"/>
          <w:b/>
          <w:color w:val="000000"/>
          <w:sz w:val="20"/>
        </w:rPr>
      </w:pPr>
      <w:r>
        <w:rPr>
          <w:rFonts w:ascii="Arial;sans-serif" w:hAnsi="Arial;sans-serif"/>
          <w:b/>
          <w:color w:val="000000"/>
          <w:sz w:val="20"/>
        </w:rPr>
        <w:t>COMPENSATION AND BENEFITS</w:t>
      </w:r>
    </w:p>
    <w:p>
      <w:pPr>
        <w:pStyle w:val="TextBody"/>
        <w:bidi w:val="0"/>
        <w:spacing w:lineRule="auto" w:line="300" w:before="0" w:after="160"/>
        <w:jc w:val="both"/>
        <w:rPr/>
      </w:pPr>
      <w:r>
        <w:rPr>
          <w:rFonts w:ascii="Arial;sans-serif" w:hAnsi="Arial;sans-serif"/>
          <w:b/>
          <w:color w:val="000000"/>
          <w:sz w:val="20"/>
        </w:rPr>
        <w:t>Base Salary:</w:t>
      </w:r>
      <w:r>
        <w:rPr>
          <w:color w:val="000000"/>
        </w:rPr>
        <w:t xml:space="preserve"> </w:t>
      </w:r>
      <w:r>
        <w:rPr>
          <w:rFonts w:ascii="Arial;sans-serif" w:hAnsi="Arial;sans-serif"/>
          <w:b w:val="false"/>
          <w:color w:val="000000"/>
          <w:sz w:val="20"/>
        </w:rPr>
        <w:t>Your annual base salary will be $540,000, effective April 1, 2025, paid in one-twelfth increments monthly, subject to applicable withholdings. Your next annual base salary review will be for the January 1, 2026 merit increase consideration and will be reviewed annually thereafter in accordance with Fluence policy and practice, subject to approval by the Board of Directors or Compensation Committee.</w:t>
      </w:r>
    </w:p>
    <w:p>
      <w:pPr>
        <w:pStyle w:val="TextBody"/>
        <w:bidi w:val="0"/>
        <w:spacing w:lineRule="auto" w:line="300" w:before="0" w:after="160"/>
        <w:jc w:val="both"/>
        <w:rPr/>
      </w:pPr>
      <w:r>
        <w:rPr>
          <w:rFonts w:ascii="Arial;sans-serif" w:hAnsi="Arial;sans-serif"/>
          <w:b/>
          <w:color w:val="000000"/>
          <w:sz w:val="20"/>
        </w:rPr>
        <w:t xml:space="preserve">Annual Incentive Plan: </w:t>
      </w:r>
      <w:r>
        <w:rPr>
          <w:rFonts w:ascii="Arial;sans-serif" w:hAnsi="Arial;sans-serif"/>
          <w:b w:val="false"/>
          <w:color w:val="000000"/>
          <w:sz w:val="20"/>
        </w:rPr>
        <w:t>You continue to be eligible to participate in the Fluence Annual Incentive Plan (“AIP”). Your target incentive is 75% of your annual base salary as defined in the 2021 Incentive Award Plan, in effect for all fiscal 2025 and thereafter. The AIP award is based upon company performance measured against established objectives for the fiscal measurement year. The AIP award is typically paid in the first business quarter following the end of each fiscal year. Your potential receipt of this AIP award is subject to approval by the Board of Directors or Compensation Committee. The plan administrator reserves the right to make determinations regarding the plan at any time.</w:t>
      </w:r>
    </w:p>
    <w:p>
      <w:pPr>
        <w:pStyle w:val="TextBody"/>
        <w:bidi w:val="0"/>
        <w:spacing w:lineRule="auto" w:line="300" w:before="0" w:after="160"/>
        <w:jc w:val="both"/>
        <w:rPr/>
      </w:pPr>
      <w:r>
        <w:rPr>
          <w:rFonts w:ascii="Arial;sans-serif" w:hAnsi="Arial;sans-serif"/>
          <w:b/>
          <w:color w:val="000000"/>
          <w:sz w:val="20"/>
        </w:rPr>
        <w:t xml:space="preserve">Benefits: </w:t>
      </w:r>
      <w:r>
        <w:rPr>
          <w:rFonts w:ascii="Arial;sans-serif" w:hAnsi="Arial;sans-serif"/>
          <w:b w:val="false"/>
          <w:color w:val="000000"/>
          <w:sz w:val="20"/>
        </w:rPr>
        <w:t>You continue to be eligible to participate in Fluence’s Health and Welfare Benefits Programs and Fluence’s short-term and long-term disability, accidental death and dismemberment, and life insurance plans.</w:t>
      </w:r>
    </w:p>
    <w:p>
      <w:pPr>
        <w:pStyle w:val="TextBody"/>
        <w:bidi w:val="0"/>
        <w:spacing w:lineRule="auto" w:line="300" w:before="0" w:after="160"/>
        <w:jc w:val="both"/>
        <w:rPr/>
      </w:pPr>
      <w:r>
        <w:rPr>
          <w:rFonts w:ascii="Arial;sans-serif" w:hAnsi="Arial;sans-serif"/>
          <w:b/>
          <w:color w:val="000000"/>
          <w:sz w:val="20"/>
        </w:rPr>
        <w:t xml:space="preserve">Retirement: </w:t>
      </w:r>
      <w:r>
        <w:rPr>
          <w:rFonts w:ascii="Arial;sans-serif" w:hAnsi="Arial;sans-serif"/>
          <w:b w:val="false"/>
          <w:color w:val="000000"/>
          <w:sz w:val="20"/>
        </w:rPr>
        <w:t>You continue to be eligible to participate in The Fluence Energy Savings Plan, which is a 401(k) plan. You may contribute up to 50% of your gross salary to your account in accordance with the terms and conditions of the retirement plan and you will receive a company matching contribution of 100% of your contributions up to 5% of your gross salary.</w:t>
      </w:r>
    </w:p>
    <w:p>
      <w:pPr>
        <w:pStyle w:val="TextBody"/>
        <w:bidi w:val="0"/>
        <w:spacing w:lineRule="auto" w:line="300" w:before="0" w:after="160"/>
        <w:jc w:val="both"/>
        <w:rPr/>
      </w:pPr>
      <w:r>
        <w:rPr>
          <w:rFonts w:ascii="Arial;sans-serif" w:hAnsi="Arial;sans-serif"/>
          <w:b/>
          <w:color w:val="000000"/>
          <w:sz w:val="20"/>
        </w:rPr>
        <w:t xml:space="preserve">Long-term Incentive Award: </w:t>
      </w:r>
      <w:r>
        <w:rPr>
          <w:rFonts w:ascii="Arial;sans-serif" w:hAnsi="Arial;sans-serif"/>
          <w:b w:val="false"/>
          <w:color w:val="000000"/>
          <w:sz w:val="20"/>
        </w:rPr>
        <w:t xml:space="preserve">You continue to be eligible to participate in the Fluence annual long-term incentive (“LTI”) awards, subject to approval by the Board of Directors or Compensation Committee. Your estimated next LTI grant will be 1.2M, under new role and market data. Awards under the LTI program may be delivered in the form of stock and/or cash and may be subject to time-based, or performance-based vesting conditions (or some combination of both). Awards made under the LTI program will be subject to the terms and conditions of a plan document and an award agreement. The plan administrator reserves the right to make determinations regarding this plan at any time. </w:t>
      </w:r>
    </w:p>
    <w:p>
      <w:pPr>
        <w:pStyle w:val="TextBody"/>
        <w:bidi w:val="0"/>
        <w:spacing w:lineRule="auto" w:line="288" w:before="0" w:after="0"/>
        <w:jc w:val="both"/>
        <w:rPr/>
      </w:pPr>
      <w:r>
        <w:rPr>
          <w:rFonts w:ascii="Arial;sans-serif" w:hAnsi="Arial;sans-serif"/>
          <w:b/>
          <w:color w:val="000000"/>
          <w:sz w:val="20"/>
        </w:rPr>
        <w:t>Executive Severance Plan:</w:t>
      </w:r>
      <w:r>
        <w:rPr>
          <w:color w:val="000000"/>
        </w:rPr>
        <w:t xml:space="preserve"> </w:t>
      </w:r>
      <w:r>
        <w:rPr>
          <w:rFonts w:ascii="Arial;sans-serif" w:hAnsi="Arial;sans-serif"/>
          <w:b w:val="false"/>
          <w:color w:val="000000"/>
          <w:sz w:val="20"/>
        </w:rPr>
        <w:t>As an Executive Officer of Fluence, you continue to be eligible to participate in the Fluence Executive Severance Plan, as approved by the Board of Directors or Compensation Committee.</w:t>
      </w:r>
    </w:p>
    <w:p>
      <w:pPr>
        <w:pStyle w:val="TextBody"/>
        <w:bidi w:val="0"/>
        <w:jc w:val="both"/>
        <w:rPr/>
      </w:pPr>
      <w:r>
        <w:rPr/>
      </w:r>
    </w:p>
    <w:p>
      <w:pPr>
        <w:pStyle w:val="TextBody"/>
        <w:bidi w:val="0"/>
        <w:spacing w:lineRule="auto" w:line="333" w:before="0" w:after="0"/>
        <w:jc w:val="right"/>
        <w:rPr/>
      </w:pPr>
      <w:r>
        <w:rPr>
          <w:color w:val="000000"/>
        </w:rPr>
        <w:t>    </w:t>
      </w:r>
      <w:r>
        <w:rPr>
          <w:rFonts w:ascii="Open Sans;sans-serif" w:hAnsi="Open Sans;sans-serif"/>
          <w:b w:val="false"/>
          <w:color w:val="5D6367"/>
          <w:sz w:val="17"/>
        </w:rPr>
        <w:t>4601 Fairfax Drive N, Suite 600 | Arlington, VA 22203</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5755"/>
                <wp:effectExtent l="0" t="0" r="0" b="0"/>
                <wp:wrapNone/>
                <wp:docPr id="74" name="Frame74"/>
                <a:graphic xmlns:a="http://schemas.openxmlformats.org/drawingml/2006/main">
                  <a:graphicData uri="http://schemas.microsoft.com/office/word/2010/wordprocessingShape">
                    <wps:wsp>
                      <wps:cNvSpPr txBox="1"/>
                      <wps:spPr>
                        <a:xfrm>
                          <a:off x="0" y="0"/>
                          <a:ext cx="6480175" cy="325755"/>
                        </a:xfrm>
                        <a:prstGeom prst="rect"/>
                        <a:solidFill>
                          <a:srgbClr val="FFFFFF"/>
                        </a:solidFill>
                      </wps:spPr>
                      <wps:txbx>
                        <w:txbxContent>
                          <w:p>
                            <w:pPr>
                              <w:pStyle w:val="TextBody"/>
                              <w:bidi w:val="0"/>
                              <w:spacing w:lineRule="auto" w:line="288" w:before="0" w:after="0"/>
                              <w:jc w:val="right"/>
                              <w:rPr>
                                <w:rFonts w:ascii="Open Sans;sans-serif" w:hAnsi="Open Sans;sans-serif"/>
                                <w:b w:val="false"/>
                                <w:color w:val="5D6367"/>
                                <w:sz w:val="17"/>
                              </w:rPr>
                            </w:pPr>
                            <w:r>
                              <w:rPr>
                                <w:rFonts w:ascii="Open Sans;sans-serif" w:hAnsi="Open Sans;sans-serif"/>
                                <w:b w:val="false"/>
                                <w:color w:val="5D6367"/>
                                <w:sz w:val="17"/>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65pt;mso-wrap-distance-left:0pt;mso-wrap-distance-right:0pt;mso-wrap-distance-top:0pt;mso-wrap-distance-bottom:0pt;margin-top:0pt;mso-position-vertical:top;mso-position-vertical-relative:text;margin-left:-242.3pt;mso-position-horizontal:left;mso-position-horizontal-relative:text">
                <v:textbox>
                  <w:txbxContent>
                    <w:p>
                      <w:pPr>
                        <w:pStyle w:val="TextBody"/>
                        <w:bidi w:val="0"/>
                        <w:spacing w:lineRule="auto" w:line="288" w:before="0" w:after="0"/>
                        <w:jc w:val="right"/>
                        <w:rPr>
                          <w:rFonts w:ascii="Open Sans;sans-serif" w:hAnsi="Open Sans;sans-serif"/>
                          <w:b w:val="false"/>
                          <w:color w:val="5D6367"/>
                          <w:sz w:val="17"/>
                        </w:rPr>
                      </w:pPr>
                      <w:r>
                        <w:rPr>
                          <w:rFonts w:ascii="Open Sans;sans-serif" w:hAnsi="Open Sans;sans-serif"/>
                          <w:b w:val="false"/>
                          <w:color w:val="5D6367"/>
                          <w:sz w:val="17"/>
                        </w:rPr>
                        <w:t>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Open Sans;sans-serif" w:hAnsi="Open Sans;sans-serif"/>
          <w:b w:val="false"/>
          <w:color w:val="5D6367"/>
          <w:sz w:val="17"/>
        </w:rPr>
      </w:pPr>
      <w:r>
        <w:rPr>
          <w:rFonts w:ascii="Open Sans;sans-serif" w:hAnsi="Open Sans;sans-serif"/>
          <w:b w:val="false"/>
          <w:color w:val="5D6367"/>
          <w:sz w:val="17"/>
        </w:rPr>
        <w:t>+1 833 358 3623</w:t>
      </w:r>
    </w:p>
    <w:p>
      <w:pPr>
        <w:pStyle w:val="TextBody"/>
        <w:bidi w:val="0"/>
        <w:spacing w:lineRule="auto" w:line="333" w:before="0" w:after="0"/>
        <w:ind w:left="0" w:right="0" w:firstLine="720"/>
        <w:jc w:val="right"/>
        <w:rPr>
          <w:rFonts w:ascii="Open Sans;sans-serif" w:hAnsi="Open Sans;sans-serif"/>
          <w:b w:val="false"/>
          <w:color w:val="00B0B9"/>
          <w:sz w:val="17"/>
        </w:rPr>
      </w:pPr>
      <w:r>
        <w:rPr>
          <w:rFonts w:ascii="Open Sans;sans-serif" w:hAnsi="Open Sans;sans-serif"/>
          <w:b w:val="false"/>
          <w:color w:val="00B0B9"/>
          <w:sz w:val="17"/>
        </w:rPr>
        <w:t>fluenceenergy.com</w:t>
      </w:r>
    </w:p>
    <w:p>
      <w:pPr>
        <w:pStyle w:val="TextBody"/>
        <w:bidi w:val="0"/>
        <w:spacing w:lineRule="auto" w:line="288" w:before="0" w:after="0"/>
        <w:jc w:val="both"/>
        <w:rPr/>
      </w:pPr>
      <w:r>
        <w:rPr>
          <w:rFonts w:ascii="Arial;sans-serif" w:hAnsi="Arial;sans-serif"/>
          <w:b/>
          <w:color w:val="000000"/>
          <w:sz w:val="20"/>
        </w:rPr>
        <w:t>Executive Officer Policies:</w:t>
      </w:r>
      <w:r>
        <w:rPr>
          <w:color w:val="000000"/>
        </w:rPr>
        <w:t xml:space="preserve"> </w:t>
      </w:r>
      <w:r>
        <w:rPr>
          <w:rFonts w:ascii="Arial;sans-serif" w:hAnsi="Arial;sans-serif"/>
          <w:b w:val="false"/>
          <w:color w:val="000000"/>
          <w:sz w:val="20"/>
        </w:rPr>
        <w:t>Fluence maintains company policies applicable to all employees. In addition, you continue to be subject to additional policies applicable only to Executive Officers, specifically the Fluence Executive Stock Ownership Policy and the Fluence Clawback Policy, as approved and may be amended from time to time by the Board of Directors or Compensation Committee, as applicable.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Other:</w:t>
      </w:r>
      <w:r>
        <w:rPr>
          <w:color w:val="000000"/>
        </w:rPr>
        <w:t xml:space="preserve"> </w:t>
      </w:r>
      <w:r>
        <w:rPr>
          <w:rFonts w:ascii="Arial;sans-serif" w:hAnsi="Arial;sans-serif"/>
          <w:b w:val="false"/>
          <w:color w:val="000000"/>
          <w:sz w:val="20"/>
        </w:rPr>
        <w:t>Regarding the $500,000 sign-on bonus you received following your hire date, which was paid in two installments, subject to taxes and withholding ($250,000 paid within 30 days of your hire date and $250,000 paid upon the first anniversary date of your hire), you remain subject to the claw back provisions of the sign-on bonus. If you voluntarily leave Fluence prior to the two-year anniversary of each payment or are terminated from Fluence due to Cause as defined in the Executive Severance Plan, you will be required to pay each respective amount back in full to Fluence.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ACCEPTANCE PROCESS</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Pete, your experience and background for this new position will be an asset to Fluence. To confirm your acceptance of this offer, please print this letter, sign, and return the signed version to me via email within three business days of the date on this letter. If you have any questions, please do not hesitate to contact me.</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0" w:after="0"/>
        <w:jc w:val="both"/>
        <w:rPr>
          <w:rFonts w:ascii="Times New Roman;sans-serif" w:hAnsi="Times New Roman;sans-serif"/>
          <w:b/>
          <w:color w:val="0050B5"/>
          <w:sz w:val="32"/>
        </w:rPr>
      </w:pPr>
      <w:r>
        <w:rPr>
          <w:rFonts w:ascii="Times New Roman;sans-serif" w:hAnsi="Times New Roman;sans-serif"/>
          <w:b/>
          <w:color w:val="0050B5"/>
          <w:sz w:val="32"/>
        </w:rPr>
        <w:t>Larissa Cerqueira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Larissa Cerqueira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Chief Human Resources Officer</w:t>
      </w:r>
    </w:p>
    <w:p>
      <w:pPr>
        <w:pStyle w:val="TextBody"/>
        <w:bidi w:val="0"/>
        <w:spacing w:before="0" w:after="160"/>
        <w:jc w:val="both"/>
        <w:rPr/>
      </w:pPr>
      <w:r>
        <w:rPr/>
      </w:r>
    </w:p>
    <w:p>
      <w:pPr>
        <w:pStyle w:val="TextBody"/>
        <w:bidi w:val="0"/>
        <w:spacing w:lineRule="auto" w:line="300" w:before="0" w:after="160"/>
        <w:jc w:val="both"/>
        <w:rPr/>
      </w:pPr>
      <w:r>
        <w:rPr>
          <w:rFonts w:ascii="Arial;sans-serif" w:hAnsi="Arial;sans-serif"/>
          <w:b w:val="false"/>
          <w:i/>
          <w:color w:val="000000"/>
          <w:sz w:val="20"/>
        </w:rPr>
        <w:t>Your employment with Fluence Energy is and will be “at will” employment, for an indefinite period of time. This means that you or the Company may terminate the employment relationship at any time, for any reason or for no reason. No oral or written representation made by anyone at Fluence may change the “at will” nature of this relationship. You retain the option, as does Fluence, of ending your employment with Fluence at any time, with or without notice and with or without cause. Further, this letter describes certain of the current benefit plans, programs and policies but, notwithstanding anything to the contrary herein, Fluence retains the right to modify or terminate any benefit plan, program or policy, including its Health and Welfare Benefits Programs, 401(k) plan and Executive Severance Plan, at any time in its sole and absolute discretion.</w:t>
      </w:r>
      <w:r>
        <w:rPr>
          <w:color w:val="000000"/>
        </w:rPr>
        <w:t xml:space="preserve"> </w:t>
      </w:r>
      <w:r>
        <w:rPr>
          <w:rFonts w:ascii="Arial;sans-serif" w:hAnsi="Arial;sans-serif"/>
          <w:b w:val="false"/>
          <w:i/>
          <w:color w:val="000000"/>
          <w:sz w:val="20"/>
        </w:rPr>
        <w:t>This letter is governed by the laws of Virginia. Fluence is an “at will” employer; this letter does not constitute a contract for employment.</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Read and Accepted:         </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Signature:    __/s/ Peter Williams_______________    Date:    _April 16, 2025___________________</w:t>
      </w:r>
    </w:p>
    <w:p>
      <w:pPr>
        <w:pStyle w:val="TextBody"/>
        <w:bidi w:val="0"/>
        <w:spacing w:lineRule="auto" w:line="300" w:before="0" w:after="160"/>
        <w:jc w:val="both"/>
        <w:rPr>
          <w:color w:val="000000"/>
        </w:rPr>
      </w:pPr>
      <w:r>
        <w:rPr>
          <w:color w:val="000000"/>
        </w:rPr>
        <w:t xml:space="preserve">     </w:t>
      </w:r>
      <w:r>
        <w:rPr>
          <w:rFonts w:ascii="Arial;sans-serif" w:hAnsi="Arial;sans-serif"/>
          <w:b w:val="false"/>
          <w:color w:val="000000"/>
          <w:sz w:val="20"/>
        </w:rPr>
        <w:t>Peter Williams                Effective Date: April 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Julian Nebreda,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President</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Ahmed Pasha,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period ended March 31, 2025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Julian Nebreda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Fluence Energy, Inc. (the “Company”) for the period ended March 31, 2025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8, 2025 </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Ahmed Pasha</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43751</Words>
  <Characters>243307</Characters>
  <CharactersWithSpaces>285074</CharactersWithSpaces>
  <Paragraphs>3398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