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Commission file number 001-40978</w:t>
      </w:r>
    </w:p>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Fluence Energy,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100" w:after="283"/>
        <w:jc w:val="center"/>
        <w:rPr/>
      </w:pPr>
      <w:r>
        <w:rPr/>
      </w:r>
    </w:p>
    <w:tbl>
      <w:tblPr>
        <w:tblW w:w="4469" w:type="dxa"/>
        <w:jc w:val="left"/>
        <w:tblInd w:w="0" w:type="dxa"/>
        <w:tblLayout w:type="fixed"/>
        <w:tblCellMar>
          <w:top w:w="28" w:type="dxa"/>
          <w:left w:w="28" w:type="dxa"/>
          <w:bottom w:w="28" w:type="dxa"/>
          <w:right w:w="28" w:type="dxa"/>
        </w:tblCellMar>
      </w:tblPr>
      <w:tblGrid>
        <w:gridCol w:w="1089"/>
        <w:gridCol w:w="958"/>
        <w:gridCol w:w="967"/>
        <w:gridCol w:w="424"/>
        <w:gridCol w:w="424"/>
        <w:gridCol w:w="607"/>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455" w:type="dxa"/>
            <w:gridSpan w:val="3"/>
            <w:tcBorders/>
            <w:tcMar>
              <w:top w:w="0" w:type="dxa"/>
              <w:left w:w="0" w:type="dxa"/>
              <w:bottom w:w="0" w:type="dxa"/>
              <w:right w:w="0" w:type="dxa"/>
            </w:tcMar>
            <w:vAlign w:val="center"/>
          </w:tcPr>
          <w:p>
            <w:pPr>
              <w:pStyle w:val="TableContents"/>
              <w:bidi w:val="0"/>
              <w:spacing w:lineRule="auto" w:line="163" w:before="0" w:after="0"/>
              <w:jc w:val="center"/>
              <w:rPr>
                <w:rFonts w:ascii="Times New Roman;serif" w:hAnsi="Times New Roman;serif"/>
                <w:b/>
                <w:color w:val="000000"/>
                <w:sz w:val="18"/>
              </w:rPr>
            </w:pPr>
            <w:r>
              <w:rPr>
                <w:rFonts w:ascii="Times New Roman;serif" w:hAnsi="Times New Roman;serif"/>
                <w:b/>
                <w:color w:val="000000"/>
                <w:sz w:val="18"/>
              </w:rPr>
              <w:t>87-1304612</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4601 Fairfax Drive, Suite 600</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Arlington, Virginia</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22203</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5"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(833) 358-3623</w:t>
      </w:r>
    </w:p>
    <w:p>
      <w:pPr>
        <w:pStyle w:val="TextBody"/>
        <w:bidi w:val="0"/>
        <w:spacing w:lineRule="auto" w:line="288" w:before="0" w:after="10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10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8263" w:type="dxa"/>
        <w:jc w:val="left"/>
        <w:tblInd w:w="0" w:type="dxa"/>
        <w:tblLayout w:type="fixed"/>
        <w:tblCellMar>
          <w:top w:w="28" w:type="dxa"/>
          <w:left w:w="28" w:type="dxa"/>
          <w:bottom w:w="28" w:type="dxa"/>
          <w:right w:w="28" w:type="dxa"/>
        </w:tblCellMar>
      </w:tblPr>
      <w:tblGrid>
        <w:gridCol w:w="1166"/>
        <w:gridCol w:w="1026"/>
        <w:gridCol w:w="1033"/>
        <w:gridCol w:w="519"/>
        <w:gridCol w:w="519"/>
        <w:gridCol w:w="521"/>
        <w:gridCol w:w="1019"/>
        <w:gridCol w:w="1019"/>
        <w:gridCol w:w="1441"/>
      </w:tblGrid>
      <w:tr>
        <w:trPr/>
        <w:tc>
          <w:tcPr>
            <w:tcW w:w="116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$0.00001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FLNC</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D0D0D"/>
                <w:sz w:val="18"/>
              </w:rPr>
            </w:pPr>
            <w:r>
              <w:rPr>
                <w:rFonts w:ascii="Times New Roman;serif" w:hAnsi="Times New Roman;serif"/>
                <w:b w:val="false"/>
                <w:color w:val="0D0D0D"/>
                <w:sz w:val="18"/>
              </w:rPr>
              <w:t>The Nasdaq Global Select Market</w:t>
            </w:r>
          </w:p>
        </w:tc>
      </w:tr>
    </w:tbl>
    <w:p>
      <w:pPr>
        <w:pStyle w:val="TextBody"/>
        <w:bidi w:val="0"/>
        <w:spacing w:lineRule="auto" w:line="288" w:before="0" w:after="10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xml:space="preserve"> </w:t>
      </w:r>
      <w:r>
        <w:rPr>
          <w:rFonts w:ascii="Times New Roman;serif" w:hAnsi="Times New Roman;serif"/>
          <w:b w:val="false"/>
          <w:color w:val="000000"/>
          <w:sz w:val="18"/>
        </w:rPr>
        <w:t>Yes</w:t>
      </w:r>
      <w:r>
        <w:rPr>
          <w:color w:val="000000"/>
        </w:rPr>
        <w:t xml:space="preserve">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8"/>
        </w:rPr>
        <w:t>No</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w:t>
      </w:r>
      <w:r>
        <w:rPr>
          <w:color w:val="000000"/>
        </w:rPr>
        <w:t> </w:t>
      </w:r>
      <w:r>
        <w:rPr>
          <w:rFonts w:ascii="Wingdings;sans-serif" w:hAnsi="Wingdings;sans-serif"/>
          <w:b w:val="false"/>
          <w:color w:val="000000"/>
          <w:sz w:val="20"/>
        </w:rPr>
        <w:t>x</w:t>
      </w:r>
      <w:r>
        <w:rPr>
          <w:color w:val="000000"/>
        </w:rPr>
        <w:t> </w:t>
      </w:r>
      <w:r>
        <w:rPr>
          <w:rFonts w:ascii="Times New Roman;serif" w:hAnsi="Times New Roman;serif"/>
          <w:b w:val="false"/>
          <w:color w:val="000000"/>
          <w:sz w:val="18"/>
        </w:rPr>
        <w:t>No</w:t>
      </w:r>
      <w:r>
        <w:rPr>
          <w:color w:val="000000"/>
        </w:rPr>
        <w:t>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18"/>
          <w:shd w:fill="FFFFFF" w:val="clear"/>
        </w:rPr>
        <w:t>As o</w:t>
      </w:r>
      <w:r>
        <w:rPr>
          <w:rFonts w:ascii="Times New Roman;serif" w:hAnsi="Times New Roman;serif"/>
          <w:b w:val="false"/>
          <w:color w:val="000000"/>
          <w:sz w:val="18"/>
        </w:rPr>
        <w:t>f August 6, 2025, the registrant had</w:t>
      </w:r>
      <w:r>
        <w:rPr>
          <w:color w:val="EE2724"/>
        </w:rPr>
        <w:t xml:space="preserve"> </w:t>
      </w:r>
      <w:r>
        <w:rPr>
          <w:rFonts w:ascii="Times New Roman;serif" w:hAnsi="Times New Roman;serif"/>
          <w:b w:val="false"/>
          <w:color w:val="000000"/>
          <w:sz w:val="18"/>
        </w:rPr>
        <w:t>131,006,984</w:t>
      </w:r>
      <w:r>
        <w:rPr>
          <w:color w:val="EE2724"/>
        </w:rPr>
        <w:t xml:space="preserve"> </w:t>
      </w:r>
      <w:r>
        <w:rPr>
          <w:rFonts w:ascii="Times New Roman;serif" w:hAnsi="Times New Roman;serif"/>
          <w:b w:val="false"/>
          <w:color w:val="000000"/>
          <w:sz w:val="18"/>
        </w:rPr>
        <w:t>shares of Class A common stock outstanding and 51,499,195 shares of Class B-1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59" w:type="dxa"/>
        <w:jc w:val="left"/>
        <w:tblInd w:w="0" w:type="dxa"/>
        <w:tblLayout w:type="fixed"/>
        <w:tblCellMar>
          <w:top w:w="28" w:type="dxa"/>
          <w:left w:w="28" w:type="dxa"/>
          <w:bottom w:w="28" w:type="dxa"/>
          <w:right w:w="28" w:type="dxa"/>
        </w:tblCellMar>
      </w:tblPr>
      <w:tblGrid>
        <w:gridCol w:w="491"/>
        <w:gridCol w:w="431"/>
        <w:gridCol w:w="431"/>
        <w:gridCol w:w="2435"/>
        <w:gridCol w:w="2435"/>
        <w:gridCol w:w="2465"/>
        <w:gridCol w:w="167"/>
        <w:gridCol w:w="167"/>
        <w:gridCol w:w="237"/>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6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3">
              <w:r>
                <w:rPr>
                  <w:rStyle w:val="InternetLink"/>
                  <w:rFonts w:ascii="Times New Roman;serif" w:hAnsi="Times New Roman;serif"/>
                  <w:b/>
                  <w:color w:val="0000EE"/>
                  <w:sz w:val="20"/>
                  <w:u w:val="single"/>
                </w:rPr>
                <w:t>Part I - 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45cacc77d7ca4e339af513939e53cfc2_13">
              <w:r>
                <w:rPr>
                  <w:rStyle w:val="InternetLink"/>
                  <w:rFonts w:ascii="Times New Roman;serif" w:hAnsi="Times New Roman;serif"/>
                  <w:b w:val="false"/>
                  <w:color w:val="0000EE"/>
                  <w:sz w:val="20"/>
                  <w:u w:val="single"/>
                </w:rPr>
                <w:t>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6">
              <w:r>
                <w:rPr>
                  <w:rStyle w:val="InternetLink"/>
                  <w:rFonts w:ascii="Times New Roman;serif" w:hAnsi="Times New Roman;serif"/>
                  <w:b w:val="false"/>
                  <w:color w:val="0000EE"/>
                  <w:sz w:val="20"/>
                  <w:u w:val="single"/>
                </w:rPr>
                <w:t>Item 1.</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6">
              <w:r>
                <w:rPr>
                  <w:rStyle w:val="InternetLink"/>
                  <w:rFonts w:ascii="Times New Roman;serif" w:hAnsi="Times New Roman;serif"/>
                  <w:b w:val="false"/>
                  <w:color w:val="000080"/>
                  <w:sz w:val="20"/>
                  <w:u w:val="single"/>
                </w:rPr>
                <w:t>Financial Statements</w:t>
              </w:r>
            </w:hyperlink>
            <w:r>
              <w:rPr>
                <w:rFonts w:ascii="Times New Roman;serif" w:hAnsi="Times New Roman;serif"/>
                <w:b w:val="false"/>
                <w:color w:val="0000EE"/>
                <w:sz w:val="20"/>
                <w:u w:val="single"/>
              </w:rPr>
              <w:t xml:space="preserve"> (Unaudited)</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6">
              <w:r>
                <w:rPr>
                  <w:rStyle w:val="InternetLink"/>
                  <w:rFonts w:ascii="Times New Roman;serif" w:hAnsi="Times New Roman;serif"/>
                  <w:b w:val="false"/>
                  <w:color w:val="0000EE"/>
                  <w:sz w:val="20"/>
                  <w:u w:val="single"/>
                </w:rPr>
                <w:t>5</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9">
              <w:r>
                <w:rPr>
                  <w:rStyle w:val="InternetLink"/>
                  <w:rFonts w:ascii="Times New Roman;serif" w:hAnsi="Times New Roman;serif"/>
                  <w:b w:val="false"/>
                  <w:color w:val="0000FF"/>
                  <w:sz w:val="20"/>
                  <w:u w:val="single"/>
                </w:rPr>
                <w:t>Condensed 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9">
              <w:r>
                <w:rPr>
                  <w:rStyle w:val="InternetLink"/>
                  <w:rFonts w:ascii="Times New Roman;serif" w:hAnsi="Times New Roman;serif"/>
                  <w:b w:val="false"/>
                  <w:color w:val="0000EE"/>
                  <w:sz w:val="20"/>
                  <w:u w:val="single"/>
                </w:rPr>
                <w:t>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22">
              <w:r>
                <w:rPr>
                  <w:rStyle w:val="InternetLink"/>
                  <w:rFonts w:ascii="Times New Roman;serif" w:hAnsi="Times New Roman;serif"/>
                  <w:b w:val="false"/>
                  <w:color w:val="0000FF"/>
                  <w:sz w:val="20"/>
                  <w:u w:val="single"/>
                </w:rPr>
                <w:t>Condensed Consolidated Statements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22">
              <w:r>
                <w:rPr>
                  <w:rStyle w:val="InternetLink"/>
                  <w:rFonts w:ascii="Times New Roman;serif" w:hAnsi="Times New Roman;serif"/>
                  <w:b w:val="false"/>
                  <w:color w:val="0000EE"/>
                  <w:sz w:val="20"/>
                  <w:u w:val="single"/>
                </w:rPr>
                <w:t>6</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25">
              <w:r>
                <w:rPr>
                  <w:rStyle w:val="InternetLink"/>
                  <w:rFonts w:ascii="Times New Roman;serif" w:hAnsi="Times New Roman;serif"/>
                  <w:b w:val="false"/>
                  <w:color w:val="0000FF"/>
                  <w:sz w:val="20"/>
                  <w:u w:val="single"/>
                </w:rPr>
                <w:t>Condensed Consolidated Statements of Other Comprehensive Income (Loss</w:t>
              </w:r>
            </w:hyperlink>
            <w:r>
              <w:rPr>
                <w:rFonts w:ascii="Times New Roman;serif" w:hAnsi="Times New Roman;serif"/>
                <w:b w:val="false"/>
                <w:color w:val="000000"/>
                <w:sz w:val="20"/>
              </w:rPr>
              <w: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25">
              <w:r>
                <w:rPr>
                  <w:rStyle w:val="InternetLink"/>
                  <w:rFonts w:ascii="Times New Roman;serif" w:hAnsi="Times New Roman;serif"/>
                  <w:b w:val="false"/>
                  <w:color w:val="0000EE"/>
                  <w:sz w:val="20"/>
                  <w:u w:val="single"/>
                </w:rPr>
                <w:t>7</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28">
              <w:r>
                <w:rPr>
                  <w:rStyle w:val="InternetLink"/>
                  <w:rFonts w:ascii="Times New Roman;serif" w:hAnsi="Times New Roman;serif"/>
                  <w:b w:val="false"/>
                  <w:color w:val="0000EE"/>
                  <w:sz w:val="20"/>
                  <w:u w:val="single"/>
                </w:rPr>
                <w:t>Condensed Consolidated Statements of Changes in Stockholders’ Equity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28">
              <w:r>
                <w:rPr>
                  <w:rStyle w:val="InternetLink"/>
                  <w:rFonts w:ascii="Times New Roman;serif" w:hAnsi="Times New Roman;serif"/>
                  <w:b w:val="false"/>
                  <w:color w:val="0000EE"/>
                  <w:sz w:val="20"/>
                  <w:u w:val="single"/>
                </w:rPr>
                <w:t>8</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31">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31">
              <w:r>
                <w:rPr>
                  <w:rStyle w:val="InternetLink"/>
                  <w:rFonts w:ascii="Times New Roman;serif" w:hAnsi="Times New Roman;serif"/>
                  <w:b w:val="false"/>
                  <w:color w:val="0000EE"/>
                  <w:sz w:val="20"/>
                  <w:u w:val="single"/>
                </w:rPr>
                <w:t>12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34">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34">
              <w:r>
                <w:rPr>
                  <w:rStyle w:val="InternetLink"/>
                  <w:rFonts w:ascii="Times New Roman;serif" w:hAnsi="Times New Roman;serif"/>
                  <w:b w:val="false"/>
                  <w:color w:val="0000EE"/>
                  <w:sz w:val="20"/>
                  <w:u w:val="single"/>
                </w:rPr>
                <w:t>13</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09">
              <w:r>
                <w:rPr>
                  <w:rStyle w:val="InternetLink"/>
                  <w:rFonts w:ascii="Times New Roman;serif" w:hAnsi="Times New Roman;serif"/>
                  <w:b w:val="false"/>
                  <w:color w:val="0000EE"/>
                  <w:sz w:val="20"/>
                  <w:u w:val="single"/>
                </w:rPr>
                <w:t>Item 2.</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09">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09">
              <w:r>
                <w:rPr>
                  <w:rStyle w:val="InternetLink"/>
                  <w:rFonts w:ascii="Times New Roman;serif" w:hAnsi="Times New Roman;serif"/>
                  <w:b w:val="false"/>
                  <w:color w:val="0000EE"/>
                  <w:sz w:val="20"/>
                  <w:u w:val="single"/>
                </w:rPr>
                <w:t>44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33">
              <w:r>
                <w:rPr>
                  <w:rStyle w:val="InternetLink"/>
                  <w:rFonts w:ascii="Times New Roman;serif" w:hAnsi="Times New Roman;serif"/>
                  <w:b w:val="false"/>
                  <w:color w:val="0000EE"/>
                  <w:sz w:val="20"/>
                  <w:u w:val="single"/>
                </w:rPr>
                <w:t>Item 3.</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33">
              <w:r>
                <w:rPr>
                  <w:rStyle w:val="InternetLink"/>
                  <w:rFonts w:ascii="Times New Roman;serif" w:hAnsi="Times New Roman;serif"/>
                  <w:b w:val="false"/>
                  <w:color w:val="0000EE"/>
                  <w:sz w:val="20"/>
                  <w:u w:val="single"/>
                </w:rPr>
                <w:t>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33">
              <w:r>
                <w:rPr>
                  <w:rStyle w:val="InternetLink"/>
                  <w:rFonts w:ascii="Times New Roman;serif" w:hAnsi="Times New Roman;serif"/>
                  <w:b w:val="false"/>
                  <w:color w:val="0000EE"/>
                  <w:sz w:val="20"/>
                  <w:u w:val="single"/>
                </w:rPr>
                <w:t>63</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36">
              <w:r>
                <w:rPr>
                  <w:rStyle w:val="InternetLink"/>
                  <w:rFonts w:ascii="Times New Roman;serif" w:hAnsi="Times New Roman;serif"/>
                  <w:b w:val="false"/>
                  <w:color w:val="0000EE"/>
                  <w:sz w:val="20"/>
                  <w:u w:val="single"/>
                </w:rPr>
                <w:t>Item 4.</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36">
              <w:r>
                <w:rPr>
                  <w:rStyle w:val="InternetLink"/>
                  <w:rFonts w:ascii="Times New Roman;serif" w:hAnsi="Times New Roman;serif"/>
                  <w:b w:val="false"/>
                  <w:color w:val="0000EE"/>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36">
              <w:r>
                <w:rPr>
                  <w:rStyle w:val="InternetLink"/>
                  <w:rFonts w:ascii="Times New Roman;serif" w:hAnsi="Times New Roman;serif"/>
                  <w:b w:val="false"/>
                  <w:color w:val="0000EE"/>
                  <w:sz w:val="20"/>
                  <w:u w:val="single"/>
                </w:rPr>
                <w:t>64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39">
              <w:r>
                <w:rPr>
                  <w:rStyle w:val="InternetLink"/>
                  <w:rFonts w:ascii="Times New Roman;serif" w:hAnsi="Times New Roman;serif"/>
                  <w:b/>
                  <w:color w:val="0000EE"/>
                  <w:sz w:val="20"/>
                  <w:u w:val="single"/>
                </w:rPr>
                <w:t>Part II -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39">
              <w:r>
                <w:rPr>
                  <w:rStyle w:val="InternetLink"/>
                  <w:rFonts w:ascii="Times New Roman;serif" w:hAnsi="Times New Roman;serif"/>
                  <w:b w:val="false"/>
                  <w:color w:val="0000EE"/>
                  <w:sz w:val="20"/>
                  <w:u w:val="single"/>
                </w:rPr>
                <w:t>65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42">
              <w:r>
                <w:rPr>
                  <w:rStyle w:val="InternetLink"/>
                  <w:rFonts w:ascii="Times New Roman;serif" w:hAnsi="Times New Roman;serif"/>
                  <w:b w:val="false"/>
                  <w:color w:val="0000EE"/>
                  <w:sz w:val="20"/>
                  <w:u w:val="single"/>
                </w:rPr>
                <w:t>Item 1.</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42">
              <w:r>
                <w:rPr>
                  <w:rStyle w:val="InternetLink"/>
                  <w:rFonts w:ascii="Times New Roman;serif" w:hAnsi="Times New Roman;serif"/>
                  <w:b w:val="false"/>
                  <w:color w:val="0000EE"/>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42">
              <w:r>
                <w:rPr>
                  <w:rStyle w:val="InternetLink"/>
                  <w:rFonts w:ascii="Times New Roman;serif" w:hAnsi="Times New Roman;serif"/>
                  <w:b w:val="false"/>
                  <w:color w:val="0000EE"/>
                  <w:sz w:val="20"/>
                  <w:u w:val="single"/>
                </w:rPr>
                <w:t>65</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45">
              <w:r>
                <w:rPr>
                  <w:rStyle w:val="InternetLink"/>
                  <w:rFonts w:ascii="Times New Roman;serif" w:hAnsi="Times New Roman;serif"/>
                  <w:b w:val="false"/>
                  <w:color w:val="0000EE"/>
                  <w:sz w:val="20"/>
                  <w:u w:val="single"/>
                </w:rPr>
                <w:t>Item 1A.</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45">
              <w:r>
                <w:rPr>
                  <w:rStyle w:val="InternetLink"/>
                  <w:rFonts w:ascii="Times New Roman;serif" w:hAnsi="Times New Roman;serif"/>
                  <w:b w:val="false"/>
                  <w:color w:val="0000EE"/>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45">
              <w:r>
                <w:rPr>
                  <w:rStyle w:val="InternetLink"/>
                  <w:rFonts w:ascii="Times New Roman;serif" w:hAnsi="Times New Roman;serif"/>
                  <w:b w:val="false"/>
                  <w:color w:val="0000EE"/>
                  <w:sz w:val="20"/>
                  <w:u w:val="single"/>
                </w:rPr>
                <w:t>66</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48">
              <w:r>
                <w:rPr>
                  <w:rStyle w:val="InternetLink"/>
                  <w:rFonts w:ascii="Times New Roman;serif" w:hAnsi="Times New Roman;serif"/>
                  <w:b w:val="false"/>
                  <w:color w:val="0000EE"/>
                  <w:sz w:val="20"/>
                  <w:u w:val="single"/>
                </w:rPr>
                <w:t>Item 2.</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48">
              <w:r>
                <w:rPr>
                  <w:rStyle w:val="InternetLink"/>
                  <w:rFonts w:ascii="Times New Roman;serif" w:hAnsi="Times New Roman;serif"/>
                  <w:b w:val="false"/>
                  <w:color w:val="0000EE"/>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48">
              <w:r>
                <w:rPr>
                  <w:rStyle w:val="InternetLink"/>
                  <w:rFonts w:ascii="Times New Roman;serif" w:hAnsi="Times New Roman;serif"/>
                  <w:b w:val="false"/>
                  <w:color w:val="0000EE"/>
                  <w:sz w:val="20"/>
                  <w:u w:val="single"/>
                </w:rPr>
                <w:t>74</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51">
              <w:r>
                <w:rPr>
                  <w:rStyle w:val="InternetLink"/>
                  <w:rFonts w:ascii="Times New Roman;serif" w:hAnsi="Times New Roman;serif"/>
                  <w:b w:val="false"/>
                  <w:color w:val="0000EE"/>
                  <w:sz w:val="20"/>
                  <w:u w:val="single"/>
                </w:rPr>
                <w:t>Item 3.</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51">
              <w:r>
                <w:rPr>
                  <w:rStyle w:val="InternetLink"/>
                  <w:rFonts w:ascii="Times New Roman;serif" w:hAnsi="Times New Roman;serif"/>
                  <w:b w:val="false"/>
                  <w:color w:val="0000EE"/>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51">
              <w:r>
                <w:rPr>
                  <w:rStyle w:val="InternetLink"/>
                  <w:rFonts w:ascii="Times New Roman;serif" w:hAnsi="Times New Roman;serif"/>
                  <w:b w:val="false"/>
                  <w:color w:val="0000EE"/>
                  <w:sz w:val="20"/>
                  <w:u w:val="single"/>
                </w:rPr>
                <w:t>74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54">
              <w:r>
                <w:rPr>
                  <w:rStyle w:val="InternetLink"/>
                  <w:rFonts w:ascii="Times New Roman;serif" w:hAnsi="Times New Roman;serif"/>
                  <w:b w:val="false"/>
                  <w:color w:val="0000EE"/>
                  <w:sz w:val="20"/>
                  <w:u w:val="single"/>
                </w:rPr>
                <w:t>Item 4.</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54">
              <w:r>
                <w:rPr>
                  <w:rStyle w:val="InternetLink"/>
                  <w:rFonts w:ascii="Times New Roman;serif" w:hAnsi="Times New Roman;serif"/>
                  <w:b w:val="false"/>
                  <w:color w:val="0000EE"/>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54">
              <w:r>
                <w:rPr>
                  <w:rStyle w:val="InternetLink"/>
                  <w:rFonts w:ascii="Times New Roman;serif" w:hAnsi="Times New Roman;serif"/>
                  <w:b w:val="false"/>
                  <w:color w:val="0000EE"/>
                  <w:sz w:val="20"/>
                  <w:u w:val="single"/>
                </w:rPr>
                <w:t>74</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57">
              <w:r>
                <w:rPr>
                  <w:rStyle w:val="InternetLink"/>
                  <w:rFonts w:ascii="Times New Roman;serif" w:hAnsi="Times New Roman;serif"/>
                  <w:b w:val="false"/>
                  <w:color w:val="0000EE"/>
                  <w:sz w:val="20"/>
                  <w:u w:val="single"/>
                </w:rPr>
                <w:t>Item 5.</w:t>
              </w:r>
            </w:hyperlink>
          </w:p>
        </w:tc>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57">
              <w:r>
                <w:rPr>
                  <w:rStyle w:val="InternetLink"/>
                  <w:rFonts w:ascii="Times New Roman;serif" w:hAnsi="Times New Roman;serif"/>
                  <w:b w:val="false"/>
                  <w:color w:val="0000EE"/>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57">
              <w:r>
                <w:rPr>
                  <w:rStyle w:val="InternetLink"/>
                  <w:rFonts w:ascii="Times New Roman;serif" w:hAnsi="Times New Roman;serif"/>
                  <w:b w:val="false"/>
                  <w:color w:val="0000EE"/>
                  <w:sz w:val="20"/>
                  <w:u w:val="single"/>
                </w:rPr>
                <w:t>74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60">
              <w:r>
                <w:rPr>
                  <w:rStyle w:val="InternetLink"/>
                  <w:rFonts w:ascii="Times New Roman;serif" w:hAnsi="Times New Roman;serif"/>
                  <w:b w:val="false"/>
                  <w:color w:val="0000EE"/>
                  <w:sz w:val="20"/>
                  <w:u w:val="single"/>
                </w:rPr>
                <w:t>Item 6.</w:t>
              </w:r>
            </w:hyperlink>
          </w:p>
        </w:tc>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60">
              <w:r>
                <w:rPr>
                  <w:rStyle w:val="InternetLink"/>
                  <w:rFonts w:ascii="Times New Roman;serif" w:hAnsi="Times New Roman;serif"/>
                  <w:b w:val="false"/>
                  <w:color w:val="0000EE"/>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60">
              <w:r>
                <w:rPr>
                  <w:rStyle w:val="InternetLink"/>
                  <w:rFonts w:ascii="Times New Roman;serif" w:hAnsi="Times New Roman;serif"/>
                  <w:b w:val="false"/>
                  <w:color w:val="0000EE"/>
                  <w:sz w:val="20"/>
                  <w:u w:val="single"/>
                </w:rPr>
                <w:t>75</w:t>
              </w:r>
            </w:hyperlink>
          </w:p>
        </w:tc>
      </w:tr>
      <w:tr>
        <w:trPr/>
        <w:tc>
          <w:tcPr>
            <w:tcW w:w="8688"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5cacc77d7ca4e339af513939e53cfc2_163">
              <w:r>
                <w:rPr>
                  <w:rStyle w:val="InternetLink"/>
                  <w:rFonts w:ascii="Times New Roman;serif" w:hAnsi="Times New Roman;serif"/>
                  <w:b w:val="false"/>
                  <w:color w:val="0000EE"/>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5cacc77d7ca4e339af513939e53cfc2_163">
              <w:r>
                <w:rPr>
                  <w:rStyle w:val="InternetLink"/>
                  <w:rFonts w:ascii="Times New Roman;serif" w:hAnsi="Times New Roman;serif"/>
                  <w:b w:val="false"/>
                  <w:color w:val="0000EE"/>
                  <w:sz w:val="20"/>
                  <w:u w:val="single"/>
                </w:rPr>
                <w:t>76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quarterly period ended June 30, 2025 (this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Report are forward-looking statements. In particular, statements regarding our future results of operations and financial position, operational performance, the Company’s business, growth, and innovation strategy and the efficacy of our products and services to meet evolving needs, future market and industry growth and related opportunities for the Company, projected operating costs, our ability to differentiate our products and optimize our cost structure, our ability to compete, liquidity and access to capital, the timing of future revenue recognition, future capital expenditures and debt service obligations, the Company’s expected growth and demand for our energy storage solutions, services, and digital application offerings and the industry generally, relationships with new and existing customers and suppliers, introduction of new energy storage solutions, services, and digital application offerings and adoption of such offerings by customers, our domestic content strategy, assumptions relating to the Company’s tax receivable agreement, expectations relating to backlog, pipeline, contracted backlog, and order intake, current expectations relating to legal proceedings, impacts and benefits from the Inflation Reduction Act of 2022 (the “IRA”) and related domestic content guidelines on us and our customers, potential impact of the changes to the IRA pursuant to the One Big Beautiful Bill Act (“OBBBA”) and related executive orders and agency guidance on us, our customers, and our suppliers, the implementation and success of our compliance and risk mitigation strategies related to the foregoing regulatory impacts and uncertainty, potential or estimated impact of tariffs and uncertainty around U.S. and foreign trade policy on the Company, our suppliers, and our customers, potential impact from recent delays in ramp up of U.S. production facilities, and beliefs, assumptions, prospects, plans, and objectives of management, are forward-looking statements. In some cases, you may identify forward-looking statements by terms such as “may,” “possible,” “will,” “should,” “expects,” “plans,” “anticipates,” “could,” “seeks,” “intends,” “targets,” “projects,” “contemplates,” “grows,” “believes,” “estimates,” “predicts,” “potential,” “commits,” “would,”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a number of important factors that could cause actual results to differ materially from those in the forward-looking statements, including, but not limited to, our relatively limited operating and revenue history as an independent entity and the nascent clean energy industry; anticipated increasing expenses in the future, and our ability to maintain prolonged profitability; fluctuations of our order intake and results of operations across fiscal periods; potential difficulties in maintaining manufacturing capacity and establishing expected mass manufacturing capacity in the future; risks relating to delays, disruptions, and quality control problems in our manufacturing operations; risks relating to quality and quantity of components provided by suppliers; risks relating to our status as a relatively low-volume purchaser as well as from supplier concentration and limited supplier capacity; risks relating to operating as a global company with a global supply chain; changes in the cost and availability of raw materials and underlying components; failure by manufacturers, vendors, and suppliers to use ethical business practices and comply with applicable laws and regulations; significant reduction in pricing or order volume or loss of one or more of our significant customers or their inability to perform under their contracts; risks relating to competition for our offerings and our ability to attract new customers and retain existing customers; ability to maintain and enhance our reputation and brand recognition; ability to effectively manage our recent and future growth and expansion of our business and operations; our growth depends in part on the success of our relationships with third parties; ability to attract and retain highly qualified personnel; risks associated with engineering and construction, utility interconnection, commissioning and installation of our energy storage solutions and products, cost overruns, and delays; risks relating to lengthy sales and installation cycle for our energy storage solutions; risks related to defects, errors, vulnerabilities and/or bugs in our products and technology; risks relating to estimation uncertainty related to our product warranties; fluctuations in currency exchange rates; risks related to our current and planned foreign operations; amounts included in our pipeline and contracted backlog may not result in actual revenue or translate into profits; risks related to acquisitions we have made or that we may pursue; events and incidents relating to storage, delivery, installation, operation, maintenance and shutdowns of our products; risks relating to our impacts to our customer relationships due to events and incidents during the project lifecycle of an energy storage solution; actual or threatened health epidemics, pandemics or similar public health threats; ability to obtain financial assurances for our projects; risks relating to whether renewable energy technologies are suitable for widespread adoption or if sufficient demand for our offerings do not develop or takes longer to develop than we anticipate; estimates on size of our 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addressable market; barriers arising from current electric utility industry policies and regulations and any subsequent changes; risks relating to the cost of electricity available from alternative sources; macroeconomic uncertainty and market conditions; risk relating to interest rates or a reduction in the availability of tax equity or project debt capital in the global financial markets and corresponding effects on customers’ ability to finance energy storage systems and demand for our energy storage solutions; reduction, elimination, modification, expiration, or determination of inapplicability of government incentives or regulations relating to or mandating or encouraging use of renewable energy and/or energy storage or the potential of such reduction, elimination, modification, expiration, or determination of inapplicability of government incentives or regulations; decline in public acceptance of renewable energy, or delay, prevent, or increase in the cost of customer projects; severe weather events; increased attention to ESG matters; restrictions set forth in our current credit agreement and future debt agreements; uncertain ability to raise additional capital to execute on business opportunities; risks related to our 2030 Convertible Senior Notes (as defined herein); our ability to obtain, maintain and enforce proper protection for our intellectual property, including our technology; threat of lawsuits by third parties alleging intellectual property violations; adequate protection for our trademarks and trade names; ability to enforce our intellectual property rights; risks relating to our patent portfolio; ability to effectively protect data integrity of our technology infrastructure and other business systems; use of open-source software; failure to comply with third party license or technology agreements; inability to license rights to use technologies on reasonable terms; risks relating to compromises, interruptions, or shutdowns of our systems; changes in the global trade environment, including imposition of new tariffs, changes to existing tariffs, and related economic uncertainty; potential changes in tax laws or regulations; risks relating to environmental, health, and safety laws and potential obligations, liabilities and costs thereunder; failure to comply with data privacy and data security laws, regulations and industry standards; risks relating to potential future legal proceedings, regulatory disputes, and governmental inquiries; risks related to ownership of our Class A common stock; risks related to us being a “controlled company” within the meaning of the NASDAQ rules; risks relating to the terms of our amended and restated certificate of incorporation and amended and restated bylaws; risks relating to our relationship with our Founders (as defined herein) and our continuing equity owners; risks relating to conflicts of interest by our officers and directors due to positions with continuing equity owners; risks related to short-seller activists; we depend on distributions from Fluence Energy, LLC to pay our taxes and expenses and Fluence Energy, LLC’s ability to make such distributions may be limited or restricted in certain scenarios; risks arising out of the Tax Receivable Agreement (as defined herein); unanticipated changes in effective tax rates or adverse outcomes resulting from examination of tax returns; risks relating to improper and ineffective internal control over reporting to comply with Sarbanes-Oxley Act; risks relating to changes in accounting principles or their applicability to us; risks relating to estimates or judgments relating to our critical accounting policies; and the factors described under the headings Part I, Item 1A. “Risk Factors” and Item 7. “Management’s Discussion and Analysis of Financial Condition and Results of Operations” in our Annual Report on Form 10-K for the fiscal year ended September 30, 2024, filed with the U.S. Securities and Exchange Commission (the “SEC”) on November 29, 2024 (the “2024 Annual Report”), and Part II, Item 1A. “Risk Factors” and Item 2. “Management’s Discussion and Analysis of Financial Condition and Results of Operations” in this Report.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160" w:after="283"/>
        <w:jc w:val="both"/>
        <w:rPr/>
      </w:pPr>
      <w:r>
        <w:rPr/>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66"/>
        <w:gridCol w:w="2219"/>
        <w:gridCol w:w="2155"/>
        <w:gridCol w:w="211"/>
        <w:gridCol w:w="976"/>
        <w:gridCol w:w="109"/>
        <w:gridCol w:w="109"/>
        <w:gridCol w:w="109"/>
        <w:gridCol w:w="109"/>
        <w:gridCol w:w="211"/>
        <w:gridCol w:w="976"/>
        <w:gridCol w:w="155"/>
      </w:tblGrid>
      <w:tr>
        <w:trPr/>
        <w:tc>
          <w:tcPr>
            <w:tcW w:w="2866"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2024</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notes receivable -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1,680,443 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1,902,188 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with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borrowings against note receivable -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1,258,835 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Preferred stock, </w:t>
            </w:r>
            <w:r>
              <w:rPr>
                <w:rFonts w:ascii="Times New Roman;serif" w:hAnsi="Times New Roman;serif"/>
                <w:b w:val="false"/>
                <w:color w:val="0D0D0D"/>
                <w:sz w:val="20"/>
              </w:rPr>
              <w:t>$0.00001 per share, 10,000,000 shares authorized; no shares issued and outstanding as of June 30, 2025 and September 30,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Class A common stock, $0.00001 par value per share, 1,200,000,000 shares authorized; 131,675,553 shares issued and 130,860,218 shares outstanding as of June 30, 2025; 130,207,845 shares issued and 129,421,797 shares outstanding as of September 30, 2024, respectively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Class B-1 common stock, $0.00001 par value per share, 134,325,805 shares author</w:t>
            </w:r>
            <w:r>
              <w:rPr>
                <w:rFonts w:ascii="Times New Roman;serif" w:hAnsi="Times New Roman;serif"/>
                <w:b w:val="false"/>
                <w:color w:val="000000"/>
                <w:sz w:val="20"/>
                <w:shd w:fill="CCEEFF" w:val="clear"/>
              </w:rPr>
              <w:t>ized; 51,499,195</w:t>
            </w:r>
            <w:r>
              <w:rPr>
                <w:color w:val="000000"/>
              </w:rPr>
              <w:t xml:space="preserve"> </w:t>
            </w:r>
            <w:r>
              <w:rPr>
                <w:rFonts w:ascii="Times New Roman;serif" w:hAnsi="Times New Roman;serif"/>
                <w:b w:val="false"/>
                <w:color w:val="000000"/>
                <w:sz w:val="20"/>
              </w:rPr>
              <w:t>shares issued and outstanding as of June 30, 2025; 134,325,805 shares authorized; 51,499,195 shares issued and outstanding as of September 30, 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B-2 common stock, $0.00001 par value per share, 200,000,000 shares authorized; 0 shares issued and outstanding as of June 30, 2025 and September 30, 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attributable to Fluence Energy, Inc.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1,902,188 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46"/>
        <w:gridCol w:w="1165"/>
        <w:gridCol w:w="1169"/>
        <w:gridCol w:w="293"/>
        <w:gridCol w:w="893"/>
        <w:gridCol w:w="138"/>
        <w:gridCol w:w="109"/>
        <w:gridCol w:w="109"/>
        <w:gridCol w:w="109"/>
        <w:gridCol w:w="293"/>
        <w:gridCol w:w="893"/>
        <w:gridCol w:w="138"/>
        <w:gridCol w:w="109"/>
        <w:gridCol w:w="109"/>
        <w:gridCol w:w="109"/>
        <w:gridCol w:w="283"/>
        <w:gridCol w:w="903"/>
        <w:gridCol w:w="119"/>
        <w:gridCol w:w="119"/>
        <w:gridCol w:w="119"/>
        <w:gridCol w:w="119"/>
        <w:gridCol w:w="283"/>
        <w:gridCol w:w="903"/>
        <w:gridCol w:w="175"/>
      </w:tblGrid>
      <w:tr>
        <w:trPr/>
        <w:tc>
          <w:tcPr>
            <w:tcW w:w="154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8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9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566,926</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328,091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947,532</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856,125</w:t>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273,407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614,289</w:t>
            </w:r>
          </w:p>
        </w:tc>
      </w:tr>
      <w:tr>
        <w:trPr/>
        <w:tc>
          <w:tcPr>
            <w:tcW w:w="388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324"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602,533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483,317</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1,220,939</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1,470,414</w:t>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1,068,057</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1,286,803</w:t>
            </w:r>
          </w:p>
        </w:tc>
      </w:tr>
      <w:tr>
        <w:trPr/>
        <w:tc>
          <w:tcPr>
            <w:tcW w:w="388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24"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83,045</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152,882</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183,611</w:t>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2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14,976</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65,325</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47,843</w:t>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41,271</w:t>
            </w:r>
          </w:p>
        </w:tc>
      </w:tr>
      <w:tr>
        <w:trPr/>
        <w:tc>
          <w:tcPr>
            <w:tcW w:w="3880"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2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45,106</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113,722</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126,901</w:t>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8,589</w:t>
            </w:r>
          </w:p>
        </w:tc>
      </w:tr>
      <w:tr>
        <w:trPr/>
        <w:tc>
          <w:tcPr>
            <w:tcW w:w="3880"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32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w:t>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r>
      <w:tr>
        <w:trPr/>
        <w:tc>
          <w:tcPr>
            <w:tcW w:w="3880"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324"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(91,182)</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(36,029)</w:t>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r>
      <w:tr>
        <w:trPr/>
        <w:tc>
          <w:tcPr>
            <w:tcW w:w="3880"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9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(92,051)</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(37,357)</w:t>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w:t>
            </w:r>
          </w:p>
        </w:tc>
      </w:tr>
      <w:tr>
        <w:trPr/>
        <w:tc>
          <w:tcPr>
            <w:tcW w:w="3880"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Fluence Energy, Inc.</w:t>
            </w:r>
          </w:p>
        </w:tc>
        <w:tc>
          <w:tcPr>
            <w:tcW w:w="29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(66,260)</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(25,127)</w:t>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shares outstanding:</w:t>
            </w:r>
          </w:p>
        </w:tc>
        <w:tc>
          <w:tcPr>
            <w:tcW w:w="1324"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130,723,258 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127,910,081 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130,062,109 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125,273,648 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183,645,493 </w:t>
            </w:r>
          </w:p>
        </w:tc>
        <w:tc>
          <w:tcPr>
            <w:tcW w:w="138"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184,219,065 </w:t>
            </w:r>
          </w:p>
        </w:tc>
        <w:tc>
          <w:tcPr>
            <w:tcW w:w="138"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130,062,109 </w:t>
            </w:r>
          </w:p>
        </w:tc>
        <w:tc>
          <w:tcPr>
            <w:tcW w:w="11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125,273,648 </w:t>
            </w:r>
          </w:p>
        </w:tc>
        <w:tc>
          <w:tcPr>
            <w:tcW w:w="17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per share of Class A common stock:</w:t>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93"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38"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8"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1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7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w:t>
      </w:r>
    </w:p>
    <w:tbl>
      <w:tblPr>
        <w:tblW w:w="10205" w:type="dxa"/>
        <w:jc w:val="left"/>
        <w:tblInd w:w="0" w:type="dxa"/>
        <w:tblLayout w:type="fixed"/>
        <w:tblCellMar>
          <w:top w:w="28" w:type="dxa"/>
          <w:left w:w="28" w:type="dxa"/>
          <w:bottom w:w="28" w:type="dxa"/>
          <w:right w:w="28" w:type="dxa"/>
        </w:tblCellMar>
      </w:tblPr>
      <w:tblGrid>
        <w:gridCol w:w="1832"/>
        <w:gridCol w:w="1456"/>
        <w:gridCol w:w="1468"/>
        <w:gridCol w:w="226"/>
        <w:gridCol w:w="776"/>
        <w:gridCol w:w="117"/>
        <w:gridCol w:w="117"/>
        <w:gridCol w:w="117"/>
        <w:gridCol w:w="117"/>
        <w:gridCol w:w="226"/>
        <w:gridCol w:w="729"/>
        <w:gridCol w:w="117"/>
        <w:gridCol w:w="109"/>
        <w:gridCol w:w="109"/>
        <w:gridCol w:w="109"/>
        <w:gridCol w:w="211"/>
        <w:gridCol w:w="781"/>
        <w:gridCol w:w="109"/>
        <w:gridCol w:w="109"/>
        <w:gridCol w:w="109"/>
        <w:gridCol w:w="109"/>
        <w:gridCol w:w="211"/>
        <w:gridCol w:w="781"/>
        <w:gridCol w:w="160"/>
      </w:tblGrid>
      <w:tr>
        <w:trPr/>
        <w:tc>
          <w:tcPr>
            <w:tcW w:w="183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4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(loss) on foreign currency translation, net of tax</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gain on cash flow hedges, net of tax</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 attributable to Fluence Energy, Inc.</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(26,757)</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 except Shares)</w:t>
      </w:r>
    </w:p>
    <w:tbl>
      <w:tblPr>
        <w:tblW w:w="13003" w:type="dxa"/>
        <w:jc w:val="center"/>
        <w:tblInd w:w="0" w:type="dxa"/>
        <w:tblLayout w:type="fixed"/>
        <w:tblCellMar>
          <w:top w:w="28" w:type="dxa"/>
          <w:left w:w="28" w:type="dxa"/>
          <w:bottom w:w="28" w:type="dxa"/>
          <w:right w:w="28" w:type="dxa"/>
        </w:tblCellMar>
      </w:tblPr>
      <w:tblGrid>
        <w:gridCol w:w="744"/>
        <w:gridCol w:w="241"/>
        <w:gridCol w:w="231"/>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269"/>
        <w:gridCol w:w="887"/>
        <w:gridCol w:w="150"/>
        <w:gridCol w:w="368"/>
        <w:gridCol w:w="368"/>
        <w:gridCol w:w="211"/>
        <w:gridCol w:w="196"/>
        <w:gridCol w:w="571"/>
        <w:gridCol w:w="109"/>
        <w:gridCol w:w="260"/>
        <w:gridCol w:w="976"/>
        <w:gridCol w:w="145"/>
        <w:gridCol w:w="214"/>
        <w:gridCol w:w="803"/>
        <w:gridCol w:w="169"/>
      </w:tblGrid>
      <w:tr>
        <w:trPr/>
        <w:tc>
          <w:tcPr>
            <w:tcW w:w="74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Accumulated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Other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130,451,861 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(223,960)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815,335 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110,893 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499,063 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193,151 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remeasurement of non-controlling interest due to other share transactions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foreign currency translation,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cash flow hedges,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130,860,218 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623,228 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(217,708)</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815,335 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520,844 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tbl>
      <w:tblPr>
        <w:tblW w:w="13003"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0"/>
        <w:gridCol w:w="481"/>
        <w:gridCol w:w="199"/>
        <w:gridCol w:w="247"/>
        <w:gridCol w:w="247"/>
        <w:gridCol w:w="257"/>
        <w:gridCol w:w="196"/>
        <w:gridCol w:w="736"/>
        <w:gridCol w:w="109"/>
        <w:gridCol w:w="208"/>
        <w:gridCol w:w="800"/>
        <w:gridCol w:w="118"/>
        <w:gridCol w:w="269"/>
        <w:gridCol w:w="887"/>
        <w:gridCol w:w="150"/>
        <w:gridCol w:w="368"/>
        <w:gridCol w:w="368"/>
        <w:gridCol w:w="211"/>
        <w:gridCol w:w="196"/>
        <w:gridCol w:w="57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A </w:t>
              <w:br/>
              <w:t>Common Stock</w:t>
            </w:r>
          </w:p>
        </w:tc>
        <w:tc>
          <w:tcPr>
            <w:tcW w:w="1911"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Accumulated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Other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129,421,797 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786,048 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135,035 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607,139 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(92,051)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746,481 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Class A common stock withheld related to settlement of employee taxes for stock-based compensation awards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721,227 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Capped Calls related to 2023 Convertible Senior Notes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Distribution to AES Grid Stability</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foreign currency translation,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cash flow hedges,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130,860,218 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(217,708)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815,335 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113,460 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520,844 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13015" w:type="dxa"/>
        <w:jc w:val="center"/>
        <w:tblInd w:w="0" w:type="dxa"/>
        <w:tblLayout w:type="fixed"/>
        <w:tblCellMar>
          <w:top w:w="28" w:type="dxa"/>
          <w:left w:w="28" w:type="dxa"/>
          <w:bottom w:w="28" w:type="dxa"/>
          <w:right w:w="28" w:type="dxa"/>
        </w:tblCellMar>
      </w:tblPr>
      <w:tblGrid>
        <w:gridCol w:w="756"/>
        <w:gridCol w:w="229"/>
        <w:gridCol w:w="231"/>
        <w:gridCol w:w="525"/>
        <w:gridCol w:w="526"/>
        <w:gridCol w:w="211"/>
        <w:gridCol w:w="293"/>
        <w:gridCol w:w="349"/>
        <w:gridCol w:w="109"/>
        <w:gridCol w:w="480"/>
        <w:gridCol w:w="481"/>
        <w:gridCol w:w="211"/>
        <w:gridCol w:w="236"/>
        <w:gridCol w:w="406"/>
        <w:gridCol w:w="109"/>
        <w:gridCol w:w="196"/>
        <w:gridCol w:w="736"/>
        <w:gridCol w:w="109"/>
        <w:gridCol w:w="208"/>
        <w:gridCol w:w="800"/>
        <w:gridCol w:w="118"/>
        <w:gridCol w:w="297"/>
        <w:gridCol w:w="843"/>
        <w:gridCol w:w="166"/>
        <w:gridCol w:w="368"/>
        <w:gridCol w:w="368"/>
        <w:gridCol w:w="211"/>
        <w:gridCol w:w="196"/>
        <w:gridCol w:w="571"/>
        <w:gridCol w:w="109"/>
        <w:gridCol w:w="260"/>
        <w:gridCol w:w="976"/>
        <w:gridCol w:w="145"/>
        <w:gridCol w:w="214"/>
        <w:gridCol w:w="803"/>
        <w:gridCol w:w="169"/>
      </w:tblGrid>
      <w:tr>
        <w:trPr/>
        <w:tc>
          <w:tcPr>
            <w:tcW w:w="7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A </w:t>
              <w:br/>
              <w:t>Common Stock</w:t>
            </w:r>
          </w:p>
        </w:tc>
        <w:tc>
          <w:tcPr>
            <w:tcW w:w="19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Accumulated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Other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at March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127,387,538 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(200,076)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694,423 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118,662 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531,736 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463,449 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withheld related to settlement of employee taxes for stock-based compensation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remeasurement of non-controlling interest due to other share transactions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1,111,117 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foreign currency translation, net of tax</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cash flow hedges,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2024</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128,893,582 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(199,291)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762,945 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117,012 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538,177 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tbl>
      <w:tblPr>
        <w:tblW w:w="13015" w:type="dxa"/>
        <w:jc w:val="center"/>
        <w:tblInd w:w="0" w:type="dxa"/>
        <w:tblLayout w:type="fixed"/>
        <w:tblCellMar>
          <w:top w:w="28" w:type="dxa"/>
          <w:left w:w="28" w:type="dxa"/>
          <w:bottom w:w="28" w:type="dxa"/>
          <w:right w:w="28" w:type="dxa"/>
        </w:tblCellMar>
      </w:tblPr>
      <w:tblGrid>
        <w:gridCol w:w="612"/>
        <w:gridCol w:w="301"/>
        <w:gridCol w:w="303"/>
        <w:gridCol w:w="525"/>
        <w:gridCol w:w="526"/>
        <w:gridCol w:w="211"/>
        <w:gridCol w:w="293"/>
        <w:gridCol w:w="349"/>
        <w:gridCol w:w="109"/>
        <w:gridCol w:w="480"/>
        <w:gridCol w:w="481"/>
        <w:gridCol w:w="211"/>
        <w:gridCol w:w="236"/>
        <w:gridCol w:w="406"/>
        <w:gridCol w:w="109"/>
        <w:gridCol w:w="196"/>
        <w:gridCol w:w="736"/>
        <w:gridCol w:w="109"/>
        <w:gridCol w:w="208"/>
        <w:gridCol w:w="800"/>
        <w:gridCol w:w="118"/>
        <w:gridCol w:w="297"/>
        <w:gridCol w:w="843"/>
        <w:gridCol w:w="166"/>
        <w:gridCol w:w="368"/>
        <w:gridCol w:w="368"/>
        <w:gridCol w:w="211"/>
        <w:gridCol w:w="196"/>
        <w:gridCol w:w="571"/>
        <w:gridCol w:w="109"/>
        <w:gridCol w:w="260"/>
        <w:gridCol w:w="976"/>
        <w:gridCol w:w="145"/>
        <w:gridCol w:w="214"/>
        <w:gridCol w:w="803"/>
        <w:gridCol w:w="169"/>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A </w:t>
              <w:br/>
              <w:t>Common Stock</w:t>
            </w:r>
          </w:p>
        </w:tc>
        <w:tc>
          <w:tcPr>
            <w:tcW w:w="19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B-1 </w:t>
              <w:br/>
              <w:t>Common Stock</w:t>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Accumulated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Other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Comprehensive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Income (Loss)</w:t>
            </w:r>
          </w:p>
        </w:tc>
        <w:tc>
          <w:tcPr>
            <w:tcW w:w="182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Non-Controlling </w:t>
              <w:br/>
              <w:t>interest</w:t>
            </w:r>
          </w:p>
        </w:tc>
        <w:tc>
          <w:tcPr>
            <w:tcW w:w="11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stockholders’ equity </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1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September 30,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118,903,435 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58,586,695 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(174,164)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689,974 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153,984 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556,330 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839,112 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AES Grid Stability redemption of Class B-1 common stock for Class A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7,087,500 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(7,087,500)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withheld related to settlement of employee taxes for stock-based compensation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remeasurement of non-controlling interest due to other share transactions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1,782,372 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foreign currency translation, net of tax</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cash flow hedges,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128,893,582 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51,499,195 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(199,291)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762,945 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117,012 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538,177 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w:t>
      </w:r>
    </w:p>
    <w:tbl>
      <w:tblPr>
        <w:tblW w:w="10205" w:type="dxa"/>
        <w:jc w:val="center"/>
        <w:tblInd w:w="0" w:type="dxa"/>
        <w:tblLayout w:type="fixed"/>
        <w:tblCellMar>
          <w:top w:w="28" w:type="dxa"/>
          <w:left w:w="28" w:type="dxa"/>
          <w:bottom w:w="28" w:type="dxa"/>
          <w:right w:w="28" w:type="dxa"/>
        </w:tblCellMar>
      </w:tblPr>
      <w:tblGrid>
        <w:gridCol w:w="2765"/>
        <w:gridCol w:w="2379"/>
        <w:gridCol w:w="2395"/>
        <w:gridCol w:w="211"/>
        <w:gridCol w:w="826"/>
        <w:gridCol w:w="109"/>
        <w:gridCol w:w="109"/>
        <w:gridCol w:w="109"/>
        <w:gridCol w:w="109"/>
        <w:gridCol w:w="211"/>
        <w:gridCol w:w="826"/>
        <w:gridCol w:w="156"/>
      </w:tblGrid>
      <w:tr>
        <w:trPr/>
        <w:tc>
          <w:tcPr>
            <w:tcW w:w="2765"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provided by operating activities: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15,459 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18,386 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97,076 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(38,415)</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(46,999)</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(180,842)</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256,264 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with related parties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264,498 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131,073 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(56,187)</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(25,838)</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on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settlement of employee taxes for stock-based compensation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2030 Convertible Senior Notes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Capped Calls related to 2030 Convertible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debt issuance costs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AES Grid Stability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50,577 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as of the beginning of the period</w:t>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518,706 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462,731 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as of the end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Flows Information</w:t>
            </w:r>
          </w:p>
        </w:tc>
        <w:tc>
          <w:tcPr>
            <w:tcW w:w="1146"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(refund) paid on income taxes</w:t>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1.    Organization and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Quarterly Report on Form 10-Q for the period ended June 30, 2025 (this “Report”).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Energy, Inc. is a holding company whose sole material assets are the limited liability company interests (the “LLC Interests”) in Fluence Energy, LLC. All of our business is conducted through Fluence Energy, LLC, together with its subsidiaries, and the financial results of Fluence Energy, LLC are consolidated in our financial statements. Fluence Energy, LLC is taxed as a partnership for federal income tax purposes and, as a result, its members, including Fluence Energy, Inc., pay income taxes with respect to their allocable shares of its net taxable income. As of June 30, 2025, Fluence Energy, LLC had subsidiaries operating in Germany, Australia, Philippines, Chile, the Netherlands, the United States, India, Singapore, United Kingdom, Canada, Taiwan, Ireland, Japan, and Switzerland. Except where the context clearly indicates otherwise, “Fluence,” “we,” “us,” “our,” or the “Company” refers to Fluence Energy, Inc. and all of its direct and indirect subsidiaries, including Fluence Energy, LLC.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fiscal year begins on October 1 and ends on September 30. References to “fiscal year 2024” and “fiscal year 2025” refer to the twelve months ended September 30, 2024 and September 30, 2025,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Secondary Offering and AES Redemption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8, 2023, AES Grid Stability, Siemens Pension-Trust e.V. (“Siemens Pension Trust”), and Qatar Holding LLC (“QHL” and together with AES Grid Stability and Siemens Pension Trust in such context, the “Selling Stockholders”) closed an underwritten public offering (the “Offering”) of 18,000,000 shares of Class A common stock, par value $0.00001 per share of the Company (the “Class A common stock”). The Company did not sell any of its shares of Class A common stock in the Offering and the Company did not receive any proceeds from the Offering.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conjunction with the Offering, AES Grid Stability exercised its redemption right pursuant to the terms of the Third Amended and Restated Limited Liability Agreement of Fluence Energy, LLC, dated October 27, 2021, as may be amended from time to time with respect to 7,087,500 LLC Interests held by AES Grid Stability, together with the corresponding cancellation of an equivalent number of shares of Class B-1 common stock, par value $0.00001 per share of the Company (the “Class B-1 common stock”) (the “AES Redemption”). The Company elected to settle the AES Redemption through the issuance of 7,087,500 shares of the Company’s Class A common stock. The AES Redemption settled on December 8, 2023. All of the 7,087,500 shares issued to AES Grid Stability in connection with the AES Redemption were sold in the Offering.</w:t>
      </w:r>
    </w:p>
    <w:p>
      <w:pPr>
        <w:pStyle w:val="TextBody"/>
        <w:bidi w:val="0"/>
        <w:spacing w:lineRule="auto" w:line="276" w:before="160" w:after="283"/>
        <w:ind w:left="0" w:right="0" w:firstLine="360"/>
        <w:jc w:val="both"/>
        <w:rPr/>
      </w:pPr>
      <w:r>
        <w:rPr>
          <w:rFonts w:ascii="Times New Roman;serif" w:hAnsi="Times New Roman;serif"/>
          <w:b w:val="false"/>
          <w:color w:val="000000"/>
          <w:sz w:val="20"/>
        </w:rPr>
        <w:t>The AES Redemption increased the beneficial ownership interest of the Company in Fluence Energy, LLC to 71.12% as of December 8, 2023. The impact of the change in ownership interest did not result in a change in control. The AES Redemption has been accounted for as an equity transaction and the carrying amount of the non-controlling interest has been adjusted. Refer to the condensed consolidated statements of changes in stockholders’ equity</w:t>
      </w:r>
      <w:r>
        <w:rPr>
          <w:color w:val="000000"/>
        </w:rPr>
        <w:t xml:space="preserve"> </w:t>
      </w:r>
      <w:r>
        <w:rPr>
          <w:rFonts w:ascii="Times New Roman;serif" w:hAnsi="Times New Roman;serif"/>
          <w:b w:val="false"/>
          <w:color w:val="000000"/>
          <w:sz w:val="20"/>
        </w:rPr>
        <w:t>included herein for more information on the impacts of the redemption to stockholder’s equity</w:t>
      </w:r>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 and Estimates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Principles of Accounting and Consolidation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accompanying condensed consolidated financial statements are prepared in accordance with U.S. generally accepted accounting principles (“U.S. GAAP”) and under the rules of the U.S. Securities and Exchange Commission (the </w:t>
      </w:r>
      <w:r>
        <w:rPr>
          <w:color w:val="000000"/>
          <w:shd w:fill="FFFFFF" w:val="clear"/>
        </w:rPr>
        <w:t>“</w:t>
      </w:r>
      <w:r>
        <w:rPr>
          <w:rFonts w:ascii="Times New Roman;serif" w:hAnsi="Times New Roman;serif"/>
          <w:b w:val="false"/>
          <w:color w:val="000000"/>
          <w:sz w:val="20"/>
          <w:shd w:fill="FFFFFF" w:val="clear"/>
        </w:rPr>
        <w:t>SEC”). The accompanying condensed consolidated financial statements include the accounts of Fluence Energy, Inc. and its subsidiaries. All intercompany balances and transactions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Non-Controlling Interest</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As the sole managing member of Fluence Energy, LLC, Fluence Energy, Inc. operates and controls all the business and affairs of Fluence Energy, LLC and, through Fluence Energy, LLC and its direct and indirect subsidiaries, conducts the Co</w:t>
      </w:r>
      <w:r>
        <w:rPr>
          <w:rFonts w:ascii="Times New Roman;serif" w:hAnsi="Times New Roman;serif"/>
          <w:b w:val="false"/>
          <w:color w:val="000000"/>
          <w:sz w:val="20"/>
        </w:rPr>
        <w:t>mpany’s business. Fluence Energy, LLC is a variable interest entity, of which Fluence Energy, Inc. beneficially owns an inte</w:t>
      </w:r>
      <w:r>
        <w:rPr>
          <w:rFonts w:ascii="Times New Roman;serif" w:hAnsi="Times New Roman;serif"/>
          <w:b w:val="false"/>
          <w:color w:val="000000"/>
          <w:sz w:val="20"/>
          <w:shd w:fill="FFFFFF" w:val="clear"/>
        </w:rPr>
        <w:t>rest as of June 30, 2025. For accounting purposes, Fluence Energy, Inc. is considered the primary beneficiary and therefore consolidates the results of Fluence Energy, LLC and its direct and indirect subsidiaries. The table below summarizes the ownership structure at the end of each respective period:</w:t>
      </w:r>
    </w:p>
    <w:tbl>
      <w:tblPr>
        <w:tblW w:w="6726" w:type="dxa"/>
        <w:jc w:val="left"/>
        <w:tblInd w:w="0" w:type="dxa"/>
        <w:tblLayout w:type="fixed"/>
        <w:tblCellMar>
          <w:top w:w="28" w:type="dxa"/>
          <w:left w:w="28" w:type="dxa"/>
          <w:bottom w:w="28" w:type="dxa"/>
          <w:right w:w="28" w:type="dxa"/>
        </w:tblCellMar>
      </w:tblPr>
      <w:tblGrid>
        <w:gridCol w:w="1291"/>
        <w:gridCol w:w="1136"/>
        <w:gridCol w:w="1142"/>
        <w:gridCol w:w="308"/>
        <w:gridCol w:w="308"/>
        <w:gridCol w:w="624"/>
        <w:gridCol w:w="109"/>
        <w:gridCol w:w="109"/>
        <w:gridCol w:w="109"/>
        <w:gridCol w:w="323"/>
        <w:gridCol w:w="323"/>
        <w:gridCol w:w="944"/>
      </w:tblGrid>
      <w:tr>
        <w:trPr/>
        <w:tc>
          <w:tcPr>
            <w:tcW w:w="129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Controlling Interest Ownership</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71.53 </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Ownership (AES)</w:t>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6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9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as of June 30, 2025, and for the three and nine months ended June 30, 2025 and 2024 are unaudited. These financial statements should be read in conjunction with the Company’s audited financial statements included in our Annual Report on Form 10-K for the year ended September 30, 2024 filed with the SEC on November 29, 2024 (the “2024 Annual Report”). In our opinion, such unaudited financial statements reflect all adjustments, including normal recurring items, that are necessary for the fair statement of the Company’s financial position as of June 30, 2025, the results of its operations for the three and nine months ended June 30, 2025 and 2024, and its cash flows for the nine months ended June 30, 2025 and 2024. The financial data and other information disclosed in these notes related to the three and nine months ended June 30, 2025 and 2024 are also unaudited. The results for the three and nine months ended June 30, 2025 and 2024 are not necessarily indicative of results for the full year ending September 30, 2025 and 2024, any other interim periods, or any future year or period. The balance sheet as of September 30, 2024 included herein was derived from the audited financial statements as of that date. Certain disclosures have been condensed or omitted in the interim financial statements.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For a complete description of our significant accounting policies, refer to “Note 2 - Summary of Significant Accounting Policies and Estimates</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 xml:space="preserve">the audited consolidated financial statements included in our 2024 Annual Report.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and assumptions that affect the amounts reported in the accompanying condensed consolidated financial statements and accompanying notes. Actual results could differ materially from those estimates. Items subject to such estimates and assumptions include: the carrying amount and estimated useful lives of long-lived assets; impairment of goodwill, intangible assets, and long-lived assets; valuation allowances for inventories; deferred tax assets; revenue recognized under the percentage-of-completion method; transaction price estimates with variable consideration; accrued bonuses; and various project-related provisions including, but not limited to, estimated losses and warranty obligations.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on-hand and highly liquid investments readily convertible to cash, with an original maturity of 90 days or less when purchased.</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non-current assets.” Otherwise, restricted cash is included as a separate line item on the Company’s condensed consolidated balance sheets.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typically retains cash for operations within one or more bank accounts. Our U.S. bank accounts may hold cash in excess of the FDIC limit of $250,000. As a result, we are subject to concentration risk associated with the underlying custodial banks with whom deposits of cash and cash equivalents in excess of the FDIC limits are held. If access to any bank accounts is delayed or suspended indefinitely, it could have a material adverse impact on the Company’s ability to meet its financial obligations required for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a reconciliation of cash, cash equivalents, and restricted cash at the end of each respective period as shown in the Company’s condensed consolidated balance sheets.</w:t>
      </w:r>
    </w:p>
    <w:tbl>
      <w:tblPr>
        <w:tblW w:w="7779" w:type="dxa"/>
        <w:jc w:val="left"/>
        <w:tblInd w:w="0" w:type="dxa"/>
        <w:tblLayout w:type="fixed"/>
        <w:tblCellMar>
          <w:top w:w="28" w:type="dxa"/>
          <w:left w:w="28" w:type="dxa"/>
          <w:bottom w:w="28" w:type="dxa"/>
          <w:right w:w="28" w:type="dxa"/>
        </w:tblCellMar>
      </w:tblPr>
      <w:tblGrid>
        <w:gridCol w:w="1631"/>
        <w:gridCol w:w="1430"/>
        <w:gridCol w:w="1438"/>
        <w:gridCol w:w="211"/>
        <w:gridCol w:w="826"/>
        <w:gridCol w:w="109"/>
        <w:gridCol w:w="109"/>
        <w:gridCol w:w="109"/>
        <w:gridCol w:w="109"/>
        <w:gridCol w:w="109"/>
        <w:gridCol w:w="109"/>
        <w:gridCol w:w="281"/>
        <w:gridCol w:w="1103"/>
        <w:gridCol w:w="205"/>
      </w:tblGrid>
      <w:tr>
        <w:trPr/>
        <w:tc>
          <w:tcPr>
            <w:tcW w:w="163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4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436,322 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448,685 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23,932 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cash, cash equivalents and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518,706 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Restricted cash at the end of each respective period consisted of the following:</w:t>
      </w:r>
    </w:p>
    <w:tbl>
      <w:tblPr>
        <w:tblW w:w="8869" w:type="dxa"/>
        <w:jc w:val="left"/>
        <w:tblInd w:w="0" w:type="dxa"/>
        <w:tblLayout w:type="fixed"/>
        <w:tblCellMar>
          <w:top w:w="28" w:type="dxa"/>
          <w:left w:w="28" w:type="dxa"/>
          <w:bottom w:w="28" w:type="dxa"/>
          <w:right w:w="28" w:type="dxa"/>
        </w:tblCellMar>
      </w:tblPr>
      <w:tblGrid>
        <w:gridCol w:w="2033"/>
        <w:gridCol w:w="1784"/>
        <w:gridCol w:w="1793"/>
        <w:gridCol w:w="228"/>
        <w:gridCol w:w="779"/>
        <w:gridCol w:w="117"/>
        <w:gridCol w:w="109"/>
        <w:gridCol w:w="109"/>
        <w:gridCol w:w="109"/>
        <w:gridCol w:w="109"/>
        <w:gridCol w:w="109"/>
        <w:gridCol w:w="309"/>
        <w:gridCol w:w="1056"/>
        <w:gridCol w:w="225"/>
      </w:tblGrid>
      <w:tr>
        <w:trPr/>
        <w:tc>
          <w:tcPr>
            <w:tcW w:w="203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Collateral for credit card program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Collateral for outstanding bank guarantees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Collateral for surety program</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9,866 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9,551 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for surety program included in “Other non-current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23,932 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restricted cash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70,021 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Revenue and Cost Recognition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revenue recognition policy included herein is based on the application of Accounting Standards Codification - Revenue from Contracts with Customers (ASC 606). As of June 30, 2025, the Company’s revenue was generated primarily from the sale of energy storage products and solutions, providing operational services, and the sale of digital applications and solutions.</w:t>
      </w:r>
    </w:p>
    <w:p>
      <w:pPr>
        <w:pStyle w:val="TextBody"/>
        <w:bidi w:val="0"/>
        <w:spacing w:lineRule="auto" w:line="288" w:before="160" w:after="283"/>
        <w:ind w:left="0" w:right="0" w:firstLine="360"/>
        <w:jc w:val="both"/>
        <w:rPr/>
      </w:pPr>
      <w:r>
        <w:rPr>
          <w:rFonts w:ascii="Times New Roman;serif" w:hAnsi="Times New Roman;serif"/>
          <w:b/>
          <w:i/>
          <w:color w:val="000000"/>
          <w:sz w:val="20"/>
        </w:rPr>
        <w:t>Revenue from Energy Storage Products and Solutions:</w:t>
      </w:r>
      <w:r>
        <w:rPr>
          <w:color w:val="000000"/>
        </w:rPr>
        <w:t xml:space="preserve"> </w:t>
      </w:r>
      <w:r>
        <w:rPr>
          <w:rFonts w:ascii="Times New Roman;serif" w:hAnsi="Times New Roman;serif"/>
          <w:b w:val="false"/>
          <w:color w:val="000000"/>
          <w:sz w:val="20"/>
        </w:rPr>
        <w:t xml:space="preserve">The Company enters into contracts with utility companies, developers, and commercial and industrial customers to design and build battery-based energy storage products and solutions. Our projects have a lead time from the date of contract execution to substantial completion, typically ranging from approximately twelve up to eighteen months. Generally, we must design the project, as each storage solution is customized depending on the customer’s energy needs, procure the major equipment, obtain manufacturing slots from our contract manufacturers, coordinate the logistics, and assemble the solution prior to delivery and installation at our customer project sites. These actions must be completed timely to adhere to customer schedules and milestones. Depending on the scope of the project, we may be responsible for the installation of the equipment. After the equipment is installed, we are responsible for commissioning. The Company recognizes revenue over time as we transfer control of our product to the customer. This transfer of control to the customer occurs as the project is being built in accordance with the contract or is supported by clauses in the contracts that provide enforceable rights to payment of the transaction price associated with work performed to date for products that do not have an alternative use to the Company. Revenue is recognized using the percentage of completion (“POC”) method based on actual cost incurred as a percentage of total estimated contract costs. Standard inventory materials (including batteries, enclosures, chillers, and others, which are assembled into “cubes”) that could be used interchangeably on other projects are included in our measure of progress when they are integrated into, or restricted to a specific customer’s project such that we no longer have the ability to direct their use for other purposes. Contract costs include all direct material and labor costs related to contract performance. As the cost of the assembled cubes comprise a substantial portion of the total estimated contract costs, our pattern of revenue recognition may vary materially from period to period. Our judgement on when costs should be included in the measure of progress has a material impact on revenue recognition.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transaction price based on the consideration expected to be received which includes estimates of variable consideration that are included in the transaction price in accordance with ASC 606. The transaction price identified is allocated to each distinct performance obligation to deliver a good or service based on the relative standalone selling prices. For our energy storage products and solutions, services, and digital applications contracts where there are multiple performance obligations in a single contract or we sign separate contracts at or near the same time with the same customer that meet the criteria for combination, the Company allocates the transaction price to the various obligations in the contract based on the relative standalone selling price. Standalone selling prices are estimated based on estimated costs plus margin taking into consideration pricing history and market factors. Generally, our revenues recognized are not sensitive to the Company’s determination of standalone selling prices.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assess any variable consideration using an expected value method which computes a weighted average amount based on a range of potential outcomes.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or if we will not meet certain performance specifications per the contract.</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contracts generally provide our customers the right to liquidated damages (“LDs”) against Fluence in the event specified milestones are not met on time or equipment is not delivered according to contract specifications. Liquidated damages are accounted for as variable consideration and the contract price is reduced by the expected LD amount when recognizing revenue. The existence and measurement of LDs may also be impacted by our judgments about the probability of favorable outcomes of customer disputes involving whether certain events qualify as force majeure or the reason for the events that caused project delays. Variable consideration for LDs is estimated using the expected value method. As of June 30, 2025 and September 30, 2024, transaction prices have been reduced to reflect estimates of variable consideration primarily related to LDs of $78.1 million and $78.4 million, respectively.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may incur additional costs to execute on the performance of a contract. When this happens, we typically attempt to recover these costs via a change order with the customer. When this fact pattern occurs, it can create a timing difference between when we have incurred the cost versus when we record the proportionate revenue, since costs are recognized immediately when incurred and the revenue is recognized based upon the transaction price, which is usually increased upon signing a respective change order with the customer.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shipping and handling activities are performed after the customer obtains control of the product, we elect to account for shipping and handling as activities to fulfill the promise to transfer the product.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recorded net of any taxes assessed on and collected from customers, which are remitted to the governmental authorities.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 payments are due upon meeting certain milestones as defined in the contract, which are generally consistent with contract-specific phases of a project.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Pre-contract costs with no future benefit are expensed in the period in which they are incurred. </w:t>
      </w:r>
    </w:p>
    <w:p>
      <w:pPr>
        <w:pStyle w:val="TextBody"/>
        <w:bidi w:val="0"/>
        <w:spacing w:lineRule="auto" w:line="288" w:before="160" w:after="283"/>
        <w:ind w:left="0" w:right="0" w:firstLine="360"/>
        <w:jc w:val="both"/>
        <w:rPr/>
      </w:pPr>
      <w:r>
        <w:rPr>
          <w:rFonts w:ascii="Times New Roman;serif" w:hAnsi="Times New Roman;serif"/>
          <w:b/>
          <w:i/>
          <w:color w:val="000000"/>
          <w:sz w:val="20"/>
        </w:rPr>
        <w:t>Revenue from Services:</w:t>
      </w:r>
      <w:r>
        <w:rPr>
          <w:color w:val="000000"/>
        </w:rPr>
        <w:t xml:space="preserve"> </w:t>
      </w:r>
      <w:r>
        <w:rPr>
          <w:rFonts w:ascii="Times New Roman;serif" w:hAnsi="Times New Roman;serif"/>
          <w:b w:val="false"/>
          <w:color w:val="000000"/>
          <w:sz w:val="20"/>
        </w:rPr>
        <w:t>The Company also enters into long-term service agreements with customers to provide operational services related to battery-based energy storage products and solutions. The services include extended warranty, maintenance, monitoring, and other services. The Company accounts for the services as separate performance obligations from the battery-based energy storage products and solutions. The extended warranty services are typically considered a separate performance obligation from the maintenance, monitoring, and other services. We typically recognize revenue ratably over the terms of the services using a straight-line recognition method. The Company believes using a time-based method to measure progress is appropriate as the performance obligations are satisfied evenly over the terms of services. Revenue is recognized for each of the performance obligations by dividing the allocated transaction price over the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 agreements also provide a commitment to perform augmentation activities which would typically be represented by installation of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others provide a fixed number of augmentations over a contract term. Augmentation arrangements that require us to maintain battery capacity above an established threshold for a given term may be considered service-type warranties depending on the contract terms. These represent a stand-ready obligation in which the customer benefits evenly overtime, of which we recognize revenue for these arrangements using a straight-line recognition method. Alternatively, augmentation arrangements that require us to perform a fixed number of augmentations over a contract term follow the percentage of completion revenue recognition method. Since these arrangements require a fixed number of augmentations we must perform, we use the pattern of cost as a proxy to identify when our obligations are satisfied and to recognize revenue.</w:t>
      </w:r>
    </w:p>
    <w:p>
      <w:pPr>
        <w:pStyle w:val="TextBody"/>
        <w:bidi w:val="0"/>
        <w:spacing w:lineRule="auto" w:line="288" w:before="160" w:after="283"/>
        <w:ind w:left="0" w:right="0" w:firstLine="360"/>
        <w:jc w:val="both"/>
        <w:rPr/>
      </w:pPr>
      <w:r>
        <w:rPr>
          <w:rFonts w:ascii="Times New Roman;serif" w:hAnsi="Times New Roman;serif"/>
          <w:b/>
          <w:i/>
          <w:color w:val="000000"/>
          <w:sz w:val="20"/>
        </w:rPr>
        <w:t>Revenue from Digital Applications and Solutions:</w:t>
      </w:r>
      <w:r>
        <w:rPr>
          <w:color w:val="000000"/>
        </w:rPr>
        <w:t xml:space="preserve"> </w:t>
      </w:r>
      <w:r>
        <w:rPr>
          <w:rFonts w:ascii="Times New Roman;serif" w:hAnsi="Times New Roman;serif"/>
          <w:b w:val="false"/>
          <w:color w:val="000000"/>
          <w:sz w:val="20"/>
        </w:rPr>
        <w:t>The Company provides access to proprietary cloud-based Software-as-a-Service (“SaaS”) offerings through several market facing applications. These applications currently include Fluence Mosaic and Fluence Nispera. Fluence Mosaic is an intelligent bidding software for utility-scale storage and renewable assets, helping to enable customers to optimize asset trading in wholesale electricity markets. Fluence Mosaic is currently available in the NEM (Australia), CAISO (California), and ERCOT (Texas) markets. Fluence Nispera is an asset performance management software that helps customers monitor, analyze, forecast, and optimize the performance of their renewable energy assets. Fluence Nispera is an AI-driven utility-scale asset performance management platform that supports portfolios of energy storage, solar, and wind assets. Customers do not receive legal title or ownership of the applications as a result of these arrangements. The use of the Fluence Digital software applications is separately identifiable from other promises that the Company offers to its customers. As such, Fluence Digital applications are accounted for as separate performance obligations when combined with other Fluence products, solutions, and services. We consider access to the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w:t>
      </w:r>
    </w:p>
    <w:p>
      <w:pPr>
        <w:pStyle w:val="TextBody"/>
        <w:bidi w:val="0"/>
        <w:spacing w:lineRule="auto" w:line="288" w:before="160" w:after="283"/>
        <w:ind w:left="0" w:right="0" w:firstLine="360"/>
        <w:jc w:val="both"/>
        <w:rPr/>
      </w:pPr>
      <w:r>
        <w:rPr>
          <w:rFonts w:ascii="Times New Roman;serif" w:hAnsi="Times New Roman;serif"/>
          <w:b/>
          <w:i/>
          <w:color w:val="000000"/>
          <w:sz w:val="20"/>
        </w:rPr>
        <w:t>Cost of Goods and Services:</w:t>
      </w:r>
      <w:r>
        <w:rPr>
          <w:color w:val="000000"/>
        </w:rPr>
        <w:t xml:space="preserve"> </w:t>
      </w:r>
      <w:r>
        <w:rPr>
          <w:rFonts w:ascii="Times New Roman;serif" w:hAnsi="Times New Roman;serif"/>
          <w:b w:val="false"/>
          <w:color w:val="000000"/>
          <w:sz w:val="20"/>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control of goods are transferred to the customers. Standard inventory materials that could be used interchangeably on other projects are included in cost of goods sold when they are integrated into or restricted to the production of a customer’s project.</w:t>
      </w:r>
    </w:p>
    <w:p>
      <w:pPr>
        <w:pStyle w:val="TextBody"/>
        <w:bidi w:val="0"/>
        <w:spacing w:lineRule="auto" w:line="288" w:before="160" w:after="283"/>
        <w:ind w:left="0" w:right="0" w:firstLine="360"/>
        <w:jc w:val="both"/>
        <w:rPr/>
      </w:pPr>
      <w:r>
        <w:rPr>
          <w:rFonts w:ascii="Times New Roman;serif" w:hAnsi="Times New Roman;serif"/>
          <w:b/>
          <w:i/>
          <w:color w:val="000000"/>
          <w:sz w:val="20"/>
        </w:rPr>
        <w:t>Deferred Revenue:</w:t>
      </w:r>
      <w:r>
        <w:rPr>
          <w:color w:val="000000"/>
        </w:rPr>
        <w:t xml:space="preserve"> </w:t>
      </w:r>
      <w:r>
        <w:rPr>
          <w:rFonts w:ascii="Times New Roman;serif" w:hAnsi="Times New Roman;serif"/>
          <w:b w:val="false"/>
          <w:color w:val="000000"/>
          <w:sz w:val="20"/>
        </w:rPr>
        <w:t xml:space="preserve">Deferred revenue represents the excess billings to date over the amount of revenue recognized to date. The timing and the amount we bill our customers is based on achieving milestones as defined in the contract with the customers. </w:t>
      </w:r>
    </w:p>
    <w:p>
      <w:pPr>
        <w:pStyle w:val="TextBody"/>
        <w:bidi w:val="0"/>
        <w:spacing w:lineRule="auto" w:line="288" w:before="160" w:after="283"/>
        <w:ind w:left="0" w:right="0" w:firstLine="360"/>
        <w:jc w:val="both"/>
        <w:rPr/>
      </w:pPr>
      <w:r>
        <w:rPr>
          <w:rFonts w:ascii="Times New Roman;serif" w:hAnsi="Times New Roman;serif"/>
          <w:b/>
          <w:i/>
          <w:color w:val="000000"/>
          <w:sz w:val="20"/>
        </w:rPr>
        <w:t>Loss Contracts:</w:t>
      </w:r>
      <w:r>
        <w:rPr>
          <w:color w:val="000000"/>
        </w:rPr>
        <w:t xml:space="preserve"> </w:t>
      </w:r>
      <w:r>
        <w:rPr>
          <w:rFonts w:ascii="Times New Roman;serif" w:hAnsi="Times New Roman;serif"/>
          <w:b w:val="false"/>
          <w:color w:val="000000"/>
          <w:sz w:val="20"/>
        </w:rPr>
        <w:t>A contract becomes a loss contract when its estimated total costs are expected to exceed its total revenue. The Company accrues the full loss expected in the period a loss contract is identified in “Current liabilities — Accruals and provisions” and “Cost of goods and services” on the Company’s condensed consolidated balance sheets and condensed consolidated statements of operations, respectively.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Inventory,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Inventory, net primarily consists of cubes, batteries and related equipment, enclosures, inverters, and spare parts which are used in ongoing battery storage projects for sale. Inventory is stated at the lower of cost or net realizable value with cost being determined by the specific identification method. Costs include cost of purchase, costs of conversion, and other costs incurred in bringing the inventories to their present location and condition. The Company periodically reviews its inventory for potential obsolescence and write down of its inventory, as appropriate, to net realizable value based on its assessment of usefulness and marketability conditions.</w:t>
      </w:r>
    </w:p>
    <w:p>
      <w:pPr>
        <w:pStyle w:val="TextBody"/>
        <w:bidi w:val="0"/>
        <w:spacing w:lineRule="auto" w:line="288" w:before="160" w:after="283"/>
        <w:jc w:val="both"/>
        <w:rPr/>
      </w:pPr>
      <w:r>
        <w:rPr>
          <w:rFonts w:ascii="Times New Roman;serif" w:hAnsi="Times New Roman;serif"/>
          <w:b/>
          <w:i/>
          <w:color w:val="000000"/>
          <w:sz w:val="20"/>
        </w:rPr>
        <w:t>Software Development Cost</w:t>
      </w:r>
      <w:r>
        <w:rPr>
          <w:rFonts w:ascii="Times New Roman;serif" w:hAnsi="Times New Roman;serif"/>
          <w:b/>
          <w:color w:val="000000"/>
          <w:sz w:val="20"/>
        </w:rPr>
        <w: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software development costs primarily relate to three categories: (i) internal-use software development costs, (ii) hosting arrangements which are service contracts, and (iii) external-use software development costs. We capitalize costs incurred to purchase or develop software for internal use and software to be sold or leased externally.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Internal-use software development costs are capitalized during the application development stage in accordance with ASC 350-40, </w:t>
      </w:r>
      <w:r>
        <w:rPr>
          <w:rFonts w:ascii="Times New Roman;serif" w:hAnsi="Times New Roman;serif"/>
          <w:b w:val="false"/>
          <w:i/>
          <w:color w:val="000000"/>
          <w:sz w:val="20"/>
        </w:rPr>
        <w:t>Internal-Use Software</w:t>
      </w:r>
      <w:r>
        <w:rPr>
          <w:rFonts w:ascii="Times New Roman;serif" w:hAnsi="Times New Roman;serif"/>
          <w:b w:val="false"/>
          <w:color w:val="000000"/>
          <w:sz w:val="20"/>
        </w:rPr>
        <w:t xml:space="preserve">. These capitalized costs are reflected in “Intangible assets, net” on the condensed consolidated balance sheets and are amortized over the estimated useful life of the software. Our internal-use software relates to our (i) SaaS customer offerings and is amortized to “Cost of goods and services” and (ii) internally developed solutions and are amortized to “Depreciation and amortization.” The useful life of our internal-use software development costs is generally 3 to 5 years.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months ended June 30, 2025 and June 30, 2024, the Company capitalized $6.1 million and $7.0 million, respectively, of internal-use software.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Software development costs associated with hosting arrangements are capitalized during the application development stage. These are generally cloud-computing arrangements that are service contracts. The capitalized costs are reflected in “Other non-current assets” on the condensed consolidated balance sheets and are amortized to “General and administrative” once ready for intended use over the estimated useful life of the hosted software. The useful life of our software development costs associated with hosting arrangements is generally the period the Company expects to benefit from its right to access the hosted software plus consideration for any renewal or cancellation periods, which is generally 5 to 7 years.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months ended June 30, 2025 and June 30, 2024, the Company capitalized $12.2 million and $24.6 million, respectively, of software development costs related to hosting arrangements.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External-use software development costs developed to be sold or leased externally are capitalized upon the establishment of technological feasibility for a product in accordance with ASC 985-20, </w:t>
      </w:r>
      <w:r>
        <w:rPr>
          <w:rFonts w:ascii="Times New Roman;serif" w:hAnsi="Times New Roman;serif"/>
          <w:b w:val="false"/>
          <w:i/>
          <w:color w:val="000000"/>
          <w:sz w:val="20"/>
        </w:rPr>
        <w:t>Software to be Sold or Leased Externally</w:t>
      </w:r>
      <w:r>
        <w:rPr>
          <w:rFonts w:ascii="Times New Roman;serif" w:hAnsi="Times New Roman;serif"/>
          <w:b w:val="false"/>
          <w:color w:val="000000"/>
          <w:sz w:val="20"/>
        </w:rPr>
        <w:t>. These software development costs are reflected in “Intangible assets, net” on our condensed consolidated balance sheets and amortized to “Cost of goods and services” on a product basis by the greater of the straight-line method over the estimated economic life of the product or the ratio that current gross revenues for a product bear to the total current and anticipated future gross revenues for that product. The useful life of our external-use software development costs is generally 5 years.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months ended June 30, 2025 and June 30, 2024, the Company capitalized $3.4 million and $1.6 million, respectively, of external-use software to be sold.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Times New Roman;serif" w:hAnsi="Times New Roman;serif"/>
          <w:b w:val="false"/>
          <w:i/>
          <w:color w:val="000000"/>
          <w:sz w:val="20"/>
        </w:rPr>
        <w:t>Fair Value Measurements</w:t>
      </w:r>
      <w:r>
        <w:rPr>
          <w:rFonts w:ascii="Times New Roman;serif" w:hAnsi="Times New Roman;serif"/>
          <w:b w:val="false"/>
          <w:color w:val="000000"/>
          <w:sz w:val="20"/>
        </w:rPr>
        <w:t>, is used to classify assets and liabilities based on the observable inputs and unobservable inputs used to value the assets and liabilities: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significant recurring Level 3 fair value measurements.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cash equivalents include cash on hand and highly liquid investments readily convertible to cash, with an original maturity of 90 days or less when purchased. Fair value of cash equivalents approximates the carrying amount. The carrying amounts of trade receivables, accounts payable, and short-term debt obligations such as current portion of borrowings against note receivable - pledged as collateral, approximate fair values due to their short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foreign currency derivatives is measured on a recurring basis by comparing the contracted forward exchange rate to the current market exchange rate. The foreign currency derivatives are categorized as Level 2 in the fair value hierarchy, as the inputs to the derivative pricing model are generally observable and do not contain a high level of subjectivity. Refer to “Note 18 – Derivatives and Hedging” for details regarding the Company’s derivatives and hedging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estimates the fair value of its 2030 Convertible Senior Notes (defined below) using commonly accepted valuation methodologies and market-based risk measurements that are directly observable, such as unadjusted quoted prices in markets that are not active (Level 2). Refer to “Note 12 – Convertible Senior Notes, Net” for further details.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Derivatives and Hedging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all derivatives at their gross fair values on the condensed consolidated balance sheets. The accounting for the gains or losses resulting from changes in the fair value of derivatives depends on the intended use of the derivatives, whether the Company has elected to designate a derivative in a hedging relationship and apply hedge accounting, and whether the hedging relationship has satisfied the criteria necessary to apply hedge accounting.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Derivatives designated and qualifying as a hedge of the exposure to variability in expected future cash flows or other types of forecasted transactions are considered cash flow hedges. The gains or losses from designated cash flow hedges are deferred in accumulated other comprehensive income and subsequently reclassified into earnings in the period that the hedged forecasted transaction affects earnings. The gains or losses will be presented in the same income statement line item as the earnings effect of the hedged item. The effectiveness of cash flow hedges is assessed at inception and quarterly thereafter. The change in fair value of the components excluded from the assessment of effectiveness are recognized in current period earnings. The changes in fair value of derivatives that are not designated for hedge accounting are recognized in current period earnings.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Convertible Senior Notes,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issued $400.0 million aggregate principal amount of 2.25% convertible senior notes due 2030 (the “2030 Convertible Senior Notes”). The Company accounts for its 2030 Convertible Senior Notes as a liability in their entirety, measured at amortized cost. Debt issuance costs incurred in connection with the issuance of the Company’s 2030 Convertible Senior Notes are reflected in the condensed consolidated balance sheets as a direct deduction from the carrying amount of the outstanding 2030 Convertible Senior Notes. These costs are amortized using the effective interest rate method over the terms of the 2030 Convertible Senior Notes and are included within interest expense on the condensed consolidated statements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2030 Convertible Senior Notes, the Company entered into privately negotiated capped call transactions with certain counterparties. The capped call transactions are generally expected to offset the potential dilution to the Company’s Class A common stock upon any conversion of the 2030 Convertible Senior Notes and/or offset any cash payments the Company is required to make in excess of the principal amount of converted notes, with such reduction and/or offset subject to a cap. Refer to “Note 12 – Convertible Senior Notes, Net”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Recent Accounting Standards Adopted</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accounting standards adopted during the nine months ended June 30, 2025.</w:t>
      </w:r>
    </w:p>
    <w:tbl>
      <w:tblPr>
        <w:tblW w:w="10205" w:type="dxa"/>
        <w:jc w:val="left"/>
        <w:tblInd w:w="0" w:type="dxa"/>
        <w:tblLayout w:type="fixed"/>
        <w:tblCellMar>
          <w:top w:w="28" w:type="dxa"/>
          <w:left w:w="28" w:type="dxa"/>
          <w:bottom w:w="28" w:type="dxa"/>
          <w:right w:w="28" w:type="dxa"/>
        </w:tblCellMar>
      </w:tblPr>
      <w:tblGrid>
        <w:gridCol w:w="951"/>
        <w:gridCol w:w="835"/>
        <w:gridCol w:w="847"/>
        <w:gridCol w:w="852"/>
        <w:gridCol w:w="852"/>
        <w:gridCol w:w="860"/>
        <w:gridCol w:w="505"/>
        <w:gridCol w:w="385"/>
        <w:gridCol w:w="387"/>
        <w:gridCol w:w="1316"/>
        <w:gridCol w:w="996"/>
        <w:gridCol w:w="1419"/>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2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of Adoption</w:t>
            </w:r>
          </w:p>
        </w:tc>
        <w:tc>
          <w:tcPr>
            <w:tcW w:w="3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 and other significant matters</w:t>
            </w:r>
          </w:p>
        </w:tc>
      </w:tr>
      <w:tr>
        <w:trPr/>
        <w:tc>
          <w:tcPr>
            <w:tcW w:w="263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 (“ASU”) No. 2024-04: Debt—Debt with Conversion and Other Options (Subtopic 470-20): Induced Conversions of Convertible Debt Instruments</w:t>
            </w:r>
          </w:p>
        </w:tc>
        <w:tc>
          <w:tcPr>
            <w:tcW w:w="25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ASU 2024-04 clarifies the requirements for determining whether certain settlements of convertible debt instruments should be accounted for as an induced conversion. </w:t>
            </w:r>
          </w:p>
        </w:tc>
        <w:tc>
          <w:tcPr>
            <w:tcW w:w="127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the three months ended December 31, 2024.</w:t>
            </w:r>
          </w:p>
        </w:tc>
        <w:tc>
          <w:tcPr>
            <w:tcW w:w="373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standard was early adopted by the Company and applied for the Company’s 2030 Convertible Senior Notes. Refer to “Note 12 – Convertible Senior Notes, Net” for further details. The new standard did not have an impact on the condensed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 Accounting Standards Not Yet Adopted</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accounting standards not yet adopted:</w:t>
      </w:r>
    </w:p>
    <w:tbl>
      <w:tblPr>
        <w:tblW w:w="10205" w:type="dxa"/>
        <w:jc w:val="left"/>
        <w:tblInd w:w="0" w:type="dxa"/>
        <w:tblLayout w:type="fixed"/>
        <w:tblCellMar>
          <w:top w:w="28" w:type="dxa"/>
          <w:left w:w="28" w:type="dxa"/>
          <w:bottom w:w="28" w:type="dxa"/>
          <w:right w:w="28" w:type="dxa"/>
        </w:tblCellMar>
      </w:tblPr>
      <w:tblGrid>
        <w:gridCol w:w="860"/>
        <w:gridCol w:w="680"/>
        <w:gridCol w:w="690"/>
        <w:gridCol w:w="1489"/>
        <w:gridCol w:w="1460"/>
        <w:gridCol w:w="1473"/>
        <w:gridCol w:w="710"/>
        <w:gridCol w:w="456"/>
        <w:gridCol w:w="458"/>
        <w:gridCol w:w="862"/>
        <w:gridCol w:w="438"/>
        <w:gridCol w:w="629"/>
      </w:tblGrid>
      <w:tr>
        <w:trPr/>
        <w:tc>
          <w:tcPr>
            <w:tcW w:w="8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Standard</w:t>
            </w:r>
          </w:p>
        </w:tc>
        <w:tc>
          <w:tcPr>
            <w:tcW w:w="44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Description</w:t>
            </w:r>
          </w:p>
        </w:tc>
        <w:tc>
          <w:tcPr>
            <w:tcW w:w="16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 xml:space="preserve">Required date of adoption </w:t>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Effect on the financial statements and other significant matters</w:t>
            </w:r>
          </w:p>
        </w:tc>
      </w:tr>
      <w:tr>
        <w:trPr/>
        <w:tc>
          <w:tcPr>
            <w:tcW w:w="2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2023-07: Segment Reporting (Topic 280): Improvements to Reportable Segment Disclosures</w:t>
            </w:r>
          </w:p>
        </w:tc>
        <w:tc>
          <w:tcPr>
            <w:tcW w:w="4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2023-07 requires disclosure of incremental segment information on an annual and interim basis for all public entities to enable investors to develop more decision-useful financial analyses. The update requires other specified segment items and amounts, such as depreciation, amortization, and depletion expense, to be disclosed under certain circumstances. The amendments in this update do not change or remove those disclosure requirements. The amendments in this update also do not change how a public entity identifies its operating segments, aggregates those operating segments, or applies the quantitative thresholds to determine its reportable segments.</w:t>
            </w:r>
          </w:p>
        </w:tc>
        <w:tc>
          <w:tcPr>
            <w:tcW w:w="1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ASU 2023-07 is effective for the Company’s annual report for fiscal year ending September 30, 2025. </w:t>
            </w:r>
          </w:p>
        </w:tc>
        <w:tc>
          <w:tcPr>
            <w:tcW w:w="1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evaluating the impact that this guidance will have on its disclosures. The Company only has one reportable segment. </w:t>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ASU No. 2023-09: Income Taxes (Topic 740): Improvements to Income Tax Disclosures </w:t>
            </w:r>
          </w:p>
        </w:tc>
        <w:tc>
          <w:tcPr>
            <w:tcW w:w="4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2023-09 adopts certain amendments to improve the effectiveness of income tax disclosures, including jurisdictional information, by requiring (1) consistent categories and greater disaggregation of information in the rate reconciliation, and (2) income taxes paid, disaggregated by jurisdiction.</w:t>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2023-09 is effective for the Company’s annual report for fiscal year ending September 30, 2026.</w:t>
            </w:r>
          </w:p>
        </w:tc>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income tax disclosures.</w:t>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Final Rule Release Nos. 33-11275; 34-99678: The Enhancement and Standardization of Climate-Related Disclosures for Investors</w:t>
            </w:r>
          </w:p>
        </w:tc>
        <w:tc>
          <w:tcPr>
            <w:tcW w:w="4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Final Rule Release Nos. 33-11275; 34-99678 requires registrants to provide certain climate-related information in their registration statements and annual reports, including climate-related risks that have materially impacted, or are reasonably likely to have a material impact on, its business strategy, results of operations, or financial condition. In addition, certain disclosures related to severe weather events and other natural conditions will be required in registrants’ annual reports.</w:t>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 Final Rule Release Nos. 33-11275; 34-99678 is effective for the Company’s annual report for fiscal year ending September 30, 2026.</w:t>
            </w:r>
          </w:p>
        </w:tc>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climate-related disclosures.</w:t>
            </w:r>
          </w:p>
        </w:tc>
      </w:tr>
      <w:tr>
        <w:trPr/>
        <w:tc>
          <w:tcPr>
            <w:tcW w:w="22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2024-03: Income Statement—Reporting Comprehensive Income—Expense Disaggregation Disclosures (Subtopic 220-40): Disaggregation of Income Statement Expenses</w:t>
            </w:r>
          </w:p>
        </w:tc>
        <w:tc>
          <w:tcPr>
            <w:tcW w:w="442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2024-03 requires disclosure of qualitative and quantitative information about certain costs and expenses in the notes to the financial statements on an interim and annual basis. ASU No. 2025-01: Income Statement—Reporting Comprehensive Income—Expense Disaggregation Disclosures (Subtopic 220-40): Clarifying the Effective Date, was subsequently issued and clarified the effective date of ASU 2024-03.</w:t>
            </w:r>
          </w:p>
        </w:tc>
        <w:tc>
          <w:tcPr>
            <w:tcW w:w="16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2024-03 is effective for the Company’s annual report for fiscal year ending September 30, 2028.</w:t>
            </w:r>
          </w:p>
        </w:tc>
        <w:tc>
          <w:tcPr>
            <w:tcW w:w="19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is evaluating the impact this guidance will have on its disclosures.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3.    Income (loss) per Share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the Company has two classes of common stock outstanding, Class A and Class B-1. Income (loss) per share is calculated and reported under the “two-class” method. The “two-class” method is an earnings allocation method under which income (loss) per share is calculated for each class of common stock considering both distributions declared or accumulated and participation rights in undistributed earnings as if all such loss had been distributed during the period.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income (loss) per share of Class A common stock is computed by dividing net loss attributable to Class A common stockholders by the weighted average number of shares of Class A common stock outstanding during the period. Diluted income (loss) per share of Class A common stock is computed by adjusting the net income (loss) available to Class A common stockholders and the weighted average shares of Class A common stock outstanding to give effect to potentially dilutive securities. Shares of our Class B-1 common stock are not entitled to receive any distributions or dividends. When an LLC Interest of Fluence Energy, LLC is redeemed for cash or Class A common stock by a Founder who holds shares of our Class B-1 common stock, such Founder will be required to surrender a share of Class B-1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common stock in the computation of basic loss per share.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periods in which we have a loss, diluted loss per share is equal to basic loss per share because the effect of potentially dilutive securities would be antidilutive.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potentially dilutive securities that were excluded from the computation of diluted income (loss) per share:</w:t>
      </w:r>
    </w:p>
    <w:tbl>
      <w:tblPr>
        <w:tblW w:w="10205" w:type="dxa"/>
        <w:jc w:val="left"/>
        <w:tblInd w:w="0" w:type="dxa"/>
        <w:tblLayout w:type="fixed"/>
        <w:tblCellMar>
          <w:top w:w="28" w:type="dxa"/>
          <w:left w:w="28" w:type="dxa"/>
          <w:bottom w:w="28" w:type="dxa"/>
          <w:right w:w="28" w:type="dxa"/>
        </w:tblCellMar>
      </w:tblPr>
      <w:tblGrid>
        <w:gridCol w:w="1473"/>
        <w:gridCol w:w="1105"/>
        <w:gridCol w:w="1110"/>
        <w:gridCol w:w="754"/>
        <w:gridCol w:w="327"/>
        <w:gridCol w:w="194"/>
        <w:gridCol w:w="194"/>
        <w:gridCol w:w="194"/>
        <w:gridCol w:w="194"/>
        <w:gridCol w:w="680"/>
        <w:gridCol w:w="296"/>
        <w:gridCol w:w="194"/>
        <w:gridCol w:w="109"/>
        <w:gridCol w:w="109"/>
        <w:gridCol w:w="109"/>
        <w:gridCol w:w="702"/>
        <w:gridCol w:w="379"/>
        <w:gridCol w:w="184"/>
        <w:gridCol w:w="184"/>
        <w:gridCol w:w="184"/>
        <w:gridCol w:w="184"/>
        <w:gridCol w:w="702"/>
        <w:gridCol w:w="379"/>
        <w:gridCol w:w="265"/>
      </w:tblGrid>
      <w:tr>
        <w:trPr/>
        <w:tc>
          <w:tcPr>
            <w:tcW w:w="147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3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B-1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51,499,195 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51,499,195 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the conversion option in the 2030 Convertible Senior Notes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18,738,880 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18,738,880 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pre-IPO options issued pursuant to the 2020 Unit Option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1,222,197 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445,959 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2,376,486 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3,492,867 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phantom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restricted stock units (“RSUs”)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2,431,460 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1,076,589 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2,595,352 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1,887,787 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performance share units (“PSUs”)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986,767 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356,973 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386,373 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non-qualified stock options (“NQSOs”)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472,381 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165,521 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472,381 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165,521 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restricted stock (“Nispera equity”)</w:t>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37,221 </w:t>
            </w:r>
          </w:p>
        </w:tc>
        <w:tc>
          <w:tcPr>
            <w:tcW w:w="19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177,067 </w:t>
            </w:r>
          </w:p>
        </w:tc>
        <w:tc>
          <w:tcPr>
            <w:tcW w:w="2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and diluted income (loss) per share of Class A common stock for the three and nine months ended June 30, 2025 and 2024, respectively, have been computed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01"/>
        <w:gridCol w:w="669"/>
        <w:gridCol w:w="674"/>
        <w:gridCol w:w="211"/>
        <w:gridCol w:w="616"/>
        <w:gridCol w:w="109"/>
        <w:gridCol w:w="109"/>
        <w:gridCol w:w="109"/>
        <w:gridCol w:w="109"/>
        <w:gridCol w:w="593"/>
        <w:gridCol w:w="593"/>
        <w:gridCol w:w="226"/>
        <w:gridCol w:w="109"/>
        <w:gridCol w:w="109"/>
        <w:gridCol w:w="109"/>
        <w:gridCol w:w="232"/>
        <w:gridCol w:w="563"/>
        <w:gridCol w:w="120"/>
        <w:gridCol w:w="109"/>
        <w:gridCol w:w="109"/>
        <w:gridCol w:w="109"/>
        <w:gridCol w:w="211"/>
        <w:gridCol w:w="466"/>
        <w:gridCol w:w="109"/>
        <w:gridCol w:w="109"/>
        <w:gridCol w:w="109"/>
        <w:gridCol w:w="109"/>
        <w:gridCol w:w="593"/>
        <w:gridCol w:w="593"/>
        <w:gridCol w:w="226"/>
        <w:gridCol w:w="109"/>
        <w:gridCol w:w="109"/>
        <w:gridCol w:w="109"/>
        <w:gridCol w:w="231"/>
        <w:gridCol w:w="561"/>
        <w:gridCol w:w="173"/>
      </w:tblGrid>
      <w:tr>
        <w:trPr/>
        <w:tc>
          <w:tcPr>
            <w:tcW w:w="80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per Share</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Fluence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130,723,258 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127,910,081 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B-1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51,499,195 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51,499,195 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Pre-IPO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1,197,408 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3,694,977 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Phantom units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Nispera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Fluence Energy, Inc</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183,645,493 </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184,219,065 </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5"/>
        <w:gridCol w:w="541"/>
        <w:gridCol w:w="545"/>
        <w:gridCol w:w="211"/>
        <w:gridCol w:w="749"/>
        <w:gridCol w:w="109"/>
        <w:gridCol w:w="109"/>
        <w:gridCol w:w="109"/>
        <w:gridCol w:w="109"/>
        <w:gridCol w:w="593"/>
        <w:gridCol w:w="593"/>
        <w:gridCol w:w="226"/>
        <w:gridCol w:w="109"/>
        <w:gridCol w:w="109"/>
        <w:gridCol w:w="109"/>
        <w:gridCol w:w="220"/>
        <w:gridCol w:w="565"/>
        <w:gridCol w:w="113"/>
        <w:gridCol w:w="109"/>
        <w:gridCol w:w="109"/>
        <w:gridCol w:w="109"/>
        <w:gridCol w:w="211"/>
        <w:gridCol w:w="749"/>
        <w:gridCol w:w="109"/>
        <w:gridCol w:w="109"/>
        <w:gridCol w:w="109"/>
        <w:gridCol w:w="109"/>
        <w:gridCol w:w="593"/>
        <w:gridCol w:w="593"/>
        <w:gridCol w:w="226"/>
        <w:gridCol w:w="109"/>
        <w:gridCol w:w="109"/>
        <w:gridCol w:w="109"/>
        <w:gridCol w:w="219"/>
        <w:gridCol w:w="564"/>
        <w:gridCol w:w="166"/>
      </w:tblGrid>
      <w:tr>
        <w:trPr/>
        <w:tc>
          <w:tcPr>
            <w:tcW w:w="67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per Share</w:t>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Loss per Share</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Fluence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130,062,109 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125,273,648 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Fluence Energy, Inc.</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(66,260)</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130,062,109 </w:t>
            </w:r>
          </w:p>
        </w:tc>
        <w:tc>
          <w:tcPr>
            <w:tcW w:w="2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(25,127)</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125,273,648 </w:t>
            </w:r>
          </w:p>
        </w:tc>
        <w:tc>
          <w:tcPr>
            <w:tcW w:w="2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4.    Revenue from Contracts with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is primarily derived from sales of our energy storage products and solutions. The following table presents the Company’s revenue disaggregated by product or service type:</w:t>
      </w:r>
    </w:p>
    <w:tbl>
      <w:tblPr>
        <w:tblW w:w="10205" w:type="dxa"/>
        <w:jc w:val="left"/>
        <w:tblInd w:w="0" w:type="dxa"/>
        <w:tblLayout w:type="fixed"/>
        <w:tblCellMar>
          <w:top w:w="28" w:type="dxa"/>
          <w:left w:w="28" w:type="dxa"/>
          <w:bottom w:w="28" w:type="dxa"/>
          <w:right w:w="28" w:type="dxa"/>
        </w:tblCellMar>
      </w:tblPr>
      <w:tblGrid>
        <w:gridCol w:w="1450"/>
        <w:gridCol w:w="1253"/>
        <w:gridCol w:w="1260"/>
        <w:gridCol w:w="109"/>
        <w:gridCol w:w="109"/>
        <w:gridCol w:w="109"/>
        <w:gridCol w:w="211"/>
        <w:gridCol w:w="827"/>
        <w:gridCol w:w="109"/>
        <w:gridCol w:w="109"/>
        <w:gridCol w:w="109"/>
        <w:gridCol w:w="109"/>
        <w:gridCol w:w="211"/>
        <w:gridCol w:w="827"/>
        <w:gridCol w:w="109"/>
        <w:gridCol w:w="109"/>
        <w:gridCol w:w="109"/>
        <w:gridCol w:w="109"/>
        <w:gridCol w:w="211"/>
        <w:gridCol w:w="976"/>
        <w:gridCol w:w="109"/>
        <w:gridCol w:w="109"/>
        <w:gridCol w:w="109"/>
        <w:gridCol w:w="109"/>
        <w:gridCol w:w="211"/>
        <w:gridCol w:w="976"/>
        <w:gridCol w:w="157"/>
      </w:tblGrid>
      <w:tr>
        <w:trPr/>
        <w:tc>
          <w:tcPr>
            <w:tcW w:w="145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39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1,443,786 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digital applications and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483,317 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1,470,414 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disaggregated by geographical region. Revenues are attributed to regions based on location of customers:</w:t>
      </w:r>
    </w:p>
    <w:tbl>
      <w:tblPr>
        <w:tblW w:w="10066" w:type="dxa"/>
        <w:jc w:val="left"/>
        <w:tblInd w:w="0" w:type="dxa"/>
        <w:tblLayout w:type="fixed"/>
        <w:tblCellMar>
          <w:top w:w="28" w:type="dxa"/>
          <w:left w:w="28" w:type="dxa"/>
          <w:bottom w:w="28" w:type="dxa"/>
          <w:right w:w="28" w:type="dxa"/>
        </w:tblCellMar>
      </w:tblPr>
      <w:tblGrid>
        <w:gridCol w:w="1386"/>
        <w:gridCol w:w="1216"/>
        <w:gridCol w:w="1223"/>
        <w:gridCol w:w="109"/>
        <w:gridCol w:w="109"/>
        <w:gridCol w:w="109"/>
        <w:gridCol w:w="211"/>
        <w:gridCol w:w="828"/>
        <w:gridCol w:w="109"/>
        <w:gridCol w:w="109"/>
        <w:gridCol w:w="109"/>
        <w:gridCol w:w="109"/>
        <w:gridCol w:w="211"/>
        <w:gridCol w:w="828"/>
        <w:gridCol w:w="109"/>
        <w:gridCol w:w="109"/>
        <w:gridCol w:w="109"/>
        <w:gridCol w:w="109"/>
        <w:gridCol w:w="211"/>
        <w:gridCol w:w="976"/>
        <w:gridCol w:w="109"/>
        <w:gridCol w:w="109"/>
        <w:gridCol w:w="109"/>
        <w:gridCol w:w="109"/>
        <w:gridCol w:w="211"/>
        <w:gridCol w:w="97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38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Americas (North, Central, and South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995,963 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 (Asia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 (Europe, Middle-East, and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Customer Concentration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June 30, 2025 and 2024, the Company’s top two customers, in the aggregate, accounted for approximately 40% and 59% of total revenue, respectively.</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 from related parties is included in the Company’s condensed consolidated balance sheets. The following table provides information about deferred revenue from contracts with customers:</w:t>
      </w:r>
    </w:p>
    <w:tbl>
      <w:tblPr>
        <w:tblW w:w="10205" w:type="dxa"/>
        <w:jc w:val="left"/>
        <w:tblInd w:w="0" w:type="dxa"/>
        <w:tblLayout w:type="fixed"/>
        <w:tblCellMar>
          <w:top w:w="28" w:type="dxa"/>
          <w:left w:w="28" w:type="dxa"/>
          <w:bottom w:w="28" w:type="dxa"/>
          <w:right w:w="28" w:type="dxa"/>
        </w:tblCellMar>
      </w:tblPr>
      <w:tblGrid>
        <w:gridCol w:w="1567"/>
        <w:gridCol w:w="1345"/>
        <w:gridCol w:w="135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7"/>
      </w:tblGrid>
      <w:tr>
        <w:trPr/>
        <w:tc>
          <w:tcPr>
            <w:tcW w:w="156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42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beginning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648,090 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398,639 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274,499 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273,164 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236,057 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192,851 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487,626 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335,808 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related to amounts that were included in beginning balance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(338,925)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(181,878)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(216,903)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(199,360)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end of period</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545,222 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409,612 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545,222 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409,612 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44"/>
        <w:gridCol w:w="1415"/>
        <w:gridCol w:w="1422"/>
        <w:gridCol w:w="109"/>
        <w:gridCol w:w="109"/>
        <w:gridCol w:w="109"/>
        <w:gridCol w:w="220"/>
        <w:gridCol w:w="751"/>
        <w:gridCol w:w="113"/>
        <w:gridCol w:w="113"/>
        <w:gridCol w:w="113"/>
        <w:gridCol w:w="113"/>
        <w:gridCol w:w="220"/>
        <w:gridCol w:w="751"/>
        <w:gridCol w:w="113"/>
        <w:gridCol w:w="109"/>
        <w:gridCol w:w="109"/>
        <w:gridCol w:w="109"/>
        <w:gridCol w:w="211"/>
        <w:gridCol w:w="721"/>
        <w:gridCol w:w="109"/>
        <w:gridCol w:w="109"/>
        <w:gridCol w:w="109"/>
        <w:gridCol w:w="109"/>
        <w:gridCol w:w="211"/>
        <w:gridCol w:w="826"/>
        <w:gridCol w:w="158"/>
      </w:tblGrid>
      <w:tr>
        <w:trPr/>
        <w:tc>
          <w:tcPr>
            <w:tcW w:w="164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44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from related parties, beginning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34,774 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46,694 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38,162 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110,274 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17,839 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19,052 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37,899 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35,980 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related to amounts that were included in beginning balance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(4,823)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(29,004)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(28,271)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1" w:before="0" w:after="283"/>
              <w:jc w:val="right"/>
              <w:rPr>
                <w:rFonts w:ascii="Times New Roman;serif" w:hAnsi="Times New Roman;serif"/>
                <w:b w:val="false"/>
                <w:color w:val="000000"/>
                <w:sz w:val="20"/>
              </w:rPr>
            </w:pPr>
            <w:r>
              <w:rPr>
                <w:rFonts w:ascii="Times New Roman;serif" w:hAnsi="Times New Roman;serif"/>
                <w:b w:val="false"/>
                <w:color w:val="000000"/>
                <w:sz w:val="20"/>
              </w:rPr>
              <w:t>(109,512)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from related parties, end of period</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47,790 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36,742 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36,742 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remaining performance obligations (“backlog”) represent the unrecognized revenue value of its contractual commitments, which include deferred revenue and amounts that will be billed and recognized as revenue in future periods. The Company’s backlog may vary significantly each reporting period based on the timing of major new contractual commitments and the backlog may fluctuate with currency movements. In addition, under certain circumstances, the Company’s customers have the right to terminate contracts or defer the timing of its services and their payments to the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$4.9 billion of remaining performance obligations related to contractual commitments, of which we expect to recognize in revenue approximately 49% in the next 12 months, with the remainder recognized in revenue in periods thereafter.</w:t>
      </w:r>
    </w:p>
    <w:p>
      <w:pPr>
        <w:pStyle w:val="TextBody"/>
        <w:bidi w:val="0"/>
        <w:spacing w:before="240" w:after="283"/>
        <w:jc w:val="both"/>
        <w:rPr/>
      </w:pPr>
      <w:r>
        <w:rPr/>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5.    Inventory, Net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w:t>
      </w:r>
    </w:p>
    <w:tbl>
      <w:tblPr>
        <w:tblW w:w="10205" w:type="dxa"/>
        <w:jc w:val="left"/>
        <w:tblInd w:w="0" w:type="dxa"/>
        <w:tblLayout w:type="fixed"/>
        <w:tblCellMar>
          <w:top w:w="28" w:type="dxa"/>
          <w:left w:w="28" w:type="dxa"/>
          <w:bottom w:w="28" w:type="dxa"/>
          <w:right w:w="28" w:type="dxa"/>
        </w:tblCellMar>
      </w:tblPr>
      <w:tblGrid>
        <w:gridCol w:w="659"/>
        <w:gridCol w:w="561"/>
        <w:gridCol w:w="564"/>
        <w:gridCol w:w="211"/>
        <w:gridCol w:w="826"/>
        <w:gridCol w:w="109"/>
        <w:gridCol w:w="109"/>
        <w:gridCol w:w="109"/>
        <w:gridCol w:w="109"/>
        <w:gridCol w:w="211"/>
        <w:gridCol w:w="757"/>
        <w:gridCol w:w="109"/>
        <w:gridCol w:w="109"/>
        <w:gridCol w:w="109"/>
        <w:gridCol w:w="109"/>
        <w:gridCol w:w="211"/>
        <w:gridCol w:w="826"/>
        <w:gridCol w:w="109"/>
        <w:gridCol w:w="109"/>
        <w:gridCol w:w="109"/>
        <w:gridCol w:w="109"/>
        <w:gridCol w:w="211"/>
        <w:gridCol w:w="826"/>
        <w:gridCol w:w="109"/>
        <w:gridCol w:w="109"/>
        <w:gridCol w:w="109"/>
        <w:gridCol w:w="109"/>
        <w:gridCol w:w="211"/>
        <w:gridCol w:w="757"/>
        <w:gridCol w:w="109"/>
        <w:gridCol w:w="109"/>
        <w:gridCol w:w="109"/>
        <w:gridCol w:w="109"/>
        <w:gridCol w:w="211"/>
        <w:gridCol w:w="826"/>
        <w:gridCol w:w="157"/>
      </w:tblGrid>
      <w:tr>
        <w:trPr/>
        <w:tc>
          <w:tcPr>
            <w:tcW w:w="6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8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0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17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Cubes, batteries, and other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642,480 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175,159 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Spare parts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7,442 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677,398 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(23,097)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654,301 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207,743 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(25,142)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182,601 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 xml:space="preserve">6.    Other Current Assets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current assets consisted of the following amounts:</w:t>
      </w:r>
    </w:p>
    <w:tbl>
      <w:tblPr>
        <w:tblW w:w="8722" w:type="dxa"/>
        <w:jc w:val="left"/>
        <w:tblInd w:w="0" w:type="dxa"/>
        <w:tblLayout w:type="fixed"/>
        <w:tblCellMar>
          <w:top w:w="28" w:type="dxa"/>
          <w:left w:w="28" w:type="dxa"/>
          <w:bottom w:w="28" w:type="dxa"/>
          <w:right w:w="28" w:type="dxa"/>
        </w:tblCellMar>
      </w:tblPr>
      <w:tblGrid>
        <w:gridCol w:w="1805"/>
        <w:gridCol w:w="1583"/>
        <w:gridCol w:w="1592"/>
        <w:gridCol w:w="109"/>
        <w:gridCol w:w="109"/>
        <w:gridCol w:w="109"/>
        <w:gridCol w:w="258"/>
        <w:gridCol w:w="883"/>
        <w:gridCol w:w="133"/>
        <w:gridCol w:w="109"/>
        <w:gridCol w:w="109"/>
        <w:gridCol w:w="109"/>
        <w:gridCol w:w="352"/>
        <w:gridCol w:w="1205"/>
        <w:gridCol w:w="257"/>
      </w:tblGrid>
      <w:tr>
        <w:trPr/>
        <w:tc>
          <w:tcPr>
            <w:tcW w:w="180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20,638 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24,006 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recoverable warranty costs from suppliers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5,691 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59,158 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46,519 </w:t>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7.    Intangible Assets, Net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are stated at amortized cost and consisted of the following:</w:t>
      </w:r>
    </w:p>
    <w:tbl>
      <w:tblPr>
        <w:tblW w:w="10205" w:type="dxa"/>
        <w:jc w:val="left"/>
        <w:tblInd w:w="0" w:type="dxa"/>
        <w:tblLayout w:type="fixed"/>
        <w:tblCellMar>
          <w:top w:w="28" w:type="dxa"/>
          <w:left w:w="28" w:type="dxa"/>
          <w:bottom w:w="28" w:type="dxa"/>
          <w:right w:w="28" w:type="dxa"/>
        </w:tblCellMar>
      </w:tblPr>
      <w:tblGrid>
        <w:gridCol w:w="528"/>
        <w:gridCol w:w="355"/>
        <w:gridCol w:w="356"/>
        <w:gridCol w:w="109"/>
        <w:gridCol w:w="109"/>
        <w:gridCol w:w="109"/>
        <w:gridCol w:w="211"/>
        <w:gridCol w:w="826"/>
        <w:gridCol w:w="109"/>
        <w:gridCol w:w="109"/>
        <w:gridCol w:w="109"/>
        <w:gridCol w:w="109"/>
        <w:gridCol w:w="267"/>
        <w:gridCol w:w="936"/>
        <w:gridCol w:w="140"/>
        <w:gridCol w:w="109"/>
        <w:gridCol w:w="109"/>
        <w:gridCol w:w="109"/>
        <w:gridCol w:w="211"/>
        <w:gridCol w:w="721"/>
        <w:gridCol w:w="109"/>
        <w:gridCol w:w="109"/>
        <w:gridCol w:w="109"/>
        <w:gridCol w:w="109"/>
        <w:gridCol w:w="211"/>
        <w:gridCol w:w="721"/>
        <w:gridCol w:w="109"/>
        <w:gridCol w:w="109"/>
        <w:gridCol w:w="109"/>
        <w:gridCol w:w="109"/>
        <w:gridCol w:w="267"/>
        <w:gridCol w:w="936"/>
        <w:gridCol w:w="140"/>
        <w:gridCol w:w="109"/>
        <w:gridCol w:w="109"/>
        <w:gridCol w:w="109"/>
        <w:gridCol w:w="211"/>
        <w:gridCol w:w="721"/>
        <w:gridCol w:w="158"/>
      </w:tblGrid>
      <w:tr>
        <w:trPr/>
        <w:tc>
          <w:tcPr>
            <w:tcW w:w="52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12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licenses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Trade names/Trademarks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to be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(39,702)</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(30,704)</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are amortized over their estimated useful lives on a straight-line basis. Total amortization expense for the three months ended June 30, 2025 and 2024 was $3.8 million and $2.2 million, respectively. The amortization expense for the three months ended June 30, 2025 and 2024 included $1.5 million and $0.8 million for capitalized software, respectively. The amortization expense for the nine months ended June 30, 2025 and 2024 was $9.0 million and $6.2 million, respectively. The amortization expense for the nine months ended June 30, 2025 and 2024 included $4.0 million and $1.8 million for capitalized software,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8.    Goodwill</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impairment was recognized for the nine months ended June 30, 2025 or 2024. The following table presents the goodwill activity for the nine months ended June 30, 2025 and 2024:</w:t>
      </w:r>
    </w:p>
    <w:tbl>
      <w:tblPr>
        <w:tblW w:w="5706" w:type="dxa"/>
        <w:jc w:val="left"/>
        <w:tblInd w:w="0" w:type="dxa"/>
        <w:tblLayout w:type="fixed"/>
        <w:tblCellMar>
          <w:top w:w="28" w:type="dxa"/>
          <w:left w:w="28" w:type="dxa"/>
          <w:bottom w:w="28" w:type="dxa"/>
          <w:right w:w="28" w:type="dxa"/>
        </w:tblCellMar>
      </w:tblPr>
      <w:tblGrid>
        <w:gridCol w:w="1060"/>
        <w:gridCol w:w="930"/>
        <w:gridCol w:w="935"/>
        <w:gridCol w:w="109"/>
        <w:gridCol w:w="109"/>
        <w:gridCol w:w="109"/>
        <w:gridCol w:w="211"/>
        <w:gridCol w:w="721"/>
        <w:gridCol w:w="109"/>
        <w:gridCol w:w="109"/>
        <w:gridCol w:w="109"/>
        <w:gridCol w:w="109"/>
        <w:gridCol w:w="211"/>
        <w:gridCol w:w="721"/>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196"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9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Beginning of the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End of the period</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right-of-use assets and lease liabilities primarily relate to offices, warehouses, and production lines. The Company’s leases generally have remaining lease terms of one year to ten years. Certain of the Company’s leases contain renewal, extension, or termination options. The Company assesses each option on an individual basis and will only include options reasonably certain of exercise in the lease term. The Company generally considers the base term to be the term provided in the contract. None of the Company’s operating lease agreements contain material options to purchase the leased property, material residual value guarantees, or material restrictions or covenants.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31, 2025, the Company entered into a finance lease agreement for the U.S. battery module production line in Utah. The production line has a useful life of three years. The lease is classified as a finance lease under ASC 842.</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of assets and liabilities and other information for the Company’s operating and finance leases are as follows:</w:t>
      </w:r>
    </w:p>
    <w:tbl>
      <w:tblPr>
        <w:tblW w:w="8524" w:type="dxa"/>
        <w:jc w:val="left"/>
        <w:tblInd w:w="0" w:type="dxa"/>
        <w:tblLayout w:type="fixed"/>
        <w:tblCellMar>
          <w:top w:w="28" w:type="dxa"/>
          <w:left w:w="28" w:type="dxa"/>
          <w:bottom w:w="28" w:type="dxa"/>
          <w:right w:w="28" w:type="dxa"/>
        </w:tblCellMar>
      </w:tblPr>
      <w:tblGrid>
        <w:gridCol w:w="745"/>
        <w:gridCol w:w="653"/>
        <w:gridCol w:w="657"/>
        <w:gridCol w:w="109"/>
        <w:gridCol w:w="109"/>
        <w:gridCol w:w="109"/>
        <w:gridCol w:w="799"/>
        <w:gridCol w:w="799"/>
        <w:gridCol w:w="802"/>
        <w:gridCol w:w="109"/>
        <w:gridCol w:w="109"/>
        <w:gridCol w:w="109"/>
        <w:gridCol w:w="258"/>
        <w:gridCol w:w="883"/>
        <w:gridCol w:w="133"/>
        <w:gridCol w:w="109"/>
        <w:gridCol w:w="109"/>
        <w:gridCol w:w="109"/>
        <w:gridCol w:w="390"/>
        <w:gridCol w:w="1138"/>
        <w:gridCol w:w="286"/>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Sheet Caption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8,556 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10.    Accruals and Provisions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Accruals mainly represent milestones not yet invoiced for inventory such as, but not limited to, batteries, cubes, and inverters. Generally, according to master supply agreements between the Company and suppliers of our inventory, vendor invoices are issued according to contracted billing schedules with certain milestones invoiced after delivery, upon full installation and commissioning of the equipment at substantial completion, and final completion project stages. Accruals and provisions consisted of the following:</w:t>
      </w:r>
    </w:p>
    <w:tbl>
      <w:tblPr>
        <w:tblW w:w="7117" w:type="dxa"/>
        <w:jc w:val="left"/>
        <w:tblInd w:w="0" w:type="dxa"/>
        <w:tblLayout w:type="fixed"/>
        <w:tblCellMar>
          <w:top w:w="28" w:type="dxa"/>
          <w:left w:w="28" w:type="dxa"/>
          <w:bottom w:w="28" w:type="dxa"/>
          <w:right w:w="28" w:type="dxa"/>
        </w:tblCellMar>
      </w:tblPr>
      <w:tblGrid>
        <w:gridCol w:w="1223"/>
        <w:gridCol w:w="1073"/>
        <w:gridCol w:w="1079"/>
        <w:gridCol w:w="109"/>
        <w:gridCol w:w="109"/>
        <w:gridCol w:w="109"/>
        <w:gridCol w:w="234"/>
        <w:gridCol w:w="919"/>
        <w:gridCol w:w="121"/>
        <w:gridCol w:w="109"/>
        <w:gridCol w:w="109"/>
        <w:gridCol w:w="109"/>
        <w:gridCol w:w="321"/>
        <w:gridCol w:w="1259"/>
        <w:gridCol w:w="23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287,566 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with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18" w:before="0" w:after="0"/>
              <w:jc w:val="left"/>
              <w:rPr>
                <w:rFonts w:ascii="Times New Roman;serif" w:hAnsi="Times New Roman;serif"/>
                <w:b w:val="false"/>
                <w:color w:val="000000"/>
                <w:sz w:val="20"/>
              </w:rPr>
            </w:pPr>
            <w:r>
              <w:rPr>
                <w:rFonts w:ascii="Times New Roman;serif" w:hAnsi="Times New Roman;serif"/>
                <w:b w:val="false"/>
                <w:color w:val="000000"/>
                <w:sz w:val="20"/>
              </w:rPr>
              <w:t>Accruals for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Provisions for expected project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warranty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19,091 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221,508 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338,311 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11.    Debt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 2021, the Company entered into a credit agreement for a revolving credit facility (the “Revolver”), by and among Fluence Energy, LLC, as borrower, Fluence Energy, Inc., as parent guarantor, the subsidiary guarantors party thereto, the lenders party thereto, and JP Morgan Chase Bank, N.A., as administrative agent and collateral agent (as amended, the “Revolving Credit Agreement”). The Revolver was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aggregate amount of commitments was $200.0 million. The Revolver was originally scheduled to mature on November 1, 2025. The Revolving Credit Agreement was terminated effective November 22, 2023, in conjunction with the entry into the ABL Credit Agreement (as further described below).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Revolving Credit Agreement provided that borrowings under the Revolver bore interest at (i) with respect to loans comprising a Term Benchmark Borrowing, the Adjusted Term SOFR Rate, the Adjusted EURIBOR Rate, or the AUD Rate, as applicable, plus 3.0%, (ii) with respect to loans comprising an ABR Borrowing, the Alternate Base Rate plus 2.0%, or (iii) with respect to each RFR Loan, the applicable Daily Simple RFR plus 3.1193%, in each instance subject to customary benchmark replacement provisions. Fluence Energy, LLC was required to pay to the lenders a commitment fee of 0.55% per annum on the average daily unused portion of the revolving commitments through maturity. The Revolver also provided for up to $200.0 million in letter of credit issuances, which required customary issuance and administration fees, as well as a fronting fee payable to each issuer thereof and a letter of credit participation fee of 2.75% per annum payable to the lenders. Capitalized terms used in this paragraph that are not otherwise defined were defined in the Revolving Credit Agreement.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Asset-Based Lending Facility</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On November 22, 2023, the Company entered into an asset-based syndicated credit agreement (the “ABL Credit Agreement”) by and among Fluence Energy, LLC, as parent borrower, Fluence Energy, Inc., as parent, the other borrowers party thereto, the other guarantors party thereto, the lenders party thereto (the “ABL Lenders”), and Barclays Bank PLC, as administrative agent, which was amended by the Master Assignment and Assumption and Issuing Bank Joinder, effective December 15, 2023, Amendment No. 1, dated April 8, 2024, and Amendment No. 2, dated May 8, 2024 (“Amendment No. 2”), which provided for revolving commitments in an aggregate principal amount of $400.0 million (the "ABL Facility"). The ABL Facility was secured by (i) a first priority pledge of Fluence Energy, Inc.’s equity interests in Fluence Energy, LLC and (ii) first 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 Borrowings under the ABL Facility were scheduled to mature, and lending commitments thereunder would terminate, on November 22,</w:t>
      </w:r>
      <w:r>
        <w:rPr>
          <w:color w:val="000000"/>
        </w:rPr>
        <w:t xml:space="preserve"> </w:t>
      </w:r>
      <w:r>
        <w:rPr>
          <w:rFonts w:ascii="Times New Roman;serif" w:hAnsi="Times New Roman;serif"/>
          <w:b w:val="false"/>
          <w:color w:val="000000"/>
          <w:sz w:val="20"/>
        </w:rPr>
        <w:t xml:space="preserve">2027.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Borrowing availability under the ABL Facility was determined by a borrowing base calculation based on specified percentages of U.S. eligible inventory, net orderly liquidation value of most recent inventory appraisal, and U.S. eligible in-transit inventory, as well as potential borrowing base qualified cash, less the aggregate amount of any reserves. </w:t>
      </w:r>
    </w:p>
    <w:p>
      <w:pPr>
        <w:pStyle w:val="TextBody"/>
        <w:bidi w:val="0"/>
        <w:spacing w:lineRule="auto" w:line="288" w:before="200" w:after="283"/>
        <w:ind w:left="0" w:right="0" w:firstLine="360"/>
        <w:jc w:val="both"/>
        <w:rPr/>
      </w:pPr>
      <w:r>
        <w:rPr>
          <w:rFonts w:ascii="Times New Roman;serif" w:hAnsi="Times New Roman;serif"/>
          <w:b w:val="false"/>
          <w:color w:val="000000"/>
          <w:sz w:val="20"/>
        </w:rPr>
        <w:t>The ABL Credit Agreement set forth that (i) loans comprising each ABR Borrowing bore interest at the Alternate Base Rate plus an additional margin ranging from 1.00% to 1.50%, (ii) loans comprising each Canadian Prime Loan Borrowing bore interest at the Canadian Prime Rate plus an additional margin ranging from 1.00% to 1.50%, and (iii) the loans comprising each Term Benchmark Borrowing bore interest at the Adjusted Term SOFR Rate, the Adjusted EURIBOR Rate or Adjusted Term CORRA, as applicable, plus an additional margin ranging from 2.00% to 2.50%, in each instance subject to customary benchmark replacement provisions. Fluence Energy, LLC was required to pay to the ABL Lenders a commitment fee on the average daily unused portion of the commitments through maturity, which accrued at the rate of (a) until the last day of the first full calendar quarter following the closing of the ABL Facility, 0.450% per annum, and (b) thereafter, 0.450% per annum if average revolving loan utilization was less than or equal to 50% and 0.375% per annum if average revolving loan utilization was greater than 50%. The ABL Facility also provided for a letter of credit sublimit in the amount of $200.0 million, if certain conditions were met. Each letter of credit issuance was conditioned upon, among other conditions,</w:t>
      </w:r>
      <w:r>
        <w:rPr>
          <w:color w:val="000000"/>
          <w:shd w:fill="FFFFFF" w:val="clear"/>
        </w:rPr>
        <w:t xml:space="preserve"> </w:t>
      </w:r>
      <w:r>
        <w:rPr>
          <w:rFonts w:ascii="Times New Roman;serif" w:hAnsi="Times New Roman;serif"/>
          <w:b w:val="false"/>
          <w:color w:val="000000"/>
          <w:sz w:val="20"/>
          <w:shd w:fill="FFFFFF" w:val="clear"/>
        </w:rPr>
        <w:t xml:space="preserve">the payment of certain customary issuance and administration fees, as well as payment of a fronting fee to each issuer thereof and payment of a letter of credit participation fee payable to the ABL Lenders. </w:t>
      </w:r>
      <w:r>
        <w:rPr>
          <w:rFonts w:ascii="Times New Roman;serif" w:hAnsi="Times New Roman;serif"/>
          <w:b w:val="false"/>
          <w:color w:val="000000"/>
          <w:sz w:val="20"/>
        </w:rPr>
        <w:t>Capitalized terms used in this paragraph that are not otherwise defined are defined in the ABL Credit Agreement.</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360"/>
        <w:jc w:val="both"/>
        <w:rPr/>
      </w:pPr>
      <w:r>
        <w:rPr>
          <w:rFonts w:ascii="Times New Roman;serif" w:hAnsi="Times New Roman;serif"/>
          <w:b w:val="false"/>
          <w:color w:val="000000"/>
          <w:sz w:val="20"/>
          <w:shd w:fill="FFFFFF" w:val="clear"/>
        </w:rPr>
        <w:t xml:space="preserve">The ABL Credit Agreement contained customary covenants for this type of financing, including, but not limited to, covenants that restricted our ability to incur indebtedness; incur liens; sell, transfer, or dispose of property and assets; make investments or acquisitions; pay dividends, make distributions or other restricted payments; and engage in affiliate transactions. </w:t>
      </w:r>
      <w:r>
        <w:rPr>
          <w:rFonts w:ascii="Times New Roman;serif" w:hAnsi="Times New Roman;serif"/>
          <w:b w:val="false"/>
          <w:color w:val="000000"/>
          <w:sz w:val="20"/>
        </w:rPr>
        <w:t>As of the time of our entry into Amendment No. 3 to the ABL Credit Agreement (as discussed below), there were no outstanding borrowings under the ABL Facility or letters of credit outstanding.</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2024 Revolver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6, 2024, Fluence Energy, Inc. entered into Amendment Number Three ("Amendment No. 3") to that certain ABL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in order to (i) convert the existing ABL Facility to a senior secured cash flow revolving credit facility in an initial aggregate principal amount of up to $500.0 million (the "2024 Revolver"), (ii) replace Barclays Bank PLC as administrative agent under the 2024 Credit Agreement with Citibank, N.A., and (iii) make certain other modifications to the 2024 Credit Agreement as set forth therein. Capitalized terms used in this subsection that are not otherwise defined are defined in the 2024 Credit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2024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sets forth that (i) loans comprising each ABR Borrowing shall bear interest at the Alternate Base Rate plus 2.00%, (ii) loans comprising each Term Benchmark Borrowing shall bear interest at the Term SOFR Rate or the Adjusted EURIBOR Rate, as applicable, plus 3.00%, and (iii) the loans comprising each RFR Borrowing shall bear interest at the Daily Simple RFR plus 3.00%,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through maturity, which shall accrue at the rate of 0.50% per annum.</w:t>
      </w:r>
      <w:r>
        <w:rPr>
          <w:color w:val="000000"/>
        </w:rPr>
        <w:t xml:space="preserve"> </w:t>
      </w:r>
      <w:r>
        <w:rPr>
          <w:rFonts w:ascii="Times New Roman;serif" w:hAnsi="Times New Roman;serif"/>
          <w:b w:val="false"/>
          <w:color w:val="000000"/>
          <w:sz w:val="20"/>
        </w:rPr>
        <w:t xml:space="preserve">The 2024 Credit Agreement provides for a cash draw sublimit of $150.0 million as well as a letter of credit sublimit in the amount of $500.0 million if certain conditions are met.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contains customary covenants for this type of financing, including, but not limited to, covenants that restrict our and certain of our subsidiaries’ ability to: incur indebtedness; incur liens; sell, transfer, or dispose of property and assets; make investments or acquisitions; pay dividends, make distributions or other restricted payments; and engage in affiliate transactions. The 2024 Credit Agreement limits our ability to make certain payments, including dividends and distributions on Fluence Energy, LLC's equity, the Company's equity and other restricted payments. Under the terms of the 2024 Credit Agreement, Fluence Energy, LLC and its subsidiaries are currently limited in their ability to pay cash dividends to, lend to, or make other investments in the Company, subject to certain exceptions.</w:t>
      </w:r>
      <w:r>
        <w:rPr>
          <w:color w:val="000000"/>
        </w:rPr>
        <w:t xml:space="preserve"> </w:t>
      </w:r>
      <w:r>
        <w:rPr>
          <w:rFonts w:ascii="Times New Roman;serif" w:hAnsi="Times New Roman;serif"/>
          <w:b w:val="false"/>
          <w:color w:val="000000"/>
          <w:sz w:val="20"/>
        </w:rPr>
        <w:t>In addition, we are required to maintain (i) through December 31, 2025, Total Liquidity of no less than $150,000,000, (ii) from January 1, 2026 and thereafter, Total Liquidity of no less than $100,000,000 or a Consolidated Leverage Ratio as of the last day of any Measurement Period not to exceed 3.50:1.00, and (iii) certain other financial requirements at each Guarantor Coverage Test Date. S</w:t>
      </w:r>
      <w:r>
        <w:rPr>
          <w:rFonts w:ascii="Times New Roman;serif" w:hAnsi="Times New Roman;serif"/>
          <w:b w:val="false"/>
          <w:color w:val="000000"/>
          <w:sz w:val="20"/>
          <w:shd w:fill="FFFFFF" w:val="clear"/>
        </w:rPr>
        <w:t>uch covenants are tested on a quarterly basis and upon the occurrence of other certain restr</w:t>
      </w:r>
      <w:r>
        <w:rPr>
          <w:rFonts w:ascii="Times New Roman;serif" w:hAnsi="Times New Roman;serif"/>
          <w:b w:val="false"/>
          <w:color w:val="000000"/>
          <w:sz w:val="20"/>
        </w:rPr>
        <w:t>icted payments, the incurrence of indebtedness, certain dispositions, and other specified transactions. As of June 30, 2025, we were in compliance with all such covenants.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contains customary events of default for this type of financing. If an event of default occurs with respect to a borrower, the lenders will be able to, among other things, terminate the commitments immediately, cash collateralize any outstanding letters of credit, declare any</w:t>
      </w:r>
      <w:r>
        <w:rPr>
          <w:color w:val="000000"/>
          <w:shd w:fill="FFFFFF" w:val="clear"/>
        </w:rPr>
        <w:t xml:space="preserve"> </w:t>
      </w:r>
      <w:r>
        <w:rPr>
          <w:rFonts w:ascii="Times New Roman;serif" w:hAnsi="Times New Roman;serif"/>
          <w:b w:val="false"/>
          <w:color w:val="000000"/>
          <w:sz w:val="20"/>
          <w:shd w:fill="FFFFFF" w:val="clear"/>
        </w:rPr>
        <w:t>loans outstanding to be due and payable in whole or in part, and exercise other rights and remedies. The maturity date and the date of termination of lending commitments under the 2024 Credit Agreement both rem</w:t>
      </w:r>
      <w:r>
        <w:rPr>
          <w:rFonts w:ascii="Times New Roman;serif" w:hAnsi="Times New Roman;serif"/>
          <w:b w:val="false"/>
          <w:color w:val="000000"/>
          <w:sz w:val="20"/>
        </w:rPr>
        <w:t>ain unchanged at November 22, 2027. As of June 30, 2025, there are no cash borrowings under the 2024 Revolver, and there are $157.5 million letters of credit outstanding under the 2024 Revolver, with remaining availability of $342.5 million, net of letters of credit 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Borrowings Against Note Receivable - Pledged as Collateral</w:t>
      </w:r>
    </w:p>
    <w:p>
      <w:pPr>
        <w:pStyle w:val="TextBody"/>
        <w:bidi w:val="0"/>
        <w:spacing w:lineRule="auto" w:line="288" w:before="160" w:after="283"/>
        <w:ind w:left="0" w:right="0" w:firstLine="360"/>
        <w:jc w:val="both"/>
        <w:rPr/>
      </w:pPr>
      <w:r>
        <w:rPr>
          <w:rFonts w:ascii="Times New Roman;serif" w:hAnsi="Times New Roman;serif"/>
          <w:b w:val="false"/>
          <w:color w:val="000000"/>
          <w:sz w:val="20"/>
        </w:rPr>
        <w:t>In December 2022, the Company transferred $24.3 million in customer receivables to Standard Chartered Bank (“SCB”) in the Philippines for proceeds of $21.1 million. The receivables all related to the Company’s largest customer in that country. The underlying receivables transferred were previously aggregated into a long term note, with interest, and a maturity date of September 30, 2024. In April 2023, the Company aggregated into an additional long term note and transferred an additional $30.9 million in receivables with the same customer to SCB for proceeds of $27.0 million, upon substantially similar terms as the December 2022 transfer and with a maturity date of December 27, 2024. These transactions were treated as secured borrowings as the Company did not transfer the entire note receivables due from the customer to SCB. The Company continued to receive quarterly interest income from the customer, while SCB was responsible for collecting payments on the principal balances which represented the initial receivable balances from the customer. The Company had no other continuing involvement or exposure related to the underlying receivables. On September 16, 2024 and December 27, 2024, $24.3 and $30.9 million of receivables, respectively, were paid in full, resulting in the release of the corresponding notes and borrowings. For the nine months ended June 30, 2025, the Company recorded net interest income of $0.0 million, which represents the aggregate of $0.5 million in interest income and $0.5 million in interest expense recorded in “Interest income, net.” For the nine months ended June 30, 2024, the Company recorded net interest income of $0.2 million, which represents the aggregate of $3.5 million in interest income and $3.3 million</w:t>
      </w:r>
      <w:r>
        <w:rPr>
          <w:color w:val="000000"/>
        </w:rPr>
        <w:t xml:space="preserve"> </w:t>
      </w:r>
      <w:r>
        <w:rPr>
          <w:rFonts w:ascii="Times New Roman;serif" w:hAnsi="Times New Roman;serif"/>
          <w:b w:val="false"/>
          <w:color w:val="000000"/>
          <w:sz w:val="20"/>
        </w:rPr>
        <w:t>in interest expense recorded in “Interest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12.    Convertible Senior Notes,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issued $400.0 million aggregate principal amount of 2.25% convertible senior notes due 2030. These 2030 Convertible Senior Notes were issued pursuant to, and are governed by, an indenture, dated as of December 12, 2024, between the Company and UMB Bank, National Association, as trustee (the “Indenture”). The net proceeds from the issuance of the 2030 Convertible Senior Notes were $389.4 million, net of $10.6 million of debt issuance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2030 Convertible Senior Notes are senior unsecured obligations of the Company and accrue interest at a rate of 2.25% per year, payable semi-annually in arrears, on June 15 and December 15 of each year, beginning on June 15, 2025. The 2030 Convertible Senior Notes will mature on June 15, 2030, unless earlier converted, redeemed, or repurchased. The 2030 Convertible Senior Notes have an initial conversion rate of 46.8472 shares of the Company’s Class A common stock per $1,000 principal amount of 2030 Convertible Senior Notes, which represents an initial conversion price of approximately $21.35 per share of the Company’s Class A common stock. The conversion rate is subject to customary adjustments upon the occurrence of certain events but will not be adjusted for any accrued and unpaid interest. If a “make-whole fundamental change” (as defined in the Indenture) occurs, then the Company will in certain circumstances increase the conversion rate for a specified period of time.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the close of business on the business day immediately preceding March 15, 2030, holders of the 2030 Convertible Senior Notes will have the right to convert their 2030 Convertible Senior Notes only upon satisfaction of one or more of the following conditions: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during any calendar quarter (and only during such calendar quarter) commencing after the calendar quarter ending on March 31, 2025, if the last reported sale price per share of the Company’s Class A common stock exceeds 130% of the conversion price for each of at least 20 trading days (whether or not consecutive) during the 30 consecutive trading days ending on, and including, the last trading day of the immediately preceding calendar quarter;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during the five consecutive business days immediately after any 10 consecutive trading day period (the “measurement period”) if the ‘trading price’ per $1,000 principal amount of the 2030 Convertible Senior Notes for each trading day of the measurement period was less than 98% of the product of the last reported sale price per share of the Company’s Class A common stock on such trading day and the conversion rate on such trading day;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upon the occurrence of specified corporate events, as set forth in the Indenture; or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    if the Company calls any or all the 2030 Convertible Senior Notes for redemption, but only with respect to such 2030 Convertible Senior Notes called for redemption.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or after March 15, 2030, holders may convert their 2030 Convertible Senior Notes at any time until the close of business on the second scheduled trading day immediately before June 15,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conversion, the Company may satisfy its conversion obligation by paying or delivering, as the case may be, cash, shares of the Company’s Class A common stock, or a combination of both, at the Company’s election, in the manner and subject to the terms and conditions provided in the Indenture.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Convertible Senior Notes will be redeemable, in whole or in part (subject to the partial redemption limitation described in the Indenture), at our option at any time, and from time to time, on or after December 20, 2027 and on or before the 50th scheduled trading day immediately before the maturity date, at a cash redemption price equal to the principal amount of the 2030 Convertible Senior Notes to be redeemed, plus accrued and unpaid interest, if any, to, but excluding, the redemption date, but only if (i) the 2030 Convertible Senior Notes are “freely tradable” (as defined in the Indenture), and all accrued and unpaid additional interest, if any, has been paid in full, as of the date we send the related redemption notice; and (ii) the last reported sale price per share of our Class A common stock exceeds 130% of the conversion price on (1) each of at least 20 trading days, whether or not consecutive, during the 30 consecutive trading days ending on, and including, the trading day immediately before the date the Company sends the redemption notice for such redemption; and (2) the trading day immediately before the date the Company sends such redemption notice. In addition, calling any 2030 Convertible Senior Note for redemption will constitute a make-whole fundamental change with respect to that 2030 Convertible Senior Note, in which case the conversion rate applicable to the conversion of that 2030 Convertible Senior Note will be increased in certain circumstances if it is converted after it is called for redemption.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No sinking fund is required to be provided for the 2030 Convertible Senior Notes. If a “fundamental change” (as defined in the Indenture) occurs prior to the maturity date of the 2030 Convertible Senior Notes, holders may require the Company to repurchase all or a portion of their 2030 Convertible Senior Notes at a cash repurchase price equal to 100% of the principal amount of the 2030 Convertible Senior Notes to be repurchased, plus any</w:t>
      </w:r>
      <w:r>
        <w:rPr>
          <w:color w:val="000000"/>
        </w:rPr>
        <w:t xml:space="preserve"> </w:t>
      </w:r>
      <w:r>
        <w:rPr>
          <w:rFonts w:ascii="Times New Roman;serif" w:hAnsi="Times New Roman;serif"/>
          <w:b w:val="false"/>
          <w:color w:val="000000"/>
          <w:sz w:val="20"/>
        </w:rPr>
        <w:t>accrued and unpaid interest to, but excluding, the “fundamental change repurchase date” (as defined in the Indenture).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2030 Convertible Senior Notes are accounted for as a liability in their entirety, measured at amortized cost. The debt issuance costs for the 2030 Convertible Senior Notes are amortized to interest expense using the effective interest method over the term of the 2030 Convertible Senior Notes, with an effective interest rate of 2.80%.</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net carrying value and fair value of the 2030 Convertible Senior Notes as of June 30, 2025:</w:t>
      </w:r>
    </w:p>
    <w:tbl>
      <w:tblPr>
        <w:tblW w:w="10205" w:type="dxa"/>
        <w:jc w:val="left"/>
        <w:tblInd w:w="0" w:type="dxa"/>
        <w:tblLayout w:type="fixed"/>
        <w:tblCellMar>
          <w:top w:w="28" w:type="dxa"/>
          <w:left w:w="28" w:type="dxa"/>
          <w:bottom w:w="28" w:type="dxa"/>
          <w:right w:w="28" w:type="dxa"/>
        </w:tblCellMar>
      </w:tblPr>
      <w:tblGrid>
        <w:gridCol w:w="650"/>
        <w:gridCol w:w="566"/>
        <w:gridCol w:w="535"/>
        <w:gridCol w:w="109"/>
        <w:gridCol w:w="109"/>
        <w:gridCol w:w="109"/>
        <w:gridCol w:w="247"/>
        <w:gridCol w:w="971"/>
        <w:gridCol w:w="128"/>
        <w:gridCol w:w="109"/>
        <w:gridCol w:w="109"/>
        <w:gridCol w:w="109"/>
        <w:gridCol w:w="427"/>
        <w:gridCol w:w="1283"/>
        <w:gridCol w:w="224"/>
        <w:gridCol w:w="109"/>
        <w:gridCol w:w="109"/>
        <w:gridCol w:w="109"/>
        <w:gridCol w:w="273"/>
        <w:gridCol w:w="1072"/>
        <w:gridCol w:w="141"/>
        <w:gridCol w:w="109"/>
        <w:gridCol w:w="109"/>
        <w:gridCol w:w="109"/>
        <w:gridCol w:w="211"/>
        <w:gridCol w:w="826"/>
        <w:gridCol w:w="109"/>
        <w:gridCol w:w="109"/>
        <w:gridCol w:w="109"/>
        <w:gridCol w:w="109"/>
        <w:gridCol w:w="264"/>
        <w:gridCol w:w="264"/>
        <w:gridCol w:w="379"/>
      </w:tblGrid>
      <w:tr>
        <w:trPr/>
        <w:tc>
          <w:tcPr>
            <w:tcW w:w="65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7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Unamortized 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7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Leveling</w:t>
            </w:r>
          </w:p>
        </w:tc>
      </w:tr>
      <w:tr>
        <w:trPr/>
        <w:tc>
          <w:tcPr>
            <w:tcW w:w="17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Convertible Senior Notes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w:t>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390,356 </w:t>
            </w:r>
          </w:p>
        </w:tc>
        <w:tc>
          <w:tcPr>
            <w:tcW w:w="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261,648 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was determined based on the quoted prices of the 2030 Convertible Senior Notes in an inactive market on the last traded day of the quarter ended June 30, 2025 and has been classified as Level 2 in the fair value hierarchy.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interest expense recognized related to the 2030 Convertible Senior Notes:</w:t>
      </w:r>
    </w:p>
    <w:tbl>
      <w:tblPr>
        <w:tblW w:w="8819" w:type="dxa"/>
        <w:jc w:val="left"/>
        <w:tblInd w:w="0" w:type="dxa"/>
        <w:tblLayout w:type="fixed"/>
        <w:tblCellMar>
          <w:top w:w="28" w:type="dxa"/>
          <w:left w:w="28" w:type="dxa"/>
          <w:bottom w:w="28" w:type="dxa"/>
          <w:right w:w="28" w:type="dxa"/>
        </w:tblCellMar>
      </w:tblPr>
      <w:tblGrid>
        <w:gridCol w:w="1087"/>
        <w:gridCol w:w="954"/>
        <w:gridCol w:w="958"/>
        <w:gridCol w:w="109"/>
        <w:gridCol w:w="109"/>
        <w:gridCol w:w="109"/>
        <w:gridCol w:w="278"/>
        <w:gridCol w:w="813"/>
        <w:gridCol w:w="143"/>
        <w:gridCol w:w="143"/>
        <w:gridCol w:w="143"/>
        <w:gridCol w:w="143"/>
        <w:gridCol w:w="278"/>
        <w:gridCol w:w="536"/>
        <w:gridCol w:w="143"/>
        <w:gridCol w:w="109"/>
        <w:gridCol w:w="109"/>
        <w:gridCol w:w="109"/>
        <w:gridCol w:w="264"/>
        <w:gridCol w:w="772"/>
        <w:gridCol w:w="136"/>
        <w:gridCol w:w="136"/>
        <w:gridCol w:w="136"/>
        <w:gridCol w:w="136"/>
        <w:gridCol w:w="264"/>
        <w:gridCol w:w="509"/>
        <w:gridCol w:w="193"/>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29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Coupon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2030 Convertible Senior Notes, the Company has entered into privately negotiated capped call transactions with certain financial institutions pursuant to capped call confirmations (collectively the “Capped Calls”). The premiums paid for the purchases of the Capped Calls were $29.0 million. The Capped Calls have an initial strike price of approximately $21.35 per share, subject to certain adjustments, which corresponds to the initial conversion price of the 2030 Convertible Senior Notes. The Capped Calls have an initial cap price of $28.74 per share, subject to certain adjustments substantially similar to those applicable to the corresponding 2030 Convertible Senior Notes. The Capped Calls cover, subject to anti-dilution adjustments, approximately 18.7 million shares of the Company’s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Capped Calls are generally expected to offset the potential dilution to the Company’s Class A common stock upon any conversion of the 2030 Convertible Senior Notes and/or offset any cash payments the Company is required to make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excess of the principal amount of any converted 2030 Convertible Senior Notes, with such reduction and/or offset subject to a cap.</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Capped Calls are separate transactions and are not part of the terms of the 2030 Convertible Senior Notes. As the Capped Calls qualify for a scope exception from derivative accounting for instruments that are both indexed to the Company’s own stock and classified in stockholders’ equity, the Capped Calls are not accounted for as derivatives and the premiums paid for the purchases of the Capped Calls were recorded as a reduction to the additional paid-in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is based on the estimated annual effective tax rate, plus discrete items.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Income tax expense was $4.6 million</w:t>
      </w:r>
      <w:r>
        <w:rPr>
          <w:color w:val="000000"/>
        </w:rPr>
        <w:t xml:space="preserve"> </w:t>
      </w:r>
      <w:r>
        <w:rPr>
          <w:rFonts w:ascii="Times New Roman;serif" w:hAnsi="Times New Roman;serif"/>
          <w:b w:val="false"/>
          <w:color w:val="000000"/>
          <w:sz w:val="20"/>
        </w:rPr>
        <w:t>and $4.2 million for the three months ended June 30, 2025 and 2024, respectively. The effective tax rate for the three months ended June 30, 2025 and 2024 was 39.9% and 79.7%, respectively. For the three months ended June 30, 2025, the Company’s effective tax rate differs from the U.S. statutory tax rate of 21% primarily due to flow-through losses attributable to the Founders and valuation allowances.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Income tax expense was $0.9 million</w:t>
      </w:r>
      <w:r>
        <w:rPr>
          <w:color w:val="000000"/>
        </w:rPr>
        <w:t xml:space="preserve"> </w:t>
      </w:r>
      <w:r>
        <w:rPr>
          <w:rFonts w:ascii="Times New Roman;serif" w:hAnsi="Times New Roman;serif"/>
          <w:b w:val="false"/>
          <w:color w:val="000000"/>
          <w:sz w:val="20"/>
        </w:rPr>
        <w:t>and $1.3 million for the nine months ended June 30, 2025 and 2024, respectively. The effective tax rate for the nine months ended June 30, 2025 and 2024 was (1.0)% and (3.7)%, respectively. For the nine months ended June 30, 2025, the Company’s effective tax rate differs from the U.S. statutory tax rate of 21% primarily due to valuation allowances.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and September 30, 2024, the Company does not believe it has any significant uncertain tax positions and therefore, has not recorded any unrecognized tax benefits.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Company evaluates the realizability of its deferred tax assets on a quarterly basis and establishes valuation allowances when it is more-likely-than-not that all or a portion of a deferred tax asset may not be realized. As of June 30, 2025 and September 30, 2024, the Company had recorded a full valuation allowance against deferred tax assets on Fluence Energy, Inc. primarily related to its investment in Fluence Energy, LLC, as well as on certain foreign subsidiaries based on the weight of available evidence, including cumulative losses. In the event that the valuation allowance related to tax benefits associated with the Tax Receivable Agreement, dated October 27, 2021, by and among Fluence Energy, Inc., Fluence Energy, LLC, Siemens Industry, Inc. and AES Grid Stability, LLC (the “Tax Receivable Agreement”), is released in a future period, a Tax Receivable Agreement liability will be recorded based on the amounts probable and reasonably estimable in accordance with ASC 450.</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Development’s (“OECD”) Pillar II Initiative introduced a 15% global minimum tax for certain multinational groups exceeding minimum annual global revenue thresholds. Some countries in which the Company operates have enacted legislation adopting the minimum tax effective January 1, 2024. To date, the Company has determined that an immaterial liability will be incurred as a result of the Pillar II provisions. Certain tax jurisdictions either did not have Pillar II enacted for the current fiscal year or the Company has satisfied one or more of the safe harbor tests to prevent any minimum tax under Pillar II. The Company will continue to monitor its jurisdictions for any changes and include appropriate minimum tax throughout the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both"/>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24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 xml:space="preserve">Guarantees, Commitments, Letters of Credit, and Surety Bonds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As of June 30, 2025, the Company had outstanding bank guarantees, parent company guara</w:t>
      </w:r>
      <w:r>
        <w:rPr>
          <w:rFonts w:ascii="Times New Roman;serif" w:hAnsi="Times New Roman;serif"/>
          <w:b w:val="false"/>
          <w:color w:val="000000"/>
          <w:sz w:val="20"/>
          <w:shd w:fill="FFFFFF" w:val="clear"/>
        </w:rPr>
        <w:t xml:space="preserve">ntees, letters of credit, and surety bonds issued as performance security arrangements associated with a number of our customer projects. In addition, we have a limited number of parent company guarantees and letters of credit issued as payment security to certain vendors. </w:t>
      </w:r>
      <w:r>
        <w:rPr>
          <w:rFonts w:ascii="Times New Roman;serif" w:hAnsi="Times New Roman;serif"/>
          <w:b w:val="false"/>
          <w:color w:val="000000"/>
          <w:sz w:val="20"/>
        </w:rPr>
        <w:t>These contractual commitments are all accounted for off-balance sheet. In the event that we fail to perform under a project backstopped by such credit support, the customer or vendor, respectively, may demand performance and/or payment, as applicable, pursuant to the terms of the project contract or vendor contract and applicable credit support instrument from the Company, surety, or bank, as the cas</w:t>
      </w:r>
      <w:r>
        <w:rPr>
          <w:rFonts w:ascii="Times New Roman;serif" w:hAnsi="Times New Roman;serif"/>
          <w:b w:val="false"/>
          <w:color w:val="000000"/>
          <w:sz w:val="20"/>
          <w:shd w:fill="FFFFFF" w:val="clear"/>
        </w:rPr>
        <w:t>e may be. Our relationship with our sureties is such that we will indemnify the sureties for any damages and expenses they incur in connection with any of the bonds they issue on our behalf and we may be required to post collateral to support the bonds. With respect to letters of credit, in the event of non-performance under a contract, direct obligations to repay the banks may arise. The Company expects that its performance and payment obligations secured by these bank guarantees, parent company guarantees, letters of credit, and surety bonds will generally be completed in the ordinary course of business and in accordance with the applicable contractual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contingent contractual obligations as of June 30, 2025. Amounts presented in the following table represent the Company's current undiscounted exposure to guarantees, commitments, letters of credit, and surety bonds and the range of maximum undiscounted potential exposure. The maximum exposure is not reduced by the amounts, if any, that could be recovered under the recourse or collateralization provisions in the guarantees, commitments, letters of credit, and surety bonds.</w:t>
      </w:r>
    </w:p>
    <w:tbl>
      <w:tblPr>
        <w:tblW w:w="10205" w:type="dxa"/>
        <w:jc w:val="left"/>
        <w:tblInd w:w="0" w:type="dxa"/>
        <w:tblLayout w:type="fixed"/>
        <w:tblCellMar>
          <w:top w:w="28" w:type="dxa"/>
          <w:left w:w="28" w:type="dxa"/>
          <w:bottom w:w="28" w:type="dxa"/>
          <w:right w:w="28" w:type="dxa"/>
        </w:tblCellMar>
      </w:tblPr>
      <w:tblGrid>
        <w:gridCol w:w="1126"/>
        <w:gridCol w:w="990"/>
        <w:gridCol w:w="996"/>
        <w:gridCol w:w="382"/>
        <w:gridCol w:w="382"/>
        <w:gridCol w:w="384"/>
        <w:gridCol w:w="593"/>
        <w:gridCol w:w="593"/>
        <w:gridCol w:w="594"/>
        <w:gridCol w:w="1216"/>
        <w:gridCol w:w="1216"/>
        <w:gridCol w:w="1733"/>
      </w:tblGrid>
      <w:tr>
        <w:trPr/>
        <w:tc>
          <w:tcPr>
            <w:tcW w:w="112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3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 millions)</w:t>
            </w:r>
          </w:p>
        </w:tc>
        <w:tc>
          <w:tcPr>
            <w:tcW w:w="1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Agreements</w:t>
            </w:r>
          </w:p>
        </w:tc>
        <w:tc>
          <w:tcPr>
            <w:tcW w:w="4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Maximum Exposure Range for Each Agreement </w:t>
            </w:r>
            <w:r>
              <w:rPr>
                <w:rFonts w:ascii="Times New Roman;serif" w:hAnsi="Times New Roman;serif"/>
                <w:b w:val="false"/>
                <w:i/>
                <w:color w:val="000000"/>
                <w:sz w:val="20"/>
              </w:rPr>
              <w:t>(in $ millions)</w:t>
            </w:r>
          </w:p>
        </w:tc>
      </w:tr>
      <w:tr>
        <w:trPr/>
        <w:tc>
          <w:tcPr>
            <w:tcW w:w="3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Guarantees and commitments</w:t>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$3,851</w:t>
            </w:r>
          </w:p>
        </w:tc>
        <w:tc>
          <w:tcPr>
            <w:tcW w:w="1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4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$0.1 - 399.6</w:t>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 under bilateral credit facilities</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780"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4165"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0 - 3</w:t>
            </w:r>
          </w:p>
        </w:tc>
      </w:tr>
      <w:tr>
        <w:trPr/>
        <w:tc>
          <w:tcPr>
            <w:tcW w:w="3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Letters of credit under 2024 Revolver </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c>
          <w:tcPr>
            <w:tcW w:w="1780" w:type="dxa"/>
            <w:gridSpan w:val="3"/>
            <w:tcBorders/>
            <w:shd w:fill="CCEE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4165" w:type="dxa"/>
            <w:gridSpan w:val="3"/>
            <w:tcBorders/>
            <w:shd w:fill="CCEEFF" w:val="clear"/>
            <w:tcMar>
              <w:top w:w="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0 - 40</w:t>
            </w:r>
          </w:p>
        </w:tc>
      </w:tr>
      <w:tr>
        <w:trPr/>
        <w:tc>
          <w:tcPr>
            <w:tcW w:w="3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Surety bonds</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554</w:t>
            </w:r>
          </w:p>
        </w:tc>
        <w:tc>
          <w:tcPr>
            <w:tcW w:w="1780" w:type="dxa"/>
            <w:gridSpan w:val="3"/>
            <w:tcBorders/>
            <w:shd w:fill="FFFFFF" w:val="clear"/>
            <w:tcMar>
              <w:top w:w="0" w:type="dxa"/>
              <w:left w:w="0" w:type="dxa"/>
              <w:bottom w:w="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4165" w:type="dxa"/>
            <w:gridSpan w:val="3"/>
            <w:tcBorders/>
            <w:shd w:fill="FFFFFF" w:val="clear"/>
            <w:tcMar>
              <w:top w:w="0" w:type="dxa"/>
              <w:left w:w="0" w:type="dxa"/>
              <w:bottom w:w="0" w:type="dxa"/>
              <w:right w:w="0" w:type="dxa"/>
            </w:tcMar>
            <w:vAlign w:val="center"/>
          </w:tcPr>
          <w:p>
            <w:pPr>
              <w:pStyle w:val="TableContents"/>
              <w:bidi w:val="0"/>
              <w:spacing w:lineRule="auto" w:line="218" w:before="0" w:after="0"/>
              <w:jc w:val="center"/>
              <w:rPr>
                <w:rFonts w:ascii="Times New Roman;serif" w:hAnsi="Times New Roman;serif"/>
                <w:b w:val="false"/>
                <w:color w:val="000000"/>
                <w:sz w:val="20"/>
              </w:rPr>
            </w:pPr>
            <w:r>
              <w:rPr>
                <w:rFonts w:ascii="Times New Roman;serif" w:hAnsi="Times New Roman;serif"/>
                <w:b w:val="false"/>
                <w:color w:val="000000"/>
                <w:sz w:val="20"/>
              </w:rPr>
              <w:t>0 - 78.7</w:t>
            </w:r>
          </w:p>
        </w:tc>
      </w:tr>
      <w:tr>
        <w:trPr/>
        <w:tc>
          <w:tcPr>
            <w:tcW w:w="311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$4,568</w:t>
            </w:r>
          </w:p>
        </w:tc>
        <w:tc>
          <w:tcPr>
            <w:tcW w:w="17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18" w:before="0" w:after="283"/>
              <w:jc w:val="center"/>
              <w:rPr>
                <w:rFonts w:ascii="Times New Roman;serif" w:hAnsi="Times New Roman;serif"/>
                <w:b w:val="false"/>
                <w:color w:val="000000"/>
                <w:sz w:val="20"/>
              </w:rPr>
            </w:pPr>
            <w:r>
              <w:rPr>
                <w:rFonts w:ascii="Times New Roman;serif" w:hAnsi="Times New Roman;serif"/>
                <w:b w:val="false"/>
                <w:color w:val="000000"/>
                <w:sz w:val="20"/>
              </w:rPr>
              <w:t>188</w:t>
            </w:r>
          </w:p>
        </w:tc>
        <w:tc>
          <w:tcPr>
            <w:tcW w:w="416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Company has commitments for minimum volumes or spend under master supply agreements with our vendors. The majority of the commitments are for purchases of battery cells and modules. Liquidated damages apply if the minimum purchase volumes or spend are not met. The Company currently expects to meet the minimum committed volumes of purchases and spend. The following table presents our future minimum purchase commitments by fiscal year, primarily for battery cells and modules, and liquidated damages, if the minimum purchase volumes or spend are not met, as of June 30, 2025</w:t>
      </w:r>
      <w:r>
        <w:rPr>
          <w:rFonts w:ascii="Times New Roman;serif" w:hAnsi="Times New Roman;serif"/>
          <w:b w:val="false"/>
          <w:color w:val="000000"/>
          <w:sz w:val="24"/>
        </w:rPr>
        <w:t>:</w:t>
      </w:r>
    </w:p>
    <w:tbl>
      <w:tblPr>
        <w:tblW w:w="5640" w:type="dxa"/>
        <w:jc w:val="left"/>
        <w:tblInd w:w="0" w:type="dxa"/>
        <w:tblLayout w:type="fixed"/>
        <w:tblCellMar>
          <w:top w:w="28" w:type="dxa"/>
          <w:left w:w="28" w:type="dxa"/>
          <w:bottom w:w="28" w:type="dxa"/>
          <w:right w:w="28" w:type="dxa"/>
        </w:tblCellMar>
      </w:tblPr>
      <w:tblGrid>
        <w:gridCol w:w="614"/>
        <w:gridCol w:w="539"/>
        <w:gridCol w:w="542"/>
        <w:gridCol w:w="332"/>
        <w:gridCol w:w="1537"/>
        <w:gridCol w:w="171"/>
        <w:gridCol w:w="370"/>
        <w:gridCol w:w="1265"/>
        <w:gridCol w:w="270"/>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Purchase Commitment</w:t>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Liquidated Damages</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19,639 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740,595 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15,693 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761,120 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16,200 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761,120 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16,200 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and thereafter</w:t>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1,501,120 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32,400 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3,783,594 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80,493 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 xml:space="preserve">The Company makes advance payments as capacity guarantees pursuant to purchase agreements with our suppliers. As of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$105.3 million</w:t>
      </w:r>
      <w:r>
        <w:rPr>
          <w:color w:val="000000"/>
          <w:shd w:fill="FFFFFF" w:val="clear"/>
        </w:rPr>
        <w:t xml:space="preserve"> </w:t>
      </w:r>
      <w:r>
        <w:rPr>
          <w:rFonts w:ascii="Times New Roman;serif" w:hAnsi="Times New Roman;serif"/>
          <w:b w:val="false"/>
          <w:color w:val="000000"/>
          <w:sz w:val="20"/>
          <w:shd w:fill="FFFFFF" w:val="clear"/>
        </w:rPr>
        <w:t>is recorded within “Advances to suppliers” on the condensed consolidated balance sheets.</w:t>
      </w:r>
    </w:p>
    <w:p>
      <w:pPr>
        <w:pStyle w:val="TextBody"/>
        <w:bidi w:val="0"/>
        <w:spacing w:lineRule="auto" w:line="288" w:before="16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Product Performance Guarantees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Typical energy storage products and solutions contracts and long-term service agreements contain provisions for performance liquidated damages payments if the energy storage solution fails to meet the guaranteed performance thresholds at completion of the project or throughout the service agreement period.</w:t>
      </w:r>
    </w:p>
    <w:p>
      <w:pPr>
        <w:pStyle w:val="TextBody"/>
        <w:bidi w:val="0"/>
        <w:spacing w:lineRule="auto" w:line="288" w:before="16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Warranties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both assurance and service-type warranties for various lengths of time. The Company recognizes revenue for service-type warranties, which are referred to as extended warranties, using a straight-line approach over the service period.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a limited warranty related to the successful operation of battery-based energy storage solutions, apart from the service-type warranties described above and are normally provided for a limited period of time from one to five years, after the commercial operation date or substantial completion depending on the contract terms. The warranties are considered assurance-type warranties which provide a guarantee of quality of the products. For assurance-type warranties, the Company records an estimate of future warranty cost over the period of construction, consistent with transfer of control and revenue recognition on the equipment or battery-based energy storage solutions. Furthermore, we accrue the estimated liability cost of specific reserves or recalls when they are probable and estimable if identified. Warranty expense is recorded as a component of “Costs of goods and services” in the Company’s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assurance-type warranties are often backed by supplier covered warranties for major original equipment manufacturers (OEMs) such as batteries and inverters, which is included in our estimated warranty liability. The Company records a corresponding asset for a portion of the warranty cost to be covered by the supplier warranty due to the fact that the contracts are enforceable, the suppliers are financially viable, and we have a history of satisfying claims with our suppliers. The asset is recorded within “Other current assets” and “Other non-current assets” on the condensed consolidated balance sheets.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and September 30, 2024, the Company accrued the below estimated warranty liabilities, which the table reflects nine months activity and twelve months activity, respectively:</w:t>
      </w:r>
    </w:p>
    <w:tbl>
      <w:tblPr>
        <w:tblW w:w="10205" w:type="dxa"/>
        <w:jc w:val="left"/>
        <w:tblInd w:w="0" w:type="dxa"/>
        <w:tblLayout w:type="fixed"/>
        <w:tblCellMar>
          <w:top w:w="28" w:type="dxa"/>
          <w:left w:w="28" w:type="dxa"/>
          <w:bottom w:w="28" w:type="dxa"/>
          <w:right w:w="28" w:type="dxa"/>
        </w:tblCellMar>
      </w:tblPr>
      <w:tblGrid>
        <w:gridCol w:w="2610"/>
        <w:gridCol w:w="2283"/>
        <w:gridCol w:w="2293"/>
        <w:gridCol w:w="254"/>
        <w:gridCol w:w="871"/>
        <w:gridCol w:w="131"/>
        <w:gridCol w:w="341"/>
        <w:gridCol w:w="1169"/>
        <w:gridCol w:w="253"/>
      </w:tblGrid>
      <w:tr>
        <w:trPr/>
        <w:tc>
          <w:tcPr>
            <w:tcW w:w="2610"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7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7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beginning</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Warranties issued and assumed in period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estimates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liability for warranty expirations, costs incurred, and foreign exchange impact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ending</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40,242 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Recoverable warranty costs from suppliers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balance, net of recoverable warranty costs from suppliers, at end of period</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27,538 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key inputs and assumptions used by us to estimate our warranty liability are: (1) the number of units expected to fail or be replaced over time (i.e., failure rate); and (2) the per unit cost of replacement, including shipping, labor costs, and costs for equipment necessary for repair or replacement that are expected to be incurred to replace or repair failed units over time (i.e., repair or replacement cost). The Company’s Safety and Quality department has primary responsibility to determine the estimated failure rates for each generation of product.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key inputs and assumptions used in calculating the estimated assurance warranty liability and related warranty asset are reviewed by management on a quarterly basis. The Company may make additional adjustments to the estimated assurance warranty liability and related warranty asset based on our comparison of actual warranty results to expected results for significant differences or based on performance trends or other qualitative factors. If actual failure rates or replacement costs differ from our estimates in future periods, changes to these estimates may be required, resulting in increases or decreases in our estimated assurance warranty liability and related warranty asset which may be material. As we are in an evolving market, there is a degree of estimation uncertainty regarding our estimated recurring warranty accrual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litigation, government investigations, and other regulatory or legal proceedings relating to claims that arise out of our operations and businesses and that cover a wide range of matters, including, but not limited to, securities litigation, intellectual property matters, commercial and contract disputes, insurance and property damage claims, labor and employment claims, torts and personal injury claims, product liability claims, environmental claims, and warranty claims. The Company accrues for litigation and claims when it is probable that a liability has been incurred and the amount of loss can be reasonably estimated. It is reasonably possible that some matters could have an unfavorable result to the Company and could require the Company to pay damages or make expenditures in amounts that could be material.</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2021 Overheating Event at Customer Facility</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4, 2021, a 300 MW energy storage facility owned by one of our customers experienced an overheating event. Fluence served as the energy storage technology provider and designed and installed portions of the facility, which was completed in the fiscal year ended September 30,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At this time, Fluence cannot accept the customer’s stated findings and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 and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2023 Project-Related Litigation</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including for the defendants’ nonpayment of contractual amounts owed. On or about November 10, 2023, Defendant Diablo Energy Storage, LLC filed a cross-complaint against Fluence, seeking a minimum of $25.0 million of alleged damages and disgorgement of all compensation received by Fluence for the project, in the amount of approximately $230.0 million. The disgorgement claim was based upon an alleged deficiency in Fluence’s contractor license. Fluence denies the allegations in the cross-complaint and intends to vigorously defend against them and to enforce our claims against the defendants. We are currently not able to estimate the impact, if any, that this litigation may have on our reputation or financial results, or on market adoption of our products and solutions.</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 xml:space="preserve">SEC Investigation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February 22, 2024, as previously disclosed, a short-seller report was published about the Company (the “Short Seller Report”). In response to the Short Seller Report, the Audit Committee of the Company’s Board of Directors completed an internal investigation, with the assistance of outside counsel and forensic accountants, into the allegations in the Short Seller Report. The Company has been informed that the SEC is conducting a formal investigation and asking for certain information regarding our financial reporting. The Company is fully cooperating with the SEC’s investigation. While we are unable to predict the likely outcome of this matter or the potential cost, exposure or duration of the process, based on the information we currently possess, we do not expect the total potential cost to be material to our financial condition. </w:t>
      </w:r>
    </w:p>
    <w:p>
      <w:pPr>
        <w:pStyle w:val="TextBody"/>
        <w:bidi w:val="0"/>
        <w:spacing w:lineRule="auto" w:line="288" w:before="160" w:after="283"/>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Securities Class Actions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On March 11, 2025, a putative federal securities class action complaint captioned </w:t>
      </w:r>
      <w:r>
        <w:rPr>
          <w:rFonts w:ascii="Times New Roman;serif" w:hAnsi="Times New Roman;serif"/>
          <w:b w:val="false"/>
          <w:i/>
          <w:color w:val="000000"/>
          <w:sz w:val="20"/>
          <w:shd w:fill="FFFFFF" w:val="clear"/>
        </w:rPr>
        <w:t>Abramov v. Fluence Energy, Inc. et al.</w:t>
      </w:r>
      <w:r>
        <w:rPr>
          <w:color w:val="000000"/>
          <w:shd w:fill="FFFFFF" w:val="clear"/>
        </w:rPr>
        <w:t xml:space="preserve"> </w:t>
      </w:r>
      <w:r>
        <w:rPr>
          <w:rFonts w:ascii="Times New Roman;serif" w:hAnsi="Times New Roman;serif"/>
          <w:b w:val="false"/>
          <w:color w:val="000000"/>
          <w:sz w:val="20"/>
          <w:shd w:fill="FFFFFF" w:val="clear"/>
        </w:rPr>
        <w:t xml:space="preserve">(Case No. 1:25-cv-00444) was filed in the United States District Court, Eastern District of Virginia, against the Company and certain of the Company’s executive officers. On April 15, 2025, a putative federal securities class action complaint captioned </w:t>
      </w:r>
      <w:r>
        <w:rPr>
          <w:rFonts w:ascii="Times New Roman;serif" w:hAnsi="Times New Roman;serif"/>
          <w:b w:val="false"/>
          <w:i/>
          <w:color w:val="000000"/>
          <w:sz w:val="20"/>
          <w:shd w:fill="FFFFFF" w:val="clear"/>
        </w:rPr>
        <w:t>Kramer v. Fluence Energy, Inc. et al.</w:t>
      </w:r>
      <w:r>
        <w:rPr>
          <w:color w:val="000000"/>
          <w:shd w:fill="FFFFFF" w:val="clear"/>
        </w:rPr>
        <w:t xml:space="preserve"> </w:t>
      </w:r>
      <w:r>
        <w:rPr>
          <w:rFonts w:ascii="Times New Roman;serif" w:hAnsi="Times New Roman;serif"/>
          <w:b w:val="false"/>
          <w:color w:val="000000"/>
          <w:sz w:val="20"/>
          <w:shd w:fill="FFFFFF" w:val="clear"/>
        </w:rPr>
        <w:t xml:space="preserve">(Case No. 1:25-cv-00634) was filed in the United States District Court, Eastern District of Virginia, against the Company, certain of the Company’s current and former executive officers, AES Grid Stability, and AES. Both actions purported to be brought on behalf of a purported class of stockholders, and asserted violations of Sections 10(b) and 20(a) of the Securities Exchange Act of 1934, as amended (the “Exchange Act”) and Rule 10b-5 promulgated thereunder. The complaints sought unspecified damages and other relief. On May 30, 2025, the United States District Court, Eastern District of Virginia ordered the consolidation of the </w:t>
      </w:r>
      <w:r>
        <w:rPr>
          <w:rFonts w:ascii="Times New Roman;serif" w:hAnsi="Times New Roman;serif"/>
          <w:b w:val="false"/>
          <w:i/>
          <w:color w:val="000000"/>
          <w:sz w:val="20"/>
          <w:shd w:fill="FFFFFF" w:val="clear"/>
        </w:rPr>
        <w:t>Abramov</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Kramer</w:t>
      </w:r>
      <w:r>
        <w:rPr>
          <w:color w:val="000000"/>
          <w:shd w:fill="FFFFFF" w:val="clear"/>
        </w:rPr>
        <w:t xml:space="preserve"> </w:t>
      </w:r>
      <w:r>
        <w:rPr>
          <w:rFonts w:ascii="Times New Roman;serif" w:hAnsi="Times New Roman;serif"/>
          <w:b w:val="false"/>
          <w:color w:val="000000"/>
          <w:sz w:val="20"/>
          <w:shd w:fill="FFFFFF" w:val="clear"/>
        </w:rPr>
        <w:t xml:space="preserve">cases, captioned the consolidated matter </w:t>
      </w:r>
      <w:r>
        <w:rPr>
          <w:rFonts w:ascii="Times New Roman;serif" w:hAnsi="Times New Roman;serif"/>
          <w:b w:val="false"/>
          <w:i/>
          <w:color w:val="000000"/>
          <w:sz w:val="20"/>
          <w:shd w:fill="FFFFFF" w:val="clear"/>
        </w:rPr>
        <w:t xml:space="preserve">In re Fluence Energy, Inc. Securities Litigation </w:t>
      </w:r>
      <w:r>
        <w:rPr>
          <w:rFonts w:ascii="Times New Roman;serif" w:hAnsi="Times New Roman;serif"/>
          <w:b w:val="false"/>
          <w:color w:val="000000"/>
          <w:sz w:val="20"/>
          <w:shd w:fill="FFFFFF" w:val="clear"/>
        </w:rPr>
        <w:t xml:space="preserve">(Case No. 1:25-cv-00444-PTG-IDD) and appointed a lead plaintiff and lead counsel. The court-appointed lead plaintiff subsequently filed a consolidated complaint that asserts claims under Sections 10(b) and 20(a) of the Exchange Act, and Rule 10b-5 promulgated thereunder against the Company, AES Grid Stability, AES, and certain of the Company’s former and current executive officers. The consolidated complaint seeks unspecified damages and other relief. The defendants filed a motion to dismiss the consolidated complaint on July 11, 2025. The Company does not believe the consolidated complaint states any meritorious claim and intends to defend this case vigorously. </w:t>
      </w:r>
    </w:p>
    <w:p>
      <w:pPr>
        <w:pStyle w:val="TextBody"/>
        <w:bidi w:val="0"/>
        <w:spacing w:lineRule="auto" w:line="288" w:before="160" w:after="283"/>
        <w:jc w:val="both"/>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Shareholder Derivative Actions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On March 25, 2025, a purported stockholder, Raffi Elmajian, filed a shareholder derivative complaint captioned </w:t>
      </w:r>
      <w:r>
        <w:rPr>
          <w:rFonts w:ascii="Times New Roman;serif" w:hAnsi="Times New Roman;serif"/>
          <w:b w:val="false"/>
          <w:i/>
          <w:color w:val="000000"/>
          <w:sz w:val="20"/>
        </w:rPr>
        <w:t xml:space="preserve">Elmajian v. Nebreda et al. </w:t>
      </w:r>
      <w:r>
        <w:rPr>
          <w:rFonts w:ascii="Times New Roman;serif" w:hAnsi="Times New Roman;serif"/>
          <w:b w:val="false"/>
          <w:color w:val="000000"/>
          <w:sz w:val="20"/>
          <w:shd w:fill="FFFFFF" w:val="clear"/>
        </w:rPr>
        <w:t xml:space="preserve">in the United States District Court, Eastern District of Virginia (Case No. 1:25-cv-521) against current and former officers and directors of the Company, naming the Company as a nominal defendant. On April 3, 2025, a purported stockholder, Diaa Al Amad, filed a second shareholder derivative complaint captioned </w:t>
      </w:r>
      <w:r>
        <w:rPr>
          <w:rFonts w:ascii="Times New Roman;serif" w:hAnsi="Times New Roman;serif"/>
          <w:b w:val="false"/>
          <w:i/>
          <w:color w:val="000000"/>
          <w:sz w:val="20"/>
        </w:rPr>
        <w:t>Al Amad v. Nebreda et al.</w:t>
      </w:r>
      <w:r>
        <w:rPr>
          <w:color w:val="000000"/>
          <w:shd w:fill="FFFFFF" w:val="clear"/>
        </w:rPr>
        <w:t xml:space="preserve"> </w:t>
      </w:r>
      <w:r>
        <w:rPr>
          <w:rFonts w:ascii="Times New Roman;serif" w:hAnsi="Times New Roman;serif"/>
          <w:b w:val="false"/>
          <w:color w:val="000000"/>
          <w:sz w:val="20"/>
          <w:shd w:fill="FFFFFF" w:val="clear"/>
        </w:rPr>
        <w:t xml:space="preserve">in the United States District Court, Eastern District of Virginia (Case No. 1:25-cv-577) against current and former officers and directors of the Company, naming the Company as a nominal defendant. Both derivative complaints allege claims under Section 14(a) of the Securities Exchange Act of 1934 and breaches of fiduciary duties, among other claims. The actions purport to be brought derivatively on behalf of the Company and seek damages and other various relief. On April 22, 2025, the United States District Court, Eastern District of Virginia ordered the consolidation of the Elmajian and Al Amad cases, captioned </w:t>
      </w:r>
      <w:r>
        <w:rPr>
          <w:rFonts w:ascii="Times New Roman;serif" w:hAnsi="Times New Roman;serif"/>
          <w:b w:val="false"/>
          <w:i/>
          <w:color w:val="000000"/>
          <w:sz w:val="20"/>
          <w:shd w:fill="FFFFFF" w:val="clear"/>
        </w:rPr>
        <w:t xml:space="preserve">In re Fluence Energy, Inc. Shareholder Derivative Litigation </w:t>
      </w:r>
      <w:r>
        <w:rPr>
          <w:rFonts w:ascii="Times New Roman;serif" w:hAnsi="Times New Roman;serif"/>
          <w:b w:val="false"/>
          <w:color w:val="000000"/>
          <w:sz w:val="20"/>
          <w:shd w:fill="FFFFFF" w:val="clear"/>
        </w:rPr>
        <w:t xml:space="preserve">(Case No.: </w:t>
      </w:r>
      <w:r>
        <w:rPr>
          <w:rFonts w:ascii="Times New Roman;serif" w:hAnsi="Times New Roman;serif"/>
          <w:b w:val="false"/>
          <w:color w:val="000000"/>
          <w:sz w:val="20"/>
        </w:rPr>
        <w:t>1:25-cv-00521)</w:t>
      </w:r>
      <w:r>
        <w:rPr>
          <w:rFonts w:ascii="Times New Roman;serif" w:hAnsi="Times New Roman;serif"/>
          <w:b w:val="false"/>
          <w:color w:val="000000"/>
          <w:sz w:val="20"/>
          <w:shd w:fill="FFFFFF" w:val="clear"/>
        </w:rPr>
        <w:t xml:space="preserve">. On July 21, 2025, the United States District Court, Eastern District of Virginia ordered a stay on all proceedings and deadlines in the consolidated derivative matter until resolution of the consolidated securities class action detailed above. The Company believes the claims in the complaints are without merit and intends to defend the matter vigorously.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80"/>
        <w:jc w:val="both"/>
        <w:rPr>
          <w:rFonts w:ascii="Times New Roman;serif" w:hAnsi="Times New Roman;serif"/>
          <w:b/>
          <w:color w:val="000000"/>
          <w:sz w:val="20"/>
        </w:rPr>
      </w:pPr>
      <w:r>
        <w:rPr>
          <w:rFonts w:ascii="Times New Roman;serif" w:hAnsi="Times New Roman;serif"/>
          <w:b/>
          <w:color w:val="000000"/>
          <w:sz w:val="20"/>
        </w:rPr>
        <w:t>15.    Related-Party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Related parties are primarily represented by AES and Siemens, their respective subsidiaries, other entities under common control, and other entities in which Siemens and AES have significant influence. As of June 30, 2025, AES Grid Stability holds 51,499,195 shares of Class B-1 common stock of Fluence Energy, Inc. and Siemens beneficially owns an aggregate of 51,499,195 shares of Class A common stock of Fluence Energy, Inc.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Procurement Contracts with Related Parties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signs back-to-back battery-based energy storage solution and related service contracts with AES, Siemens, their respective subsidiaries, other entities under common control, and other entities in which Siemens and AES have significant influence (collectively referred to as affiliates) in relation to execution of the affiliates’ contracts with external customers and also signs direct contracts with affiliates. The Company also signs consortium agreements to partner with affiliates to deliver battery-based energy storage products and related service contracts to external customers. When performing our obligations pursuant to such contracts, we may, from time to time, enter into related change orders or settlements with our related parties and their affiliates. </w:t>
      </w:r>
    </w:p>
    <w:p>
      <w:pPr>
        <w:pStyle w:val="TextBody"/>
        <w:bidi w:val="0"/>
        <w:spacing w:lineRule="auto" w:line="276" w:before="160" w:after="283"/>
        <w:ind w:left="0" w:right="0" w:firstLine="360"/>
        <w:jc w:val="both"/>
        <w:rPr/>
      </w:pPr>
      <w:r>
        <w:rPr>
          <w:rFonts w:ascii="Times New Roman;serif" w:hAnsi="Times New Roman;serif"/>
          <w:b w:val="false"/>
          <w:color w:val="000000"/>
          <w:sz w:val="20"/>
        </w:rPr>
        <w:t>The Company also provides consulting services to AES whereby Fluence will advise and in some cases provide support to AES on procurement, logistics, design, safety, and commissioning of certain of their projects. Revenue from consulting services is classified as “Revenue from sale of energy storage products and solutions” in the Company’s Disaggregation of revenue table in “Note 4 - Revenue from Contracts with Customers.”</w:t>
      </w:r>
      <w:r>
        <w:rPr>
          <w:color w:val="000000"/>
        </w:rPr>
        <w:t xml:space="preserve"> </w:t>
      </w:r>
      <w:r>
        <w:rPr>
          <w:rFonts w:ascii="Times New Roman;serif" w:hAnsi="Times New Roman;serif"/>
          <w:b w:val="false"/>
          <w:color w:val="000000"/>
          <w:sz w:val="20"/>
        </w:rPr>
        <w:t xml:space="preserve">Revenue from the consulting services is primarily recognized ratably over time based on a project specific period of performance in which we expect the performance obligation to be fulfilled. For the three months ended June 30, 2025 and 2024, the Company recognized $1.6 million and $1.4 million in revenue from consulting services with AES, respectively. For the nine months ended June 30, 2025 and 2024, the Company recognized $7.0 million and $5.3 million in revenue from consulting services with AES, respectively.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contracts with affiliates is included in “Revenue from related parties” on the Company’s condensed consolidated statements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Company purchases materials and supplies from its affiliates and records the costs in “Cost of goods and services” on the Company’s condensed consolidated statements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Administrative and Service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June 30, 2025, the Company has received a limited scope of consulting services from Siemens Advanta, a subsidiary of Siemens AG, and limited treasury services related to executing trades for derivative contracts from The AES Corporation.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costs of consulting services are recorded in “Costs of goods and services” or “General and administrative expenses” depending on the scope or nature of the underlying project. The other administrative service agreements are recorded in “General and administrative expenses” on the Company’s condensed consolidated statement of operations. </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paid performance guarantee fees to its affiliates in exchange for guaranteeing Fluence’s performance obligations under certain contracts with Fluence’s customers, which are based on the affiliates’ weighted-average cost for bank guarantees and their per annum cost with a reasonable markup. These guarantees are provided pursuant to the Amended and Restated Credit Support and Reimbursement Agreement, dated June 9, 2021, with AES and Siemens Industry (the “Credit Support and Reimbursement Agreement”) whereby they may, from time to time, agree to furnish credit support to us in the form of direct issuances of credit support to our lenders or other beneficiaries or through their lenders’ provision of letters of credit to backstop our own facilities or obligations. The guarantee fees are included in “Costs of goods and services” on Fluence’s condensed consolidated statements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17 - Supply Chain Financing” for details of the related party guarantees associated with a supply chain financing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Balance Sheet 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balance sheets included the following balances with related parties for the periods indicated:</w:t>
      </w:r>
    </w:p>
    <w:tbl>
      <w:tblPr>
        <w:tblW w:w="6862" w:type="dxa"/>
        <w:jc w:val="left"/>
        <w:tblInd w:w="0" w:type="dxa"/>
        <w:tblLayout w:type="fixed"/>
        <w:tblCellMar>
          <w:top w:w="28" w:type="dxa"/>
          <w:left w:w="28" w:type="dxa"/>
          <w:bottom w:w="28" w:type="dxa"/>
          <w:right w:w="28" w:type="dxa"/>
        </w:tblCellMar>
      </w:tblPr>
      <w:tblGrid>
        <w:gridCol w:w="1131"/>
        <w:gridCol w:w="992"/>
        <w:gridCol w:w="997"/>
        <w:gridCol w:w="109"/>
        <w:gridCol w:w="109"/>
        <w:gridCol w:w="109"/>
        <w:gridCol w:w="234"/>
        <w:gridCol w:w="919"/>
        <w:gridCol w:w="121"/>
        <w:gridCol w:w="109"/>
        <w:gridCol w:w="109"/>
        <w:gridCol w:w="109"/>
        <w:gridCol w:w="321"/>
        <w:gridCol w:w="1259"/>
        <w:gridCol w:w="234"/>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92,183 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270,340 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receivables from related parties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362,523 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32,074 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18" w:before="0" w:after="283"/>
              <w:jc w:val="right"/>
              <w:rPr>
                <w:color w:val="000000"/>
              </w:rPr>
            </w:pPr>
            <w:r>
              <w:rPr>
                <w:color w:val="000000"/>
              </w:rPr>
              <w:t>— </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23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Receivables, deferred revenue, advances, accounts payables, accruals and provisions, and other current and non-current liabilities with related parties are unsecured and settlement of these balances occurs in cash. No provision has been made related to the receivables from related parties.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Statement of Operations Related Party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related party transactions that are included in the Company’s condensed consolidated statements of operations for the periods indicated: </w:t>
      </w:r>
    </w:p>
    <w:tbl>
      <w:tblPr>
        <w:tblW w:w="9028"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220"/>
        <w:gridCol w:w="753"/>
        <w:gridCol w:w="113"/>
        <w:gridCol w:w="113"/>
        <w:gridCol w:w="113"/>
        <w:gridCol w:w="113"/>
        <w:gridCol w:w="220"/>
        <w:gridCol w:w="862"/>
        <w:gridCol w:w="113"/>
        <w:gridCol w:w="109"/>
        <w:gridCol w:w="109"/>
        <w:gridCol w:w="109"/>
        <w:gridCol w:w="211"/>
        <w:gridCol w:w="826"/>
        <w:gridCol w:w="109"/>
        <w:gridCol w:w="109"/>
        <w:gridCol w:w="109"/>
        <w:gridCol w:w="109"/>
        <w:gridCol w:w="211"/>
        <w:gridCol w:w="82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30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75"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 </w:t>
            </w:r>
            <w:r>
              <w:rPr>
                <w:rFonts w:ascii="Times New Roman;serif" w:hAnsi="Times New Roman;serif"/>
                <w:b w:val="false"/>
                <w:color w:val="000000"/>
                <w:sz w:val="13"/>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and services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(c)</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18" w:before="0" w:after="283"/>
              <w:jc w:val="right"/>
              <w:rPr>
                <w:color w:val="000000"/>
              </w:rPr>
            </w:pPr>
            <w:r>
              <w:rPr>
                <w:color w:val="000000"/>
              </w:rPr>
              <w:t>— </w:t>
            </w:r>
          </w:p>
        </w:tc>
        <w:tc>
          <w:tcPr>
            <w:tcW w:w="1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6"/>
        </w:rPr>
      </w:pPr>
      <w:r>
        <w:rPr>
          <w:rFonts w:ascii="Times New Roman;serif" w:hAnsi="Times New Roman;serif"/>
          <w:b w:val="false"/>
          <w:i/>
          <w:color w:val="000000"/>
          <w:sz w:val="16"/>
        </w:rPr>
        <w:t>(a) Revenue from AES and its affiliates was approximately $35.6 million and $271.3 million for the three and nine months ended June 30, 2025, respectively. Revenue from AES and its affiliates was approximately $155.5 million and $598.8 million for the three and nine months ended June 30, 2024, respectively.</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(b) Represent purchases from related parties that are included in costs of goods and services and are not associated with the revenue listed in the table above.</w:t>
      </w:r>
    </w:p>
    <w:p>
      <w:pPr>
        <w:pStyle w:val="TextBody"/>
        <w:bidi w:val="0"/>
        <w:spacing w:lineRule="auto" w:line="288" w:before="0" w:after="0"/>
        <w:jc w:val="left"/>
        <w:rPr/>
      </w:pPr>
      <w:r>
        <w:rPr>
          <w:rFonts w:ascii="Times New Roman;serif" w:hAnsi="Times New Roman;serif"/>
          <w:b w:val="false"/>
          <w:i/>
          <w:color w:val="000000"/>
          <w:sz w:val="16"/>
        </w:rPr>
        <w:t>(c) Represents impact on other income as a result of a reduction of our Tax Receivable Agreement liability for the three and nine months ended June 30, 2025.</w:t>
      </w:r>
      <w:r>
        <w:rPr>
          <w:color w:val="000000"/>
        </w:rPr>
        <w:t xml:space="preserve"> </w:t>
      </w:r>
      <w:r>
        <w:rPr>
          <w:rFonts w:ascii="Times New Roman;serif" w:hAnsi="Times New Roman;serif"/>
          <w:b w:val="false"/>
          <w:i/>
          <w:color w:val="000000"/>
          <w:sz w:val="16"/>
        </w:rPr>
        <w:t>Represents factoring income from a subsidiary of AES related to receivables sold under the MRPA (as defined below) for the three and nine months ended June 30, 2024. The corresponding cost paid to the purchaser was $1.5 million and is recorded in “Sales and marketing expense” and is not considered a related party transaction. Pursuant to the MRPA, Fluence Energy, LLC may sell certain receivables for any of our customers that choose to participate in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16.    Stock-Based Compensation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Option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2020, the Company established the 2020 Unit Option Plan (the “Option Plan”) under which employees, directors, and consultants, were originally granted non-qualified options to purchase Class A-1 units of Fluence Energy, LLC. As of September 30, 2021, the Company determined that achievement of the performance conditions related to awards granted under the Option Plan was not probable and therefore, no expense was recognized for the non-qualified options during the fiscal year ended September 30, 2021. The completion of the initial public offering on November 1, 2021 (the “IPO”) resulted in achievement of the performance condition for the majority of the underlying awards granted under the Option Plan. In connection with the IPO, the non-qualified options were converted into non-qualified stock options to purchase shares of Class A common stock of Fluence Energy, Inc. Non-qualified stock options under the Option Plan have a contractual term of ten years from the date of grant and an exercise price of $2.45. The Company estimated the fair value of the awards using the Black-Scholes option-pricing model. The outstanding awards will continue to be governed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existing terms under the Option Plan. The Option Plan is accounted for as an equity plan. The Company will not make any further awards under the Option Plan.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2,376,486 stock options under the Option Plan remain outstanding with no unrecognized stock compensation expense.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Phantom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Employees, directors, and consultants were granted compensation under the Company’s Phantom Equity Incentive Plan (the “Phantom Incentive Plan”). As of September 30, 2021, the Company determined that achievement of the performance conditions related to awards granted under the Phantom Incentive Plan was not probable and therefore, no expense was recognized for the phantom units during the fiscal year ended September 30, 2021. The completion of the IPO on November 1, 2021 resulted in achievement of the performance condition for the majority of the underlying awards granted under the Phantom Incentive Plan. At the completion of the IPO, a portion of the awards to the Company’s officers were modified, extending out the vesting period. The Company will not make any further awards under the Phantom Incentive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there are no phantom unit awards outstanding and there is no unrecognized stock compensation expense.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2021 Stock-Based Compensation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year ending September 30, 2021, the Company established the 2021 Incentive Award Plan (the “2021 Incentive Plan”) which reserved 9,500,000 shares of Class A common stock of Fluence Energy, Inc. for issuance to management, other employees, consultants, and board members of the Company. The 2021 Incentive Plan governs both equity-based and cash-based awards, including incentive stock options, NQSOs, restricted stock, PSUs, and RSUs. Employee stock-based awards currently issued pursuant to the 2021 Incentive Plan that are expected to be settled by issuing shares of Class A common stock are recorded as equity awards. The Company accounts for forfeitures as they occur. </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Restricted Stock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RSUs granted under the 2021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 There is no contractual term on the RSUs granted under the 2021 Incentive Plan. The Company estimated the fair value of the awards using the market value of our Class A common stock on the grant date. The market value of our Class A common stock is calculated using the closing price of our Class A common stock on the date of grant. The following table summarizes activity under the 2021 Incentive Plan for the nine months ended June 30, 2025: </w:t>
      </w:r>
    </w:p>
    <w:tbl>
      <w:tblPr>
        <w:tblW w:w="4813" w:type="dxa"/>
        <w:jc w:val="center"/>
        <w:tblInd w:w="0" w:type="dxa"/>
        <w:tblLayout w:type="fixed"/>
        <w:tblCellMar>
          <w:top w:w="28" w:type="dxa"/>
          <w:left w:w="28" w:type="dxa"/>
          <w:bottom w:w="28" w:type="dxa"/>
          <w:right w:w="28" w:type="dxa"/>
        </w:tblCellMar>
      </w:tblPr>
      <w:tblGrid>
        <w:gridCol w:w="1049"/>
        <w:gridCol w:w="920"/>
        <w:gridCol w:w="925"/>
        <w:gridCol w:w="109"/>
        <w:gridCol w:w="109"/>
        <w:gridCol w:w="109"/>
        <w:gridCol w:w="488"/>
        <w:gridCol w:w="488"/>
        <w:gridCol w:w="616"/>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RSUs</w:t>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October 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1,759,857 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1,814,896 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(746,481)</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(232,920)</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2,595,352 </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2,595,352 RSUs previously issued remained outstanding with unrecognized stock compensation expense of $22.2 million.    </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Non-Qualified Stock Options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June 30, 2025, the Company granted 310,422 non-qualified stock options to purchase Class A common stock under the 2021 Incentive Plan with a weighted average exercise price of $16.07. Non-qualified stock options under the 2021 Incentive Plan have a contractual term of ten years from the date of grant. The Company estimated the fair value of the awards using the Black-Scholes option-pricing model. The non-qualified stock options granted under the 2021 Incentive Plan vest ratably at one-third annually on the anniversary of the grant date over a three-year period pursuant to the terms of their applicable award agreements. The Company generally expenses the grant date fair value of the awards on a straight-line basis over each of the three separately vesting tranches within a given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472,381 non-qualified stock options previously issued pursuant to the 2021 Incentive Plan remained outstanding with unrecognized stock compensation expense of $2.4 million.</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Performance Share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June 30, 2025, the Company granted 684,118 PSUs redeemable for Class A common stock under the 2021 Incentive Plan. The Company has issued two rounds of PSU grants under the 2021 Incentive Plan, the first commencing at the start of fiscal year 2024 and the second commencing at the start of fiscal year 2025. The PSUs for the 2024-2026 performance cycle and the 2025-2027 performance cycle are both earned based on (i) the achievement of two financial performance metrics: cumulative Adjusted EBITDA (65% weight) and cumulative revenue (35% weight), over a two-year performance period beginning October 1st in the year of grant through September 30th in the second year after grant, and (ii) service-based vesting based on continued employment from the date of grant through September 30th in the third year after grant. The performance targets for cumulative revenue and cumulative Adjusted EBITDA are set by the Compensation and Human Resources Committee of the Company’s Board of Directors. PSUs are considered fully vested when both the performance and service based requirements are met in accordance with the vesting requirements and will be settled in Class A common stock no more than 60 days after the end of the third fiscal year. The awards can be paid out in a range of 50% to 200%, with 0% paid out for below-threshold performance, based on the achievement of the performance criteria and upon continued service through the performance period. The Company estimated the fair value of the awards using the market value of our Class A common stock. The market value is calculated using the closing price of our Class A common stock on the date of grant. The Company monitors the achievement of the performance criteria and expenses ratably the grant date fair value of the awards probable to vest over the requisite service period. If there are changes to the amount of probable awards to vest based on achievement of performance criteria, the related stock-based compensation expense may be significantly increased or reduced in the period that our estimate changes.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986,767 PSUs previously issued remained outstanding with estimated unrecognized stock compensation expense of $0.0 million.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Nispera AG in 2022, Fluence issued 531,202 shares of restricted stock to Nispera’s management team. The estimated post combination expense to the Company as a result of the business combination was approximately $6.9 million which is being recognized on a straight-line basis over the remaining service period that was stipulated in each holder’s original restricted stock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no restricted stock awards previously issued remained outstanding with and there is no unrecognized stock compensation expense.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60" w:after="283"/>
        <w:ind w:left="0" w:right="0" w:firstLine="360"/>
        <w:jc w:val="left"/>
        <w:rPr/>
      </w:pPr>
      <w:r>
        <w:rPr>
          <w:rFonts w:ascii="Times New Roman;serif" w:hAnsi="Times New Roman;serif"/>
          <w:b w:val="false"/>
          <w:color w:val="000000"/>
          <w:sz w:val="20"/>
        </w:rPr>
        <w:t>Stock-based compensation expense was recorded as follows:</w:t>
      </w:r>
      <w:r>
        <w:rPr>
          <w:color w:val="000000"/>
        </w:rPr>
        <w:t xml:space="preserve"> </w:t>
      </w:r>
    </w:p>
    <w:tbl>
      <w:tblPr>
        <w:tblW w:w="7807"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219"/>
        <w:gridCol w:w="640"/>
        <w:gridCol w:w="113"/>
        <w:gridCol w:w="113"/>
        <w:gridCol w:w="113"/>
        <w:gridCol w:w="113"/>
        <w:gridCol w:w="219"/>
        <w:gridCol w:w="640"/>
        <w:gridCol w:w="113"/>
        <w:gridCol w:w="113"/>
        <w:gridCol w:w="113"/>
        <w:gridCol w:w="113"/>
        <w:gridCol w:w="219"/>
        <w:gridCol w:w="749"/>
        <w:gridCol w:w="113"/>
        <w:gridCol w:w="113"/>
        <w:gridCol w:w="113"/>
        <w:gridCol w:w="113"/>
        <w:gridCol w:w="219"/>
        <w:gridCol w:w="749"/>
        <w:gridCol w:w="160"/>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In thousands </w:t>
            </w:r>
            <w:r>
              <w:rPr>
                <w:rFonts w:ascii="Times New Roman;serif" w:hAnsi="Times New Roman;serif"/>
                <w:b w:val="false"/>
                <w:i/>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5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23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180"/>
        <w:jc w:val="both"/>
        <w:rPr>
          <w:rFonts w:ascii="Times New Roman;serif" w:hAnsi="Times New Roman;serif"/>
          <w:b w:val="false"/>
          <w:i/>
          <w:color w:val="000000"/>
          <w:sz w:val="16"/>
        </w:rPr>
      </w:pPr>
      <w:r>
        <w:rPr>
          <w:rFonts w:ascii="Times New Roman;serif" w:hAnsi="Times New Roman;serif"/>
          <w:b w:val="false"/>
          <w:i/>
          <w:color w:val="000000"/>
          <w:sz w:val="16"/>
        </w:rPr>
        <w:t>(a) Includes incentive awards that will be settled in shares and incentive awards that will be settled in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17.    Supply Chain Financing</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Company provides certain of our suppliers with access to a supply chain financing program through a certain third-party financing institution (the “SCF Bank”). This program allows the Company to seek extended payment terms up to 120 days with our suppliers and allows our suppliers to monetize their receivables prior to the payment due date, subject to a discount. The Company does not pledge any assets as collateral under this program. Once a supplier elects to participate in this program and reaches an agreement with SCF Bank, the supplier chooses which individual invoices to sell to the SCF Bank. The Company then pays SCF Bank on the applicable due date. The Company has no economic interest in a supplier’s decision to sell an underlying receivable to SCF Bank. The agreements between our suppliers and SCF Bank are solely at their discretion and are negotiated directly between those two parties. Our suppliers’ ability to continue using such agreements is primarily dependent upon the strength of our financial condition and guarantees issued by AES and Siemens Corporation, a subsidiary of Siemens, pursuant to the terms of the Credit Support and Reimbursement Agreement. As of June 30, 2025, AES and Siemens Corporation issued guarantees of $50 million each, for a total of $100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to SCF Bank on our behalf. The Company’s outstanding obligations confirmed as valid under this existing supplier financing program for periods ended June 30, 2025 and September 30, 2024, are as follows:</w:t>
      </w:r>
    </w:p>
    <w:tbl>
      <w:tblPr>
        <w:tblW w:w="7974" w:type="dxa"/>
        <w:jc w:val="left"/>
        <w:tblInd w:w="0" w:type="dxa"/>
        <w:tblLayout w:type="fixed"/>
        <w:tblCellMar>
          <w:top w:w="28" w:type="dxa"/>
          <w:left w:w="28" w:type="dxa"/>
          <w:bottom w:w="28" w:type="dxa"/>
          <w:right w:w="28" w:type="dxa"/>
        </w:tblCellMar>
      </w:tblPr>
      <w:tblGrid>
        <w:gridCol w:w="1652"/>
        <w:gridCol w:w="1450"/>
        <w:gridCol w:w="1457"/>
        <w:gridCol w:w="258"/>
        <w:gridCol w:w="883"/>
        <w:gridCol w:w="133"/>
        <w:gridCol w:w="109"/>
        <w:gridCol w:w="109"/>
        <w:gridCol w:w="109"/>
        <w:gridCol w:w="352"/>
        <w:gridCol w:w="1205"/>
        <w:gridCol w:w="257"/>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4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outstanding at the beginning of the period</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issued during the period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243,655 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paid during the period</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(144,605)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(192,367)</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outstanding at the end of the period</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color w:val="000000"/>
              </w:rPr>
            </w:pP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81,289 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June 30, 2025, two suppliers were actively participating in this supply chain financing program. All outstanding payments owed under the program are recorded within “Accounts payable” on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18.    Derivatives and Hedging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of the Company’s foreign operations expose the Company to fluctuations of foreign exchange rates. These fluctuations may impact the value of the Company’s cash receipts and payments in terms of the functional currency of the transacting party. The Company’s primary exposure results from the foreign currency impact of intercompany sales of inventory to regional entities by the Company’s centralized procurement legal entity. These intercompany sales are denominated in the functional currency of the regional entities, primarily the Euro, the British Pound, and the Australian dollar, while the functional currency of the centralized procurement legal entity is the U.S. dollar. This introduces foreign exchange risk on the revenues recorded for such intercompany sales. The Company enters into foreign currency forward contracts to manage its exposure to fluctuations in foreign exchange rates. These contracts are entered into with large, reputable financial institutions that are monitored for counterparty credit risks.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For the Company’s foreign currency forward contracts that are designated and qualify as cash flow hedges, the gains or losses on the effective portion of such hedges are recorded in accumulated other comprehensive income and subsequently reclassified in the period during which the hedged transaction affects earnings within revenue in the consolidated statements of operations (i.e., when control of the inventory is passed to third-party customers and revenue is recognized). The change in fair value of the components excluded from the assessment of effectiveness, including changes in the spot-forward differential and counterparty non-performance risk, will also be recognized within revenue in the consolidated statements of operations</w:t>
      </w:r>
      <w:r>
        <w:rPr>
          <w:rFonts w:ascii="Arial;sans-serif" w:hAnsi="Arial;sans-serif"/>
          <w:b w:val="false"/>
          <w:color w:val="000000"/>
          <w:sz w:val="24"/>
        </w:rPr>
        <w: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currently also has foreign currency forward contracts that are not designated as hedges and the changes in fair value of such derivatives are recognized in current period earnings. As of June 30, 2025, the impact on our condensed consolidated financial statements was not significant.</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cash flow hedges as well as their classification on the condensed consolidated balance sheets as of June 30, 2025 and September 30, 2024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25"/>
        <w:gridCol w:w="461"/>
        <w:gridCol w:w="463"/>
        <w:gridCol w:w="109"/>
        <w:gridCol w:w="109"/>
        <w:gridCol w:w="109"/>
        <w:gridCol w:w="226"/>
        <w:gridCol w:w="774"/>
        <w:gridCol w:w="116"/>
        <w:gridCol w:w="109"/>
        <w:gridCol w:w="109"/>
        <w:gridCol w:w="109"/>
        <w:gridCol w:w="286"/>
        <w:gridCol w:w="550"/>
        <w:gridCol w:w="147"/>
        <w:gridCol w:w="109"/>
        <w:gridCol w:w="109"/>
        <w:gridCol w:w="109"/>
        <w:gridCol w:w="277"/>
        <w:gridCol w:w="810"/>
        <w:gridCol w:w="144"/>
        <w:gridCol w:w="109"/>
        <w:gridCol w:w="109"/>
        <w:gridCol w:w="109"/>
        <w:gridCol w:w="220"/>
        <w:gridCol w:w="862"/>
        <w:gridCol w:w="113"/>
        <w:gridCol w:w="109"/>
        <w:gridCol w:w="109"/>
        <w:gridCol w:w="109"/>
        <w:gridCol w:w="286"/>
        <w:gridCol w:w="550"/>
        <w:gridCol w:w="147"/>
        <w:gridCol w:w="109"/>
        <w:gridCol w:w="109"/>
        <w:gridCol w:w="109"/>
        <w:gridCol w:w="274"/>
        <w:gridCol w:w="801"/>
        <w:gridCol w:w="211"/>
      </w:tblGrid>
      <w:tr>
        <w:trPr/>
        <w:tc>
          <w:tcPr>
            <w:tcW w:w="5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14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Current Liabilities</w:t>
            </w:r>
          </w:p>
        </w:tc>
      </w:tr>
      <w:tr>
        <w:trPr/>
        <w:tc>
          <w:tcPr>
            <w:tcW w:w="1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106,650 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gains or (losses) resulting from changes in fair value of the Company’s cash flow hedges recognized in accumulated other comprehensive income (loss) for the three and nine months ended June 30, 2025 and 2024 are as follows:</w:t>
      </w:r>
    </w:p>
    <w:tbl>
      <w:tblPr>
        <w:tblW w:w="9613" w:type="dxa"/>
        <w:jc w:val="left"/>
        <w:tblInd w:w="0" w:type="dxa"/>
        <w:tblLayout w:type="fixed"/>
        <w:tblCellMar>
          <w:top w:w="28" w:type="dxa"/>
          <w:left w:w="28" w:type="dxa"/>
          <w:bottom w:w="28" w:type="dxa"/>
          <w:right w:w="28" w:type="dxa"/>
        </w:tblCellMar>
      </w:tblPr>
      <w:tblGrid>
        <w:gridCol w:w="1375"/>
        <w:gridCol w:w="1206"/>
        <w:gridCol w:w="1213"/>
        <w:gridCol w:w="109"/>
        <w:gridCol w:w="109"/>
        <w:gridCol w:w="109"/>
        <w:gridCol w:w="235"/>
        <w:gridCol w:w="772"/>
        <w:gridCol w:w="121"/>
        <w:gridCol w:w="121"/>
        <w:gridCol w:w="121"/>
        <w:gridCol w:w="121"/>
        <w:gridCol w:w="235"/>
        <w:gridCol w:w="772"/>
        <w:gridCol w:w="121"/>
        <w:gridCol w:w="109"/>
        <w:gridCol w:w="109"/>
        <w:gridCol w:w="109"/>
        <w:gridCol w:w="232"/>
        <w:gridCol w:w="677"/>
        <w:gridCol w:w="119"/>
        <w:gridCol w:w="119"/>
        <w:gridCol w:w="119"/>
        <w:gridCol w:w="119"/>
        <w:gridCol w:w="232"/>
        <w:gridCol w:w="760"/>
        <w:gridCol w:w="169"/>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7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37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(1,883)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recognized within “Revenue” in the condensed consolidated statements of operations with respect to the Company’s cash flow hedges for the three and nine months ended June 30, 2025 and 2024 are as follows:</w:t>
      </w:r>
    </w:p>
    <w:tbl>
      <w:tblPr>
        <w:tblW w:w="8760" w:type="dxa"/>
        <w:jc w:val="left"/>
        <w:tblInd w:w="0" w:type="dxa"/>
        <w:tblLayout w:type="fixed"/>
        <w:tblCellMar>
          <w:top w:w="28" w:type="dxa"/>
          <w:left w:w="28" w:type="dxa"/>
          <w:bottom w:w="28" w:type="dxa"/>
          <w:right w:w="28" w:type="dxa"/>
        </w:tblCellMar>
      </w:tblPr>
      <w:tblGrid>
        <w:gridCol w:w="1065"/>
        <w:gridCol w:w="935"/>
        <w:gridCol w:w="940"/>
        <w:gridCol w:w="109"/>
        <w:gridCol w:w="109"/>
        <w:gridCol w:w="109"/>
        <w:gridCol w:w="274"/>
        <w:gridCol w:w="898"/>
        <w:gridCol w:w="141"/>
        <w:gridCol w:w="141"/>
        <w:gridCol w:w="141"/>
        <w:gridCol w:w="141"/>
        <w:gridCol w:w="274"/>
        <w:gridCol w:w="469"/>
        <w:gridCol w:w="141"/>
        <w:gridCol w:w="109"/>
        <w:gridCol w:w="109"/>
        <w:gridCol w:w="109"/>
        <w:gridCol w:w="257"/>
        <w:gridCol w:w="750"/>
        <w:gridCol w:w="132"/>
        <w:gridCol w:w="132"/>
        <w:gridCol w:w="132"/>
        <w:gridCol w:w="132"/>
        <w:gridCol w:w="257"/>
        <w:gridCol w:w="567"/>
        <w:gridCol w:w="187"/>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94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294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changes in the cumulative impact of the gain (loss) on derivatives designated for hedge accounting for the nine months ended June 30, 2025:</w:t>
      </w:r>
    </w:p>
    <w:tbl>
      <w:tblPr>
        <w:tblW w:w="8861" w:type="dxa"/>
        <w:jc w:val="left"/>
        <w:tblInd w:w="0" w:type="dxa"/>
        <w:tblLayout w:type="fixed"/>
        <w:tblCellMar>
          <w:top w:w="28" w:type="dxa"/>
          <w:left w:w="28" w:type="dxa"/>
          <w:bottom w:w="28" w:type="dxa"/>
          <w:right w:w="28" w:type="dxa"/>
        </w:tblCellMar>
      </w:tblPr>
      <w:tblGrid>
        <w:gridCol w:w="2612"/>
        <w:gridCol w:w="2296"/>
        <w:gridCol w:w="2307"/>
        <w:gridCol w:w="109"/>
        <w:gridCol w:w="109"/>
        <w:gridCol w:w="109"/>
        <w:gridCol w:w="263"/>
        <w:gridCol w:w="864"/>
        <w:gridCol w:w="192"/>
      </w:tblGrid>
      <w:tr>
        <w:trPr/>
        <w:tc>
          <w:tcPr>
            <w:tcW w:w="2612"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7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as of September 30,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(6,276)</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recognized in 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reclassified from accumulated other comprehensive income (loss) into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as of June 30, 2025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18" w:before="0" w:after="283"/>
              <w:jc w:val="right"/>
              <w:rPr>
                <w:rFonts w:ascii="Times New Roman;serif" w:hAnsi="Times New Roman;serif"/>
                <w:b w:val="false"/>
                <w:color w:val="000000"/>
                <w:sz w:val="20"/>
              </w:rPr>
            </w:pPr>
            <w:r>
              <w:rPr>
                <w:rFonts w:ascii="Times New Roman;serif" w:hAnsi="Times New Roman;serif"/>
                <w:b w:val="false"/>
                <w:color w:val="000000"/>
                <w:sz w:val="20"/>
              </w:rPr>
              <w:t>(3,989)</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19. Sale of Receivables under Master Receivables Purchase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2024, Fluence Energy, LLC entered into a Master Receivables Purchase Agreement (“MRPA”), by and among Fluence Energy, LLC and any other seller from time to time party thereto, as sellers and servicers, and Credit Agricole Corporate and Investment Bank ("CACIB"), as purchaser.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MRPA, Fluence Energy, LLC may sell certain receivables (the “Purchased Receivables”) to CACIB from time to time, and CACIB may agree to purchase the Purchased Receivables in each case, on an uncommitted basis. The MRPA provides that the outstanding amount of all Purchased Receivables under the MRPA will not exceed $75.0 million, with sublimits for each account debtor and for certain kinds of receivables. The MRPA may be terminated by either party at any time by 30 days’ prior written notice. Fluence Energy, LLC has granted CACIB a security interest in the Purchased Receivables, and proceeds thereof, as more fully described in the MRPA, in order to perfect CACIB’s ownership interest in the Purchased Receivables and secure the payment and performance of all obligations of Fluence Energy, LLC to CACIB under the MRPA. The MRPA contains other customary representations and warranties and covenants.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receivables are sold under the MRPA, they are sold without recourse, and the Company’s continuing involvement is limited to their servicing, for which the Company receives a fee commensurate with the service provided and therefore no servicing asset or liability related to these receivables was recognized for any period presented. The fair value of the sold receivables approximated their book value due to their short-term nature.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June 30, 2024, the Company sold receivables to CACIB under the MRPA for net proceeds of $71.5 million. At the date of the true sale, the receivables were de-recognized in their entirety from the condensed consolidated balance sheet. We charged a fee to our customer, primarily for providing extended payment terms, in relation to the sale of receivables. We recorded factoring income of $1.5 million and related factoring discount of $1.5 million during the period. The factoring income is recorded in “Other expense (income), net” and the factoring discount is recorded in “Sales and marketing expense” on the condensed consolidated statements of operations. Proceeds from the sold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val="false"/>
          <w:color w:val="000000"/>
          <w:sz w:val="20"/>
        </w:rPr>
        <w:t>receivables are reflected in operating cash flows on the condensed consolidated statements of cash flows. The</w:t>
      </w:r>
      <w:r>
        <w:rPr>
          <w:rFonts w:ascii="Times New Roman;serif" w:hAnsi="Times New Roman;serif"/>
          <w:b w:val="false"/>
          <w:color w:val="000000"/>
          <w:sz w:val="20"/>
          <w:shd w:fill="FFFFFF" w:val="clear"/>
        </w:rPr>
        <w:t xml:space="preserve">re were no transactions for the nine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180"/>
        <w:jc w:val="both"/>
        <w:rPr>
          <w:rFonts w:ascii="Times New Roman;serif" w:hAnsi="Times New Roman;serif"/>
          <w:b/>
          <w:color w:val="000000"/>
          <w:sz w:val="20"/>
        </w:rPr>
      </w:pPr>
      <w:r>
        <w:rPr>
          <w:rFonts w:ascii="Times New Roman;serif" w:hAnsi="Times New Roman;serif"/>
          <w:b/>
          <w:color w:val="000000"/>
          <w:sz w:val="20"/>
        </w:rPr>
        <w:t>20. Subsequent Events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entered into a new $150.0 million supply chain financing arrangement (the “New SCF Facility”) with a third-party financial institution (the “New SCF Bank”) on August 8, 2025. This New SCF Facility allows the Company to seek extended payment terms with our suppliers and allows our suppliers to monetize their receivables prior to the payment due date, subject to a discount. Such sales are at the sole discretion of the supplier, and on terms and conditions that are negotiated between the supplier and the New SCF Bank. The Company is not a party to the arrangement between its suppliers and the New SCF Bank and the Company has no economic interest in a supplier’s decision to sell an underlying receivable to the New SCF Bank. The Company does not provide secured legal assets or other forms of guarantees under this arrangement, nor do any of the Company’s affiliates. Under the New SCF Facility, we are required to maintain a liquidity ratio of 2:1 as of the last day of each calendar month. Liquidity ratio is defined as the ratio of (i) liquidity to (ii) the sum of (x) the aggregate outstanding notional amount of all receivables, bills of exchange or similar negotiable instruments purchased by the original SCF Bank under the existing supply chain financing arrangement described in “Note 17 - Supply Chain Financing” and (y) the aggregate outstanding notional amount of payables outstanding under this New SCF Facility. Liquidity under the New SCF Facility includes the Company’s cash and cash equivalents and aggregate availability under the Company’s committed credit facilities, including the 2024 Revolver. At June 30, 2025, the Company's had no outstanding payment obligations to the New SCF Bank related to this New SCF Facility. </w:t>
      </w:r>
    </w:p>
    <w:p>
      <w:pPr>
        <w:pStyle w:val="TextBody"/>
        <w:bidi w:val="0"/>
        <w:spacing w:before="160" w:after="283"/>
        <w:jc w:val="both"/>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analysis provides information that management believes is relevant to an assessment and understanding of the consolidated financial condition and results of operations of Fluence and should be read in conjunction with the accompanying unaudited consolidated financial statements and related notes thereto included in this Quarterly Report on Form 10-Q for the period ended June 30, 2025 (this “Report”) and in conjunction with our audited consolidated financial statements and related notes included in our Annual Report on Form 10-K for the fiscal year ended September 30, 2024, filed with the U.S. Securities and Exchange Commission (the “SEC”) on November 29, 2024 (the “2024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discussed in Part I, Item 1A. “Risk Factors” of the 2024 Annual Report and Part II, Item 1A. “Risk Factors” and the section titled “Cautionary Statement Regarding Forward-Looking Information” included elsewhere in this Report. Additionally, our historical results are not necessarily indicative of the results that may be expected for any period in the future. We use words such as “anticipate,” “believe,” “continue,” “could,” “estimate,” “expect,” “intend,” “may,” “plan,” “predict,” “project,” “potential,” “seek,” “should,” “will,” “would,” “commit,” “target,” “contemplate,” and similar expressions to identify forward-looking statements.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Fluence Energy, Inc. is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 Except where the context clearly indicates otherwise, “Fluence,” “we,” “us,” “our,” or the “Company” refers to Fluence Energy, Inc. and its wholly owned subsidiaries.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pStyle w:val="TextBody"/>
        <w:bidi w:val="0"/>
        <w:spacing w:lineRule="auto" w:line="26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fiscal year begins on October 1 and ends on September 30. References to “fiscal year 2022,” “fiscal year 2023,” “fiscal year 2024,” and “fiscal year 2025” refer to the twelve months ended September 30, 2022, September 30, 2023, September 30, 2024 and ending September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Key Factors, Trends, and Uncertainties Affecting our Performance</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believe that our performance and future success depend on several factors that present significant opportunities for us but also pose risks and challenges, including those discussed below and in Part I, Item 1A. “Risk Factors” within our 2024 Annual Report and Part II, Item 1A. “Risk Factors” in this Report.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Industry Outlook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utility-scale battery storage industry as a whole is witnessing unprecedented growth, fueled by global transitions toward renewable energy, heightened focus on grid resilience, and supportive regulatory frameworks. Deployment of renewable energy resources has accelerated over the last decade. Industry-wide, the push for decarbonization is creating increasing demand for grid-scale energy storage, which is critical to enabling the integration of variable renewable energy sources, reducing the intermittency and volatility of renewable energy generation, and meeting ambitious net-zero targets. BloombergNEF estimated in its 1H 2025 Energy Storage Market Outlook published on April 30, 2025 that the global utility scale market, excluding China, will add approximately 2,660 GWh between 2024 and 2035.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growth is directly tied to the continued adoption of energy storage solutions by our customers. One factor that impacts this continued adoption of energy storage solutions is the cost of lithium-ion energy storage hardware. The cost of lithium-ion energy storage hardware has declined significantly in the aggregate in the last decade and has resulted in a large addressable market today. In fiscal year 2022, we saw prices for lithium-ion battery packs increase from prior years, though prices returned to their historical trend of declining year-over-year in fiscal years 2023 and 2024. The market for energy storage continues to rapidly evolve and while we believe lithium-ion battery pack costs will continue to decline over the long term, there is no guarantee that they will decline or decline at the rates we expect. If costs do not continue to decline long term and instead remain steady or increase, as seen in fiscal year 2022, this could adversely affect our ability to increase our revenue, our order intake, and grow our business. Moreover, as discussed below, to the extent our imports of lithium-ion batteries are significantly impacted by tariffs or trade policy or other legislation or regulation, this could have an adverse impact on our business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erif" w:hAnsi="Times New Roman;serif"/>
          <w:b w:val="false"/>
          <w:color w:val="000000"/>
          <w:sz w:val="20"/>
        </w:rPr>
        <w:t>Our growth strategy includes leveraging our global scale, technology leadership, product development, and market share position to help transform the way we power our world for a more sustainable future. Overall, we believe Fluence is well-positioned to continue to capitalize on the utility-scale battery storage market as we continue to deliver solutions that address the complex needs of a transforming energy landscape. We have and intend in the future to further develop and innovate to provide energy storage solutions and digital software offerings that aim to solve our customers’ energy challenges and expand our services with additional value-add offerings. We are also focused on expanding our business with standardized offerings that are optimized for each of our sales channels and continuing to move towards a more localized, regional organizational structure to better support customers and sales channels, improve logistics, and enhance market focus. For instance, the Company continues to ramp up use of domestic manufacturing facilities in Arizona, Texas, Tennessee, and Utah, as well as our domestic inverter supplier in South Carolina for our customers and projects in the United States. However, there is no guarantee that the deployment of renewable energy will occur as we expect or at the rate estimated by BloombergNEF or that such renewable energy will rely on lithium-ion battery technology for</w:t>
      </w:r>
      <w:r>
        <w:rPr>
          <w:color w:val="000000"/>
          <w:shd w:fill="FFFFFF" w:val="clear"/>
        </w:rPr>
        <w:t xml:space="preserve"> </w:t>
      </w:r>
      <w:r>
        <w:rPr>
          <w:rFonts w:ascii="Times New Roman;serif" w:hAnsi="Times New Roman;serif"/>
          <w:b w:val="false"/>
          <w:color w:val="000000"/>
          <w:sz w:val="20"/>
          <w:shd w:fill="FFFFFF" w:val="clear"/>
        </w:rPr>
        <w:t>energy storage. Economic uncertainties, supply chain disruptions, geo-political conflicts, government regulations and incentives, trade environment, including tariff policy, and other factors could result in fluctuations in demand for and deployment of renewable energy resources and may materially increase inventory costs and costs of goods and services, adversely affecting our revenue, growth, and ability to generate profits in the future. See Part I, Item 1A. “Risk Factors” in our 2024 Annual Report and Part II, Item 1A. “Risk Factors” in this Report for further discussion on these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Market Trends and Uncertainties</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Current economic conditions affecting our industry and the global markets more generally, including ambiguity around interest rates, softening labor markets, fluctuations in currency exchange rates, and recent government and policy changes implemented in the United States, the enactment of the IRA and OBBBA (both as defined below) and rapid changes in announced tariff policy, have created uncertainty in the global economy, a level of volatility in the capital markets and recessionary pressures, which have had, and which may in the future have, adverse impacts on our business and our results of operations. If a downturn in our industry or a prolonged economic downturn or recession develops from market uncertainty, it could also result in further adverse impacts to our business and results of operations in the future. We will continue to evaluate the evolving economic environment to take action to mitigate the impact on our business, consolidated results of operations, and financial condition. </w:t>
      </w:r>
      <w:r>
        <w:rPr>
          <w:rFonts w:ascii="Times New Roman;serif" w:hAnsi="Times New Roman;serif"/>
          <w:b w:val="false"/>
          <w:color w:val="000000"/>
          <w:sz w:val="20"/>
        </w:rPr>
        <w:t>See Part I, Item 1A. “Risk Factors” in our 2024 Annual Report for further discussion on risks relating to macroeconomic uncertainty and market conditions and Part II, Item 1A. “Risk Factors” in this Report for further discussion on risks related to changes in the trade environment and related impact on general economic uncertainty.</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Increased Electricity Demand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According to a publication from the Office of Policy of the U.S. Department of Energy in August 2024, electricity demand is forecasted to grow substantially in the United States over the next decade. We are seeing similar trends of increasing electricity demand in other countries, including those in which we operate. We believe that such increase in electricity demand is helping to, and will continue to help to, increase demand for energy storage solutions globally, including for our energy storage solutions. Electricity demand, and in turn related energy storage demand, is being driven and we believe will continue to be driven, primarily by new data centers, artificial intelligence, new manufacturing facilities, and sector-wide electrification.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Government Regulation and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erif" w:hAnsi="Times New Roman;serif"/>
          <w:b w:val="false"/>
          <w:color w:val="000000"/>
          <w:sz w:val="20"/>
        </w:rPr>
        <w:t>Adoption of energy storage solutions, services, and digital application offerings by our customers is also dependent on applicable government regulation, legislation, and policies. Governments across the globe have announced, implemented, and continue to consider implementation of various policies, regulation, and legislation to support the transition from fossil fuels to low-carbon forms of energy, including through the development and deployment of energy storage. For example, in August 2022, the United States passed the Inflation Reduction Act of 2022 (the “IRA”), which included incentives that supported the adoption of energy storage solutions, including a new “technology neutral” Section 48E investment tax credit (the “ITC”) and Section 45Y production tax credit (the “PTC”), changes to the previous Section 48 non-“technology neutral” investment tax credit and Section 45 production tax credit, and a new Section 45X advanced manufacturing production tax credit (the “AMPC”). On July 4, 2025, the One Big Beautiful Bill Act (the “OBBBA”) was signed into law, which significantly modified certain provisions of the IRA, including those related to energy storage. The OBBBA supports energy storage in the United States, as the bill includes long-term continued availability of the ITC for energy storage projects and the AMPC for cells, modules, and inverters in energy storage systems. Certain tax credits, notably including the ITC for storage, will begin to phase down for projects beginning construction after 2033. The prevailing wage and apprenticeship requirements enacted under the IRA continue to apply under the OBBBA in order for the project owner to receive the full ITC value, and the credit value can be further increased if the project owner also qualifies for a domestic</w:t>
      </w:r>
      <w:r>
        <w:rPr>
          <w:color w:val="000000"/>
          <w:shd w:fill="FFFFFF" w:val="clear"/>
        </w:rPr>
        <w:t xml:space="preserve"> </w:t>
      </w:r>
      <w:r>
        <w:rPr>
          <w:rFonts w:ascii="Times New Roman;serif" w:hAnsi="Times New Roman;serif"/>
          <w:b w:val="false"/>
          <w:color w:val="000000"/>
          <w:sz w:val="20"/>
          <w:shd w:fill="FFFFFF" w:val="clear"/>
        </w:rPr>
        <w:t>content bonus credit and energy communities bonus credit. The OBBBA amended the provisions of the domestic content bonus credit for the ITC such that the project owner now must achieve higher minimum domestic content thresholds. In addition, the OBBBA amended the ITC and AMPC such that there are new foreign entity of concern (“FEOC”) requirements to qualify for such tax credits and are intended to deny tax credits to projects that are owned or controlled by certain foreign entities, including Chinese entities, or that source components from or make payments to such entities.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new FEOC restrictions apply to virtually all key tax credits under the IRA and come in two forms: (i) in tax years beginning after July 4, 2025, the taxpayer taking the tax credit may not be a prohibited foreign entity (“PFE”) or under “effective control” by a PFE and (ii) for ITC projects that begin construction after 2025 and AMPC eligible components that are sold in tax years beginning after July 4, 2025, the project must source a certain percentage of material (which increases over time) from non-PFEs (which is otherwise known as the material assistance component). On July 7, President Trump issued an executive order titled “Ending Market-Distorting Subsidies for Unreliable, Foreign Controlled Energy Sources,” which, among other things, tasked the U.S. Department of Treasury with promptly implementing the enhanced FEOC restrictions established by the OBBBA to ensure FEOC ownership/control and material assistance restrictions are implemented within the compliance timeframe. In preparation for the potential application of FEOC restrictions being applied to the energy storage tax credits arising out of the IRA, we developed a compliance strategy intended to address and mitigate risks relating thereto. We believe that under the current language of the OBBBA, which is subject to final rules and further guidance, certain of our US domestic suppliers may be impacted by these new FEOC restrictions. We are actively implementing our risk mitigation strategy with our U.S. suppliers utilizing the AMPC and working with such suppliers to achieve compliance with the OBBBA conditions for the AMPC, including the FEOC restrictions, by the applicable compliance deadlines set forth in the OBBBA. See Part II, Item 1A. “Risk Factors” in this Report for further discussion on risks related to regulatory policy on the Company and its operations, including the IRA and OBBBA.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we are well positioned to benefit from both the ITC provisions (including the revised domestic content bonus credit thresholds) and the AMPC, via our battery module manufacturing at our U.S. contract manufacturing facility, our supply agreement for U.S. manufactured battery cells, our supply agreement for U.S. manufactured inverters, and our complete U.S. supply chain of modules, cells, inverters, battery pack, enclosures, and thermal management systems.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Government policies, regulations, legislation, and programs are instrumental in stimulating adoption of energy storage solutions across different markets through a variety of methods, including by providing financial support and incentives, facilitating grid integration, supporting research and development, and establishing favorable regulatory regimes. To the extent that any existing government incentives are modified, reduced, eliminated, or are permitted to expire or there is the potential of such modifications, reductions, eliminations or expirations, or there is determination of inapplicability of such government incentives or regulations relating to or mandating or encouraging use of renewable energy and/or energy storage, there have been and there may in future be adverse effects on customer demand and our business. Refer to the “Government Regulation and Compliance” section in our 2024 Annual Report and Part II, Item 1A. “Risk Factors” in this Report for further details on the IRA, the OBBBA, and other significant government regulations affecting our business and specific discussion of risks to our business from the modification, reduction, elimination, and expiration of government incentives and regulations or potential of such modification, reduction, elimination, and expiration of governmental incentives and regulations relating to or mandating or encouraging use of renewable energy and/or energy storage.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450"/>
        <w:jc w:val="both"/>
        <w:rPr/>
      </w:pPr>
      <w:r>
        <w:rPr>
          <w:rFonts w:ascii="Times New Roman;serif" w:hAnsi="Times New Roman;serif"/>
          <w:b w:val="false"/>
          <w:color w:val="000000"/>
          <w:sz w:val="20"/>
          <w:shd w:fill="FFFFFF" w:val="clear"/>
        </w:rPr>
        <w:t>In May 2024, the Biden administration announced a significant shift in the tariff framework for the energy storage industry. Under this structure, the Section 301 tariff rate on lithium-ion non-EV batteries imported from China will increase from the current 7.5% to 25%, effective January 1, 2026. This change specifically targeted "batteries" as defined by U.S. Customs and Border Protection, encompassing battery energy storage systems, modules, and certain types of cells. Under the May 2024 structure announced by the Biden administration, the Section 301 tariff rate on battery "parts"–including separators, electrolytes, cans, and electrodes remains at its current 25% level. In April 2025, the Trump administration enacted additional tariffs on nearly all types of imports (including those used in our energy storage solutions) from countries around the world, including high tariffs on Chinese imports. Some of these additional tariffs have been modified further since they were imposed in April 2025. For example, in May 14, 2025, the United States and China agreed to reduce the reciprocal tariff rates between the countries, with the U.S. dropping the reciprocal tariff rate for Chinese imports to 10%, while maintaining the existing 20% fentanyl tariff on Chinese goods. As of the filing date of this Report, covered imports from China relevant to our energy storage systems are subject to the current 10% China-specific “reciprocal tariff,” plus the current China-specific 20% “fentanyl-related tariff”, plus the 3.4% base tariff on all countries, plus the applicable Section 301 tariff. Tariffs that have been imposed by the United States government against other countries have and may in the future increase, decrease, or change with little to no advanced notice. The re</w:t>
      </w:r>
      <w:r>
        <w:rPr>
          <w:rFonts w:ascii="Times New Roman;serif" w:hAnsi="Times New Roman;serif"/>
          <w:b w:val="false"/>
          <w:color w:val="000000"/>
          <w:sz w:val="20"/>
        </w:rPr>
        <w:t xml:space="preserve">cent tariff policy changes and continued uncertainty relating to U.S. trade policy and the corresponding response from other foreign countries have impacted and may in the future impact the energy storage market, demand for our energy storage solutions by customers, our business, and results of operations as well as those of our customers, partners, and suppliers. </w:t>
      </w:r>
      <w:r>
        <w:rPr>
          <w:rFonts w:ascii="Times New Roman;serif" w:hAnsi="Times New Roman;serif"/>
          <w:b w:val="false"/>
          <w:color w:val="000000"/>
          <w:sz w:val="20"/>
          <w:shd w:fill="FFFFFF" w:val="clear"/>
        </w:rPr>
        <w:t xml:space="preserve">The Company has exposure from the imposition of these new tariffs and from the tariff uncertainty in the global markets, as the Company imports components from overseas, including battery cells from China, into the United States for customers and projects in the United States. We have experienced paused and delayed customer contracting activity in response to the tariff-related uncertainty, including as a result of the mutual agreement by the Company with certain customers in the United States to (i) defer entry into new energy storage solutions contracts and (ii) pause active, currently signed contracts under project execution and we may see further impacts to customer contracting activity if there continues to be uncertainty relating to tariffs. This impact to customer contracting behavior from the uncertain trade environment has impacted and may in the future impact our revenue, business, operating metrics, and results of operations. </w:t>
      </w:r>
    </w:p>
    <w:p>
      <w:pPr>
        <w:pStyle w:val="TextBody"/>
        <w:bidi w:val="0"/>
        <w:spacing w:lineRule="auto" w:line="288" w:before="160" w:after="283"/>
        <w:ind w:left="0" w:right="0" w:firstLine="450"/>
        <w:jc w:val="both"/>
        <w:rPr/>
      </w:pPr>
      <w:r>
        <w:rPr>
          <w:rFonts w:ascii="Times New Roman;serif" w:hAnsi="Times New Roman;serif"/>
          <w:b w:val="false"/>
          <w:color w:val="000000"/>
          <w:sz w:val="20"/>
          <w:shd w:fill="FFFFFF" w:val="clear"/>
        </w:rPr>
        <w:t xml:space="preserve">In addition, currently there are ongoing investigations into certain additional tariffs on specific imports and trade practices that may result in tariffs and/or more restrictive trade duties and restrictions on components for our energy storage solutions that we import into the U.S. from overseas. For example, there is an active anti-dumping/countervailing (“AD/CV”) proceeding before the U.S. International Trade Commission and U.S. Department of Commerce (the “DOC”) regarding Chinese graphite active anode material (“AAM”) imports and downstream imports that utilize graphite AAM, which includes imports utilized in our energy storage systems. </w:t>
      </w:r>
      <w:r>
        <w:rPr>
          <w:rFonts w:ascii="Times New Roman;serif" w:hAnsi="Times New Roman;serif"/>
          <w:b w:val="false"/>
          <w:color w:val="000000"/>
          <w:sz w:val="20"/>
        </w:rPr>
        <w:t>On May 20, 2025, there was a preliminary countervailing (“CV”) determination by the DOC that assigned a CV duty rate of 11.58%. On July 18, 2025, there was a preliminary antidumping (“AD”) determination by the DOC that assigned a “separate” AD tariff of 93.5% to certain entities and an adverse AD tariff of 102.72% to entities that are de facto controlled by the government of China. The AD/CV tariff rate and scope of imports subject to the tariffs may change at the final determination by DOC, which is expected on or by December 5, 2025. We are taking actions to address risks associated with these preliminary increased duties, including by building in such additional costs into our contracting process and exploring alternative sourcing strategies. We are currently assessing the ultimate impact these AD/CV tariffs could have on our suppliers, our business, our suppliers’ pricing decisions, and are waiting for the final determination from the DOC to be issued later this calendar year. D</w:t>
      </w:r>
      <w:r>
        <w:rPr>
          <w:rFonts w:ascii="Times New Roman;serif" w:hAnsi="Times New Roman;serif"/>
          <w:b w:val="false"/>
          <w:color w:val="000000"/>
          <w:sz w:val="20"/>
          <w:shd w:fill="FFFFFF" w:val="clear"/>
        </w:rPr>
        <w:t>ue to the uncertainty relating to the final outcome of the various ongoing tariff-related investigations, including the AD/CV proceeding described above, we cannot predict the ultimate impact the outcome of ongoing tariff investigations and any resulting tariffs or other trade actions could have to our business, financial condition, and results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See Part II, Item 1A. “Risk Factors” in this Report for further discussion on risks related to trade policy and changes in the trade environment.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i/>
          <w:color w:val="000000"/>
          <w:sz w:val="20"/>
        </w:rPr>
        <w:t>Competition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energy storage sector is highly competitive and continuously evolving. Our energy storage products, solutions, services, and digital applications are designed to meet the unique demands of the clean energy industry. The intricacy involved in the design and integration of these offerings underscores their technical complexity. Nevertheless, new companies enter the market continuously and offer products and services that compete with ours. We remain committed to pioneering novel use cases and exploring untapped market segments, many of which present lower levels of competition. We believe that competitive factors in the energy storage market include, but are not limited to: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safety, reliability, and quality;</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ability to obtain financing;</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integration approach (including if competitor has vertical integration);</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cost of ownership;</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price of energy storage solutions, services, and digital application offerings;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ability to issue performance guarantees, credit support, and product warranties;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density and duration of products and solutions;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shortened delivery, installation, and commissioning time;</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stability in supply chain;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performance of energy storage products and solutions, services and digital applications;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historical customer track record (as the market and industry continues to grow);</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experience in the battery energy storage system market (of the respective competitor and the leadership team);</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technological expertise and innovation;</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comprehensive solutions and offerings from a single provider;</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brand recognition;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ability to take advantage of certain government initiatives and tax credits, including those related to the IRA and OBBBA;</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the impact of legislation, regulations, and policies;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size of projects companies are competing on;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ease of integration; and</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seamless hardware and software-enabled service offerings.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competitive landscape for battery e</w:t>
      </w:r>
      <w:r>
        <w:rPr>
          <w:rFonts w:ascii="Times New Roman;serif" w:hAnsi="Times New Roman;serif"/>
          <w:b w:val="false"/>
          <w:color w:val="000000"/>
          <w:sz w:val="20"/>
          <w:shd w:fill="FFFFFF" w:val="clear"/>
        </w:rPr>
        <w:t>nergy storage varies across different geographies, countries, grid services, and customer segments. As the global demand for energy storage products and solutions continues to rise, so does the influx of new and potential entrants into the energy storage sector. Our key competitors currently include, but are not limited to, Tesla, Inc., Wartsila, Sungrow, and Contemporary Amperex Technology Co., Limited. However, we believe we distinguish ourselves from competitors by our adeptness in identifying and addressing customer needs with tailor-made products, services, and use cases. We believe we maintain a competitive edge through our performance and value creation, evidenced by attributes such as low total cost of ownership, long-term reliability, diverse service options, and streamlined sales and delivery proce</w:t>
      </w:r>
      <w:r>
        <w:rPr>
          <w:rFonts w:ascii="Times New Roman;serif" w:hAnsi="Times New Roman;serif"/>
          <w:b w:val="false"/>
          <w:color w:val="000000"/>
          <w:sz w:val="20"/>
        </w:rPr>
        <w:t>sses.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Supply Chain and Manufacturing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components and parts of our integrated energy storage solutions are sourced from suppliers and stakeholders from all over the world and are reliant on various raw materials including steel, aluminum, copper, nickel, iron phosphate, graphite, manganese, lithium carbonate, lithium hydroxide, and cobalt. Although we do not rely on any single supplier for the majority of our key components, certain components are still sourced from a limited number of stakeholders. Due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val="false"/>
          <w:color w:val="000000"/>
          <w:sz w:val="20"/>
        </w:rPr>
        <w:t>specialized and unique nature of the products being purchased, the opportunity cost of changing suppliers is high, and substitution is often time-consuming, and as a result, Fluence has accepted and may in the future also accept terms that are less advantageous, including on pricing.</w:t>
      </w:r>
      <w:r>
        <w:rPr>
          <w:color w:val="000000"/>
          <w:shd w:fill="FFFFFF" w:val="clear"/>
        </w:rPr>
        <w:t xml:space="preserve"> </w:t>
      </w:r>
      <w:r>
        <w:rPr>
          <w:rFonts w:ascii="Times New Roman;serif" w:hAnsi="Times New Roman;serif"/>
          <w:b w:val="false"/>
          <w:color w:val="000000"/>
          <w:sz w:val="20"/>
          <w:shd w:fill="FFFFFF" w:val="clear"/>
        </w:rPr>
        <w:t xml:space="preserve">Volatility in our supply chain has in the past impacted and may in the future impact demand from customers and in turn, our order intake and cause corresponding volatility in our results of operations. </w:t>
      </w:r>
      <w:r>
        <w:rPr>
          <w:rFonts w:ascii="Times New Roman;serif" w:hAnsi="Times New Roman;serif"/>
          <w:b w:val="false"/>
          <w:color w:val="000000"/>
          <w:sz w:val="20"/>
        </w:rPr>
        <w:t>We have taken steps to diversify our supply chain and continue to explore opportunities to diversify our supply base to mitigate the ever changing regulatory, environmental, social, and geographic conditions as well as the impact from trade policy, including tariffs. As discussed above, we face exposure from the imposition of the tariffs enacted by the Trump administration, as the Company current imports certain components, including battery c</w:t>
      </w:r>
      <w:r>
        <w:rPr>
          <w:rFonts w:ascii="Times New Roman;serif" w:hAnsi="Times New Roman;serif"/>
          <w:b w:val="false"/>
          <w:color w:val="000000"/>
          <w:sz w:val="20"/>
          <w:shd w:fill="FFFFFF" w:val="clear"/>
        </w:rPr>
        <w:t>ells from China, into the United States for customers and projects in the United States.</w:t>
      </w:r>
      <w:r>
        <w:rPr>
          <w:color w:val="000000"/>
        </w:rPr>
        <w:t xml:space="preserve"> </w:t>
      </w:r>
      <w:r>
        <w:rPr>
          <w:rFonts w:ascii="Times New Roman;serif" w:hAnsi="Times New Roman;serif"/>
          <w:b w:val="false"/>
          <w:color w:val="000000"/>
          <w:sz w:val="20"/>
        </w:rPr>
        <w:t xml:space="preserve">The Company is continuing to ramp up use of domestic manufacturing facilities in Arizona, Texas, Tennessee, and Utah, as well as our domestic inverter supplier in South Carolina. Our product development, manufacturing, and testing protocols are complex and require significant technological and production process expertise. Any manufacturing delay or disruption from our contract manufacturers or any of our suppliers may cause a delay or disruption in our ability to meet commitments to our customers and has and may in the future impact our business and results of operations.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However, while our U.S. centric regionalization strategy is progressing, a large portion of our current suppliers are situated outside of the United States and there is currently uncertainty about the future relationship between the United States and other countries with respect to trade policies, taxes, and government regulations. Changes to tariffs and trade policy have impacted our supply chain in the past and may impact our supply chain in the future as well as our supply chain strategies, both domestically and internationally, which has had and may in the future have an adverse impact on our results of operations and business. For more information about the potential risks relating to our supply chain and exposure to international pressures, see Part I, Item 1A. “Risk Factors” in our 2024 Annual Report and Part II, Item 1A. “Risk Factors” in this Report for further discussion on risks related to changes in the trade environment. </w:t>
      </w:r>
    </w:p>
    <w:p>
      <w:pPr>
        <w:pStyle w:val="TextBody"/>
        <w:bidi w:val="0"/>
        <w:spacing w:lineRule="auto" w:line="288" w:before="160" w:after="283"/>
        <w:jc w:val="left"/>
        <w:rPr/>
      </w:pPr>
      <w:r>
        <w:rPr>
          <w:rFonts w:ascii="Times New Roman;serif" w:hAnsi="Times New Roman;serif"/>
          <w:b/>
          <w:i/>
          <w:color w:val="000000"/>
          <w:sz w:val="20"/>
        </w:rPr>
        <w:t>Permits and Approvals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Each of our installations or customer installations must be designed, constructed, and operated in compliance with applicable international, federal, state, and local laws, regulations, codes, standards, and guidelines. To install and operate energy storage products and solutions on our platform, we, our customers, or our partners, as may be applicable, are required to obtain and maintain applicable permits and approvals from the relevant governmental or regulatory authorities having jurisdiction to install energy storage products and solutions and to interconnect the products with the local electrical utility. We often cannot predict whether or when all permits required for a given customer’s project will be granted or whether the conditions associated with the permits will be achievable. Furthermore, unforeseen delays in the review and permitting process has and could in the future delay the timing of the delivery and/or installation of our energy storage products thereby adversely affecting our revenue and operating results. See Part I, Item 1A. “Risk Factors” in our 2024 Annual Report for further discussion on risks related to permits and approvals.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Legal Proceedings and Legal Contingencies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any current or future litigation, government investigations, or other regulatory or legal proceedings to which we are a party cannot be predicted with certainty, and regardless of the outcome, we may incur significant costs and experience a diversion of management resources as a result of claims, litigation, government investigations, and other regulatory or legal proceedings.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our material pending legal contingencies, please see “Note 14 - Commitments and Contingencies”, to the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Key Components of Our Results of Operations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describes certain line items in our condensed consolidated statements of operations.</w:t>
      </w:r>
    </w:p>
    <w:p>
      <w:pPr>
        <w:pStyle w:val="TextBody"/>
        <w:bidi w:val="0"/>
        <w:spacing w:lineRule="auto" w:line="288" w:before="160" w:after="283"/>
        <w:jc w:val="both"/>
        <w:rPr/>
      </w:pPr>
      <w:r>
        <w:rPr>
          <w:rFonts w:ascii="Times New Roman;serif" w:hAnsi="Times New Roman;serif"/>
          <w:b/>
          <w:i/>
          <w:color w:val="000000"/>
          <w:sz w:val="20"/>
        </w:rPr>
        <w:t>Total Revenue</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from battery-based energy storage solutions, service agreements with customers to provide operational services related to battery-based energy storage solutions, and from digital application contracts. Fluence enters into contracts with utility companies, developers, and commercial and industrial customers.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derive the majority of our revenue from selling battery-based energy storage solutions. Generally, we must design the project, as each energy storage solution is customized depending on a customer’s energy needs, procure the major equipment, obtain manufacturing slots from our contract manufacturers, coordinate the logistics, and assemble the solution prior to delivery and installation at our customer project sites. The Company recognizes revenue over time for our energy storage solutions as we transfer control of our product to the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from selling battery-based energy storage solutions is affected by volume fulfilled, which is dependent on customer schedules and demand, changes in price, which is primarily dependent on the cost of lithium-ion energy storage hardware, and mix of products and solutions purchased by our customers.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growth is directly tied to the continued adoption of energy storage solutions by our customers and our ability to increase our share of demand in the geographic regions where we currently compete and plan to compete in the future, which is driven by the demand for our products, geographic mix of our customers, strength of competitors’ product offerings, and availability of government incentives to the end-users of our products as well as our ability to continue to develop and commercialize new and innovative solutions that address the changing technology and performance requirements of our customers and that meet applicable regulatory requirements. </w:t>
      </w:r>
    </w:p>
    <w:p>
      <w:pPr>
        <w:pStyle w:val="TextBody"/>
        <w:bidi w:val="0"/>
        <w:spacing w:lineRule="auto" w:line="288" w:before="160" w:after="283"/>
        <w:jc w:val="both"/>
        <w:rPr/>
      </w:pPr>
      <w:r>
        <w:rPr>
          <w:rFonts w:ascii="Times New Roman;serif" w:hAnsi="Times New Roman;serif"/>
          <w:b/>
          <w:i/>
          <w:color w:val="000000"/>
          <w:sz w:val="20"/>
        </w:rPr>
        <w:t>Cost of Goods and Services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control of goods are transferred to the customers. Standard inventory materials that could be used interchangeably on other projects are included in cost of goods sold when they are integrated into, or restricted to, the production of a customer’s project.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 costs are affected by the underlying cost of raw materials, such as lithium-ion, and components to our solutions including inverters. Our product costs are also affected by technological innovation, economies of scale resulting in lower supply costs, and improvements in production processes and automation. We do not currently hedge against changes in the price of raw materials as we do not directly purchase raw materials; instead, we buy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personnel-related costs, are not directly affected by sales volume.</w:t>
      </w:r>
    </w:p>
    <w:p>
      <w:pPr>
        <w:pStyle w:val="TextBody"/>
        <w:bidi w:val="0"/>
        <w:spacing w:lineRule="auto" w:line="288" w:before="160" w:after="283"/>
        <w:jc w:val="both"/>
        <w:rPr/>
      </w:pPr>
      <w:r>
        <w:rPr>
          <w:rFonts w:ascii="Times New Roman;serif" w:hAnsi="Times New Roman;serif"/>
          <w:b/>
          <w:i/>
          <w:color w:val="000000"/>
          <w:sz w:val="20"/>
        </w:rPr>
        <w:t>Gross Profit and Gross Profit Margin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and gross profit margin may vary from quarter to quarter and are primarily affected by our volume fulfilled, product prices, product costs and project performance.</w:t>
      </w:r>
    </w:p>
    <w:p>
      <w:pPr>
        <w:pStyle w:val="TextBody"/>
        <w:bidi w:val="0"/>
        <w:spacing w:lineRule="auto" w:line="288" w:before="160" w:after="283"/>
        <w:jc w:val="both"/>
        <w:rPr/>
      </w:pPr>
      <w:r>
        <w:rPr>
          <w:rFonts w:ascii="Times New Roman;serif" w:hAnsi="Times New Roman;serif"/>
          <w:b/>
          <w:i/>
          <w:color w:val="000000"/>
          <w:sz w:val="20"/>
        </w:rPr>
        <w:t>Operating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t>
      </w:r>
    </w:p>
    <w:p>
      <w:pPr>
        <w:pStyle w:val="TextBody"/>
        <w:bidi w:val="0"/>
        <w:spacing w:lineRule="auto" w:line="288" w:before="160" w:after="283"/>
        <w:jc w:val="both"/>
        <w:rPr/>
      </w:pPr>
      <w:r>
        <w:rPr>
          <w:rFonts w:ascii="Times New Roman;serif" w:hAnsi="Times New Roman;serif"/>
          <w:b/>
          <w:i/>
          <w:color w:val="000000"/>
          <w:sz w:val="20"/>
        </w:rPr>
        <w:t>Research and Development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personnel-related costs across our global research and development (“R&amp;D”) centers for engineers engaged in the design and development and testing of our integrated products and technologies and costs of materials and services procured for research and development projects. Engineering competencies include data science, machine learning, software development, network and cyber security, battery systems engineering, industrial controls, UI / UX, mechanical design, power systems engineering, certification, and more. R&amp;D expenses also support three product testing labs located across the globe: a system-level testing facility in Pennsylvania that is used for quality assurance and the rapid iteration, testing, and launching of new Fluence energy storage technology and products, a testing facility located in Erlangen, Germany, and a deployment center located in Long Beach, California. We have established an additional Hardware in the Loop testing facility, which is co-located with our technical team in Bangalore, India. We expect R&amp;D expenses to generally increase in future periods to support our growth and as we continue to invest in R&amp;D activities that are necessary to achieve our technology and product roadmap goals. These expenses may vary from period to period as a percentage of revenue, depending primarily upon when we choose to make more significant investments.</w:t>
      </w:r>
    </w:p>
    <w:p>
      <w:pPr>
        <w:pStyle w:val="TextBody"/>
        <w:bidi w:val="0"/>
        <w:spacing w:lineRule="auto" w:line="288" w:before="160" w:after="283"/>
        <w:jc w:val="both"/>
        <w:rPr/>
      </w:pPr>
      <w:r>
        <w:rPr>
          <w:rFonts w:ascii="Times New Roman;serif" w:hAnsi="Times New Roman;serif"/>
          <w:b/>
          <w:i/>
          <w:color w:val="000000"/>
          <w:sz w:val="20"/>
        </w:rPr>
        <w:t>Sales and Marketing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primarily of personnel-related expenses, including salaries, stock-based compensation, employee benefits and factoring discounts on receivables sold. We have and intend to continue to expand our sales presence and marketing efforts to additional countries in the future. </w:t>
      </w:r>
    </w:p>
    <w:p>
      <w:pPr>
        <w:pStyle w:val="TextBody"/>
        <w:bidi w:val="0"/>
        <w:spacing w:lineRule="auto" w:line="288" w:before="160" w:after="283"/>
        <w:jc w:val="both"/>
        <w:rPr/>
      </w:pPr>
      <w:r>
        <w:rPr>
          <w:rFonts w:ascii="Times New Roman;serif" w:hAnsi="Times New Roman;serif"/>
          <w:b/>
          <w:i/>
          <w:color w:val="000000"/>
          <w:sz w:val="20"/>
        </w:rPr>
        <w:t>General and Administrative Expenses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 </w:t>
      </w:r>
    </w:p>
    <w:p>
      <w:pPr>
        <w:pStyle w:val="TextBody"/>
        <w:bidi w:val="0"/>
        <w:spacing w:lineRule="auto" w:line="288" w:before="160" w:after="283"/>
        <w:jc w:val="both"/>
        <w:rPr/>
      </w:pPr>
      <w:r>
        <w:rPr>
          <w:rFonts w:ascii="Times New Roman;serif" w:hAnsi="Times New Roman;serif"/>
          <w:b/>
          <w:i/>
          <w:color w:val="000000"/>
          <w:sz w:val="20"/>
        </w:rPr>
        <w:t>Depreciation and Amortization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consists of costs associated with property, plant, and equipment (“PP&amp;E”) and amortization of intangibles consisting of patents, licenses, developed technology, and capitalized software over their expected period of use. We expect that as we increase both our revenues and the number of our general and administrative personnel, we will invest in additional PP&amp;E to support our growth resulting in additional depreciation and amortization.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 (Income),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(income), net consists primarily of interest income net of interest expense. Interest income consists of interest earned on cash deposits and interest on customer notes receivables. Interest expense consists primarily of interest on borrowings against notes receivable pledged as collateral interest from 2030 Convertible Senior Notes, unused line fees and commitment fees related to credit facilities, and amortization of debt issuance costs.</w:t>
      </w:r>
    </w:p>
    <w:p>
      <w:pPr>
        <w:pStyle w:val="TextBody"/>
        <w:bidi w:val="0"/>
        <w:spacing w:lineRule="auto" w:line="288" w:before="160" w:after="283"/>
        <w:jc w:val="both"/>
        <w:rPr/>
      </w:pPr>
      <w:r>
        <w:rPr>
          <w:rFonts w:ascii="Times New Roman;serif" w:hAnsi="Times New Roman;serif"/>
          <w:b/>
          <w:i/>
          <w:color w:val="000000"/>
          <w:sz w:val="20"/>
        </w:rPr>
        <w:t>Other (Income) Expense, Net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primarily consists of expense or income from foreign currency exchange gains and losses on monetary assets and liabilities, factoring income from sale of receivables. and income or expense due to estimated payments to be made to related parties under the Tax Receivable Agreement, dated October 27, 2021, by and among Fluence Energy, Inc., Fluence Energy, LLC, Siemens Industry, Inc. and AES Grid Stability, LLC (the “Tax Receivable Agreement”).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U.S. federal and state income taxes with respect to our allocable share of any taxable income or loss of Fluence Energy, LLC and are taxed at the prevailing corporate tax rates. We are also subject to foreign income taxes with respect to our foreign subsidiaries and our expectations are that valuation allowances will be recorded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Net Income (Loss)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Net income (loss) may vary from quarter to quarter and is primarily affected by our gross profit and operating expenses as defined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pPr>
      <w:r>
        <w:rPr>
          <w:rFonts w:ascii="Times New Roman;serif" w:hAnsi="Times New Roman;serif"/>
          <w:b/>
          <w:color w:val="000000"/>
          <w:sz w:val="20"/>
        </w:rPr>
        <w:t>Key Operating Metrics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key operating metrics as of June 30, 2025 and September 30, 2024. The tables below present the metrics in either Gigawatts (GW) or Gigawatt hours (GWh). Our key operating metrics focus on project milestones to measure our performance and designate each project as either “deployed”, “assets under management”, “contracted backlog”, or “pipeline”. </w:t>
      </w:r>
    </w:p>
    <w:tbl>
      <w:tblPr>
        <w:tblW w:w="9615" w:type="dxa"/>
        <w:jc w:val="left"/>
        <w:tblInd w:w="0" w:type="dxa"/>
        <w:tblLayout w:type="fixed"/>
        <w:tblCellMar>
          <w:top w:w="28" w:type="dxa"/>
          <w:left w:w="28" w:type="dxa"/>
          <w:bottom w:w="28" w:type="dxa"/>
          <w:right w:w="28" w:type="dxa"/>
        </w:tblCellMar>
      </w:tblPr>
      <w:tblGrid>
        <w:gridCol w:w="1243"/>
        <w:gridCol w:w="1094"/>
        <w:gridCol w:w="1098"/>
        <w:gridCol w:w="109"/>
        <w:gridCol w:w="109"/>
        <w:gridCol w:w="109"/>
        <w:gridCol w:w="424"/>
        <w:gridCol w:w="424"/>
        <w:gridCol w:w="42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Deployed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Deployed (GWh)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Backlog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(GW)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34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(GWh)</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r>
    </w:tbl>
    <w:tbl>
      <w:tblPr>
        <w:tblW w:w="8429" w:type="dxa"/>
        <w:jc w:val="left"/>
        <w:tblInd w:w="0" w:type="dxa"/>
        <w:tblLayout w:type="fixed"/>
        <w:tblCellMar>
          <w:top w:w="28" w:type="dxa"/>
          <w:left w:w="28" w:type="dxa"/>
          <w:bottom w:w="28" w:type="dxa"/>
          <w:right w:w="28" w:type="dxa"/>
        </w:tblCellMar>
      </w:tblPr>
      <w:tblGrid>
        <w:gridCol w:w="814"/>
        <w:gridCol w:w="715"/>
        <w:gridCol w:w="720"/>
        <w:gridCol w:w="109"/>
        <w:gridCol w:w="109"/>
        <w:gridCol w:w="109"/>
        <w:gridCol w:w="424"/>
        <w:gridCol w:w="424"/>
        <w:gridCol w:w="42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2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27.9</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bl>
    <w:tbl>
      <w:tblPr>
        <w:tblW w:w="8399" w:type="dxa"/>
        <w:jc w:val="left"/>
        <w:tblInd w:w="0" w:type="dxa"/>
        <w:tblLayout w:type="fixed"/>
        <w:tblCellMar>
          <w:top w:w="28" w:type="dxa"/>
          <w:left w:w="28" w:type="dxa"/>
          <w:bottom w:w="28" w:type="dxa"/>
          <w:right w:w="28" w:type="dxa"/>
        </w:tblCellMar>
      </w:tblPr>
      <w:tblGrid>
        <w:gridCol w:w="803"/>
        <w:gridCol w:w="706"/>
        <w:gridCol w:w="710"/>
        <w:gridCol w:w="109"/>
        <w:gridCol w:w="109"/>
        <w:gridCol w:w="109"/>
        <w:gridCol w:w="424"/>
        <w:gridCol w:w="424"/>
        <w:gridCol w:w="42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Digital Contracts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Asset under Management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2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order intake for the three and nine months ended June 30, 2025 and 2024. The table is presented in Gigawatts (GW):</w:t>
      </w:r>
    </w:p>
    <w:tbl>
      <w:tblPr>
        <w:tblW w:w="10205" w:type="dxa"/>
        <w:jc w:val="left"/>
        <w:tblInd w:w="0" w:type="dxa"/>
        <w:tblLayout w:type="fixed"/>
        <w:tblCellMar>
          <w:top w:w="28" w:type="dxa"/>
          <w:left w:w="28" w:type="dxa"/>
          <w:bottom w:w="28" w:type="dxa"/>
          <w:right w:w="28" w:type="dxa"/>
        </w:tblCellMar>
      </w:tblPr>
      <w:tblGrid>
        <w:gridCol w:w="674"/>
        <w:gridCol w:w="496"/>
        <w:gridCol w:w="499"/>
        <w:gridCol w:w="109"/>
        <w:gridCol w:w="109"/>
        <w:gridCol w:w="109"/>
        <w:gridCol w:w="291"/>
        <w:gridCol w:w="170"/>
        <w:gridCol w:w="158"/>
        <w:gridCol w:w="158"/>
        <w:gridCol w:w="158"/>
        <w:gridCol w:w="158"/>
        <w:gridCol w:w="291"/>
        <w:gridCol w:w="170"/>
        <w:gridCol w:w="158"/>
        <w:gridCol w:w="109"/>
        <w:gridCol w:w="109"/>
        <w:gridCol w:w="109"/>
        <w:gridCol w:w="250"/>
        <w:gridCol w:w="250"/>
        <w:gridCol w:w="251"/>
        <w:gridCol w:w="109"/>
        <w:gridCol w:w="109"/>
        <w:gridCol w:w="109"/>
        <w:gridCol w:w="271"/>
        <w:gridCol w:w="271"/>
        <w:gridCol w:w="272"/>
        <w:gridCol w:w="109"/>
        <w:gridCol w:w="109"/>
        <w:gridCol w:w="109"/>
        <w:gridCol w:w="278"/>
        <w:gridCol w:w="176"/>
        <w:gridCol w:w="154"/>
        <w:gridCol w:w="154"/>
        <w:gridCol w:w="154"/>
        <w:gridCol w:w="154"/>
        <w:gridCol w:w="278"/>
        <w:gridCol w:w="176"/>
        <w:gridCol w:w="154"/>
        <w:gridCol w:w="109"/>
        <w:gridCol w:w="109"/>
        <w:gridCol w:w="109"/>
        <w:gridCol w:w="250"/>
        <w:gridCol w:w="250"/>
        <w:gridCol w:w="251"/>
        <w:gridCol w:w="109"/>
        <w:gridCol w:w="109"/>
        <w:gridCol w:w="109"/>
        <w:gridCol w:w="251"/>
        <w:gridCol w:w="251"/>
        <w:gridCol w:w="366"/>
      </w:tblGrid>
      <w:tr>
        <w:trPr/>
        <w:tc>
          <w:tcPr>
            <w:tcW w:w="67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6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Digital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c>
          <w:tcPr>
            <w:tcW w:w="4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46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Deployed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Deployed represents cumulative energy storage products and solutions that have achieved substantial completion and are not decommissioned. Deployed is monitored by management to measure our performance towards achieving project milestones.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Assets Under Management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Assets under management for service contracts represents our long-term service contracts with customers associated with our completed energy storage system products and solutions. We start providing maintenance, monitoring, or other operational services after the storage product projects are completed. In some cases, services may be commenced for energy storage solutions prior to achievement of substantial completion. This is not limited to energy storage solutions delivered by Fluence. Assets under management for digital software represents contracts signed and active (post go live).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Assets under management serves as an indicator of expected revenue from our customers and assists management in forecasting our expected financial performance.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Contracted Backlog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our contracted backlog will result in actual revenue in the originally anticipated period or at all. Contracted backlog may not generate margins equal to our historical operating results. Our customers may experience project delays or cancel orders as a result of external market factors and economic or other factors beyond our control. If our contracted backlog fails to result in revenue as anticipated or in a timely manner, we could experience a reduction in revenue, profitability, and liquidity.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Contracted/Order Intake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Contracted, which we use interchangeably with “order intake”, represents new energy storage product and solutions contracts, new service contracts and new digital contracts signed during each period presented. We define “Contracted” as a firm and binding purchase order, letter of award, change order, or other signed contract (in each case an “Order”) from the customer that is received and accepted by Fluence. Our order intake is intended to convey the dollar amount and gigawatts (operating measure) contracted in the period presented. We believe that order intake provides useful information to investors and management because the order intake provides visibility into future revenue and enables evaluation of the effectiveness of the Company’s sales activity and the attractiveness of its offerings in the market. </w:t>
      </w:r>
    </w:p>
    <w:p>
      <w:pPr>
        <w:pStyle w:val="TextBody"/>
        <w:bidi w:val="0"/>
        <w:spacing w:lineRule="auto" w:line="288" w:before="240" w:after="283"/>
        <w:jc w:val="both"/>
        <w:rPr/>
      </w:pPr>
      <w:r>
        <w:rPr>
          <w:rFonts w:ascii="Times New Roman;serif" w:hAnsi="Times New Roman;serif"/>
          <w:b/>
          <w:i/>
          <w:color w:val="000000"/>
          <w:sz w:val="20"/>
        </w:rPr>
        <w:t>Pipeline</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Pipeline represents our uncontracted, potential revenue from energy storage products and solutions, service, and digital software contracts, which have a reasonable likelihood of contract execution within 24 months. </w:t>
      </w:r>
      <w:r>
        <w:rPr>
          <w:rFonts w:ascii="Times New Roman;serif" w:hAnsi="Times New Roman;serif"/>
          <w:b w:val="false"/>
          <w:color w:val="000000"/>
          <w:sz w:val="20"/>
        </w:rPr>
        <w:t xml:space="preserve">Pipeline is an internal management metric that we construct from market information reported by our global sales force. </w:t>
      </w:r>
      <w:r>
        <w:rPr>
          <w:rFonts w:ascii="Times New Roman;serif" w:hAnsi="Times New Roman;serif"/>
          <w:b w:val="false"/>
          <w:color w:val="000000"/>
          <w:sz w:val="20"/>
          <w:shd w:fill="FFFFFF" w:val="clear"/>
        </w:rPr>
        <w:t xml:space="preserve">Pipeline is monitored by management to understand the anticipated growth of our Company and our estimated future revenue related to customer contracts for our battery-based energy storage products and solutions, services and digital software.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our pipeline will result in actual revenue in the originally anticipated period or at all. Pipeline may not generate margins equal to our historical operating results. Our customers may experience project delays or cancel orders as a result of external market factors and economic or other factors beyond our control. If our pipeline fails to result in revenue as anticipated or in a timely manner, we could experience a reduction in revenue, profitability, and liquidity.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Non-GAAP Financial Measures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section contains references to certain non-GAAP financial measures, including Adjusted EBITDA, Adjusted Gross Profit, Adjusted Gross Profit Margin, and Free Cash Flow.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calculated from the consolidated statements of operations using net income (loss) adjusted for (i) interest income, net, (ii) income taxes, (iii) depreciation and amortization, (iv) stock-based compensation, and (v) other non-recurring income or expenses. Adjusted EBITDA also includes amounts impacting net income related to estimated payments due to related parties pursuant to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Gross Profit is calculated using gross profit, adjusted to exclude (i) stock-based compensation expenses, (ii) depreciation and amortization, and (iii) other non-recurring income or expenses. Adjusted Gross Profit Margin is calculated using Adjusted Gross Profit divided by total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Free Cash Flow is calculated from the consolidated statements of cash flows and is defined as net cash provided by (used in)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U.S. generally accepted accounting principles (“U.S.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financial measures, such as net cash provided by operating activities; and (iii) this metric does not reflect our future contractual commitments.</w:t>
      </w:r>
    </w:p>
    <w:p>
      <w:pPr>
        <w:pStyle w:val="TextBody"/>
        <w:bidi w:val="0"/>
        <w:spacing w:before="0" w:after="0"/>
        <w:jc w:val="both"/>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non-GAAP measures are intended as supplemental measures of performance and/or liquidity that are neither required by, nor presented in accordance with, GAAP. We believe that such non-GAAP measures, when read in conjunction with our operating results presented under GAAP, can be used to better assess our performance from period to period and relative to performance of other companies in our industry, without regard to financing methods, historical cost basis or capital structure.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non-GAAP measures should not be considered in isolation or as substitutes for performance measures calculated in accordance with GAAP and may not be comparable to similar measures presented by other entities. Readers are cautioned that these non-GAAP measures should not be construed as alternatives to other measures of financial performance calculated in accordance with GAAP. These non-GAAP measures and their reconciliation to GAAP financial measures are shown below.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non-GAAP measures for the periods indicated. </w:t>
      </w:r>
    </w:p>
    <w:tbl>
      <w:tblPr>
        <w:tblW w:w="8548" w:type="dxa"/>
        <w:jc w:val="center"/>
        <w:tblInd w:w="0" w:type="dxa"/>
        <w:tblLayout w:type="fixed"/>
        <w:tblCellMar>
          <w:top w:w="28" w:type="dxa"/>
          <w:left w:w="28" w:type="dxa"/>
          <w:bottom w:w="28" w:type="dxa"/>
          <w:right w:w="28" w:type="dxa"/>
        </w:tblCellMar>
      </w:tblPr>
      <w:tblGrid>
        <w:gridCol w:w="967"/>
        <w:gridCol w:w="850"/>
        <w:gridCol w:w="853"/>
        <w:gridCol w:w="109"/>
        <w:gridCol w:w="109"/>
        <w:gridCol w:w="109"/>
        <w:gridCol w:w="230"/>
        <w:gridCol w:w="785"/>
        <w:gridCol w:w="118"/>
        <w:gridCol w:w="118"/>
        <w:gridCol w:w="118"/>
        <w:gridCol w:w="118"/>
        <w:gridCol w:w="230"/>
        <w:gridCol w:w="785"/>
        <w:gridCol w:w="118"/>
        <w:gridCol w:w="109"/>
        <w:gridCol w:w="109"/>
        <w:gridCol w:w="109"/>
        <w:gridCol w:w="211"/>
        <w:gridCol w:w="796"/>
        <w:gridCol w:w="109"/>
        <w:gridCol w:w="109"/>
        <w:gridCol w:w="109"/>
        <w:gridCol w:w="109"/>
        <w:gridCol w:w="211"/>
        <w:gridCol w:w="79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Nine Months Ended June 30,</w:t>
            </w:r>
          </w:p>
        </w:tc>
      </w:tr>
      <w:tr>
        <w:trPr/>
        <w:tc>
          <w:tcPr>
            <w:tcW w:w="26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2024</w:t>
            </w:r>
          </w:p>
        </w:tc>
      </w:tr>
      <w:tr>
        <w:trP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i/>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non-recurring expenses</w:t>
            </w:r>
            <w:r>
              <w:rPr>
                <w:rFonts w:ascii="Times New Roman;serif" w:hAnsi="Times New Roman;serif"/>
                <w:b w:val="false"/>
                <w:i/>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Adjusted EBITDA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27,355 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15,600 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(8,766)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erif" w:hAnsi="Times New Roman;serif"/>
          <w:b w:val="false"/>
          <w:i/>
          <w:color w:val="000000"/>
          <w:sz w:val="16"/>
        </w:rPr>
      </w:pPr>
      <w:r>
        <w:rPr>
          <w:rFonts w:ascii="Times New Roman;serif" w:hAnsi="Times New Roman;serif"/>
          <w:b w:val="false"/>
          <w:i/>
          <w:color w:val="000000"/>
          <w:sz w:val="16"/>
        </w:rPr>
        <w:t>(a) Includes incentive awards that will be settled in shares and incentive awards that will be settled in cash.</w:t>
      </w:r>
    </w:p>
    <w:p>
      <w:pPr>
        <w:pStyle w:val="TextBody"/>
        <w:bidi w:val="0"/>
        <w:spacing w:lineRule="auto" w:line="288" w:before="40" w:after="283"/>
        <w:jc w:val="both"/>
        <w:rPr>
          <w:rFonts w:ascii="Times New Roman;serif" w:hAnsi="Times New Roman;serif"/>
          <w:b w:val="false"/>
          <w:i/>
          <w:color w:val="000000"/>
          <w:sz w:val="16"/>
        </w:rPr>
      </w:pPr>
      <w:r>
        <w:rPr>
          <w:rFonts w:ascii="Times New Roman;serif" w:hAnsi="Times New Roman;serif"/>
          <w:b w:val="false"/>
          <w:i/>
          <w:color w:val="000000"/>
          <w:sz w:val="16"/>
        </w:rPr>
        <w:t xml:space="preserve">(b) Amount for the three months ended June 30, 2025 includes approximately $1.4 million in severance costs related to restructuring, and $1.2 million in income as a result of a reduction of our Tax Receivable Agreement liability. Amount for the three months ended June 30, 2024, includes approximately $1.0 million in severance costs related to restructuring. Amount for the nine months ended June 30, 2025 includes $4.5 million in severance costs related to restructuring and $1.2 million in income as a result of a reduction of our Tax Receivable Agreement liability. Amount for the nine months ended June 30, 2024 includes approximately $1.0 million in severance costs related to restructuring, $1.2 million of costs related to the termination of the Revolving Credit Agreement (as defined below) and $0.8 million in costs related to the December 2023 underwritten public offering. </w:t>
      </w:r>
    </w:p>
    <w:tbl>
      <w:tblPr>
        <w:tblW w:w="9515" w:type="dxa"/>
        <w:jc w:val="center"/>
        <w:tblInd w:w="0" w:type="dxa"/>
        <w:tblLayout w:type="fixed"/>
        <w:tblCellMar>
          <w:top w:w="28" w:type="dxa"/>
          <w:left w:w="28" w:type="dxa"/>
          <w:bottom w:w="28" w:type="dxa"/>
          <w:right w:w="28" w:type="dxa"/>
        </w:tblCellMar>
      </w:tblPr>
      <w:tblGrid>
        <w:gridCol w:w="1037"/>
        <w:gridCol w:w="911"/>
        <w:gridCol w:w="917"/>
        <w:gridCol w:w="109"/>
        <w:gridCol w:w="109"/>
        <w:gridCol w:w="109"/>
        <w:gridCol w:w="367"/>
        <w:gridCol w:w="224"/>
        <w:gridCol w:w="557"/>
        <w:gridCol w:w="189"/>
        <w:gridCol w:w="189"/>
        <w:gridCol w:w="189"/>
        <w:gridCol w:w="367"/>
        <w:gridCol w:w="224"/>
        <w:gridCol w:w="557"/>
        <w:gridCol w:w="109"/>
        <w:gridCol w:w="109"/>
        <w:gridCol w:w="109"/>
        <w:gridCol w:w="346"/>
        <w:gridCol w:w="267"/>
        <w:gridCol w:w="664"/>
        <w:gridCol w:w="178"/>
        <w:gridCol w:w="178"/>
        <w:gridCol w:w="178"/>
        <w:gridCol w:w="346"/>
        <w:gridCol w:w="250"/>
        <w:gridCol w:w="726"/>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28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28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602,533</w:t>
            </w:r>
          </w:p>
        </w:tc>
        <w:tc>
          <w:tcPr>
            <w:tcW w:w="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1,220,939</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1,470,414</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513,434</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1,068,057</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1,286,803</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89,099</w:t>
            </w:r>
          </w:p>
        </w:tc>
        <w:tc>
          <w:tcPr>
            <w:tcW w:w="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152,882</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183,611</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rFonts w:ascii="Times New Roman;serif" w:hAnsi="Times New Roman;serif"/>
                <w:b w:val="false"/>
                <w:i/>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non-recurring expenses</w:t>
            </w:r>
            <w:r>
              <w:rPr>
                <w:rFonts w:ascii="Times New Roman;serif" w:hAnsi="Times New Roman;serif"/>
                <w:b w:val="false"/>
                <w:i/>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92,776</w:t>
            </w:r>
          </w:p>
        </w:tc>
        <w:tc>
          <w:tcPr>
            <w:tcW w:w="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161,030</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188,591</w:t>
            </w:r>
          </w:p>
        </w:tc>
      </w:tr>
      <w:tr>
        <w:trPr/>
        <w:tc>
          <w:tcPr>
            <w:tcW w:w="28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 Margin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r>
    </w:tbl>
    <w:p>
      <w:pPr>
        <w:pStyle w:val="TextBody"/>
        <w:bidi w:val="0"/>
        <w:spacing w:lineRule="auto" w:line="288" w:before="40" w:after="283"/>
        <w:jc w:val="both"/>
        <w:rPr>
          <w:rFonts w:ascii="Times New Roman;serif" w:hAnsi="Times New Roman;serif"/>
          <w:b w:val="false"/>
          <w:i/>
          <w:color w:val="000000"/>
          <w:sz w:val="16"/>
        </w:rPr>
      </w:pPr>
      <w:r>
        <w:rPr>
          <w:rFonts w:ascii="Times New Roman;serif" w:hAnsi="Times New Roman;serif"/>
          <w:b w:val="false"/>
          <w:i/>
          <w:color w:val="000000"/>
          <w:sz w:val="16"/>
        </w:rPr>
        <w:t>(a) Includes incentive awards that will be settled in shares and incentive awards that will be settled in cash.</w:t>
      </w:r>
    </w:p>
    <w:p>
      <w:pPr>
        <w:pStyle w:val="TextBody"/>
        <w:bidi w:val="0"/>
        <w:spacing w:lineRule="auto" w:line="288" w:before="40" w:after="283"/>
        <w:jc w:val="both"/>
        <w:rPr>
          <w:rFonts w:ascii="Times New Roman;serif" w:hAnsi="Times New Roman;serif"/>
          <w:b w:val="false"/>
          <w:i/>
          <w:color w:val="000000"/>
          <w:sz w:val="16"/>
        </w:rPr>
      </w:pPr>
      <w:r>
        <w:rPr>
          <w:rFonts w:ascii="Times New Roman;serif" w:hAnsi="Times New Roman;serif"/>
          <w:b w:val="false"/>
          <w:i/>
          <w:color w:val="000000"/>
          <w:sz w:val="16"/>
        </w:rPr>
        <w:t>(b) Amount relates to severance costs related to restructuring.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tbl>
      <w:tblPr>
        <w:tblW w:w="7875" w:type="dxa"/>
        <w:jc w:val="center"/>
        <w:tblInd w:w="0" w:type="dxa"/>
        <w:tblLayout w:type="fixed"/>
        <w:tblCellMar>
          <w:top w:w="28" w:type="dxa"/>
          <w:left w:w="28" w:type="dxa"/>
          <w:bottom w:w="28" w:type="dxa"/>
          <w:right w:w="28" w:type="dxa"/>
        </w:tblCellMar>
      </w:tblPr>
      <w:tblGrid>
        <w:gridCol w:w="1542"/>
        <w:gridCol w:w="1356"/>
        <w:gridCol w:w="1362"/>
        <w:gridCol w:w="109"/>
        <w:gridCol w:w="109"/>
        <w:gridCol w:w="109"/>
        <w:gridCol w:w="211"/>
        <w:gridCol w:w="901"/>
        <w:gridCol w:w="109"/>
        <w:gridCol w:w="109"/>
        <w:gridCol w:w="109"/>
        <w:gridCol w:w="109"/>
        <w:gridCol w:w="211"/>
        <w:gridCol w:w="721"/>
        <w:gridCol w:w="109"/>
        <w:gridCol w:w="109"/>
        <w:gridCol w:w="109"/>
        <w:gridCol w:w="109"/>
        <w:gridCol w:w="109"/>
        <w:gridCol w:w="109"/>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r>
      <w:tr>
        <w:trPr/>
        <w:tc>
          <w:tcPr>
            <w:tcW w:w="4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provided by operating activities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ind w:left="0" w:right="0" w:firstLine="360"/>
        <w:jc w:val="both"/>
        <w:rPr>
          <w:rFonts w:ascii="Times New Roman;serif" w:hAnsi="Times New Roman;serif"/>
          <w:b/>
          <w:i/>
          <w:color w:val="000000"/>
          <w:sz w:val="19"/>
        </w:rPr>
      </w:pPr>
      <w:r>
        <w:rPr>
          <w:rFonts w:ascii="Times New Roman;serif" w:hAnsi="Times New Roman;serif"/>
          <w:b/>
          <w:i/>
          <w:color w:val="000000"/>
          <w:sz w:val="19"/>
        </w:rPr>
        <w:t xml:space="preserve">Comparison of the three and nine months ended June 30, 2025 and 2024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following table sets forth our operating results for the periods indicated.</w:t>
      </w:r>
      <w:r>
        <w:rPr>
          <w:color w:val="000000"/>
        </w:rPr>
        <w:t xml:space="preserve"> </w:t>
      </w:r>
    </w:p>
    <w:tbl>
      <w:tblPr>
        <w:tblW w:w="12744" w:type="dxa"/>
        <w:jc w:val="center"/>
        <w:tblInd w:w="0" w:type="dxa"/>
        <w:tblLayout w:type="fixed"/>
        <w:tblCellMar>
          <w:top w:w="28" w:type="dxa"/>
          <w:left w:w="28" w:type="dxa"/>
          <w:bottom w:w="28" w:type="dxa"/>
          <w:right w:w="28" w:type="dxa"/>
        </w:tblCellMar>
      </w:tblPr>
      <w:tblGrid>
        <w:gridCol w:w="678"/>
        <w:gridCol w:w="306"/>
        <w:gridCol w:w="307"/>
        <w:gridCol w:w="109"/>
        <w:gridCol w:w="109"/>
        <w:gridCol w:w="109"/>
        <w:gridCol w:w="308"/>
        <w:gridCol w:w="390"/>
        <w:gridCol w:w="391"/>
        <w:gridCol w:w="109"/>
        <w:gridCol w:w="109"/>
        <w:gridCol w:w="109"/>
        <w:gridCol w:w="308"/>
        <w:gridCol w:w="390"/>
        <w:gridCol w:w="391"/>
        <w:gridCol w:w="109"/>
        <w:gridCol w:w="109"/>
        <w:gridCol w:w="109"/>
        <w:gridCol w:w="369"/>
        <w:gridCol w:w="388"/>
        <w:gridCol w:w="393"/>
        <w:gridCol w:w="109"/>
        <w:gridCol w:w="109"/>
        <w:gridCol w:w="109"/>
        <w:gridCol w:w="252"/>
        <w:gridCol w:w="214"/>
        <w:gridCol w:w="417"/>
        <w:gridCol w:w="109"/>
        <w:gridCol w:w="109"/>
        <w:gridCol w:w="109"/>
        <w:gridCol w:w="308"/>
        <w:gridCol w:w="465"/>
        <w:gridCol w:w="466"/>
        <w:gridCol w:w="109"/>
        <w:gridCol w:w="109"/>
        <w:gridCol w:w="109"/>
        <w:gridCol w:w="308"/>
        <w:gridCol w:w="465"/>
        <w:gridCol w:w="466"/>
        <w:gridCol w:w="109"/>
        <w:gridCol w:w="109"/>
        <w:gridCol w:w="109"/>
        <w:gridCol w:w="369"/>
        <w:gridCol w:w="418"/>
        <w:gridCol w:w="423"/>
        <w:gridCol w:w="109"/>
        <w:gridCol w:w="109"/>
        <w:gridCol w:w="109"/>
        <w:gridCol w:w="260"/>
        <w:gridCol w:w="206"/>
        <w:gridCol w:w="472"/>
      </w:tblGrid>
      <w:tr>
        <w:trPr/>
        <w:tc>
          <w:tcPr>
            <w:tcW w:w="6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2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12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8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602,533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483,317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119,216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1,220,939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1,470,414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(249,475)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400,272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1,068,057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1,286,803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89,099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83,045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6,054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152,882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183,611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113,722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952 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11,471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5,304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6,167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(91,182)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(36,029)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(55,153)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6,894</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5,819</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(92,051)</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(37,357)</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(54,694)</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40" w:after="283"/>
        <w:jc w:val="both"/>
        <w:rPr>
          <w:rFonts w:ascii="Times New Roman;serif" w:hAnsi="Times New Roman;serif"/>
          <w:b w:val="false"/>
          <w:color w:val="000000"/>
          <w:sz w:val="10"/>
        </w:rPr>
      </w:pPr>
      <w:r>
        <w:rPr>
          <w:rFonts w:ascii="Times New Roman;serif" w:hAnsi="Times New Roman;serif"/>
          <w:b w:val="false"/>
          <w:color w:val="000000"/>
          <w:sz w:val="10"/>
        </w:rPr>
        <w:t>NM - 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Total Revenue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Total re</w:t>
      </w:r>
      <w:r>
        <w:rPr>
          <w:rFonts w:ascii="Times New Roman;serif" w:hAnsi="Times New Roman;serif"/>
          <w:b w:val="false"/>
          <w:color w:val="000000"/>
          <w:sz w:val="20"/>
          <w:shd w:fill="FFFFFF" w:val="clear"/>
        </w:rPr>
        <w:t>venue in</w:t>
      </w:r>
      <w:r>
        <w:rPr>
          <w:rFonts w:ascii="Times New Roman;serif" w:hAnsi="Times New Roman;serif"/>
          <w:b w:val="false"/>
          <w:color w:val="000000"/>
          <w:sz w:val="20"/>
        </w:rPr>
        <w:t>creased by $119.2 million, or 25%, for the three months ended June 30, 2025, compared to the three months ended June 30, 2024. The increase in total revenue for the three months ended June 30, 2025 was mainly attributable to an increase in revenue from our battery-based energy storage products and solutions which was primarily driven by increased volumes of Gridstack solutions projects fulfilled due to timing based on customer schedules and due to the pronounced backend nature of expected revenue for the fiscal year 2025 compared to the revenue distribution seen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fiscal year 2024.</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Total re</w:t>
      </w:r>
      <w:r>
        <w:rPr>
          <w:rFonts w:ascii="Times New Roman;serif" w:hAnsi="Times New Roman;serif"/>
          <w:b w:val="false"/>
          <w:color w:val="000000"/>
          <w:sz w:val="20"/>
          <w:shd w:fill="FFFFFF" w:val="clear"/>
        </w:rPr>
        <w:t>venue de</w:t>
      </w:r>
      <w:r>
        <w:rPr>
          <w:rFonts w:ascii="Times New Roman;serif" w:hAnsi="Times New Roman;serif"/>
          <w:b w:val="false"/>
          <w:color w:val="000000"/>
          <w:sz w:val="20"/>
        </w:rPr>
        <w:t>creased by $249.5 million, or 17%, for the nine months ended June 30, 2025, compared to the nine months ended June 30, 2024. The decrease in total revenue for the nine months ended June 30, 2025 was mainly attributable to a decrease in revenue from our battery-based energy storage products and solutions which was primarily driven by decreased volumes of Gridstack solutions projects fulfilled due to timing based upon customer schedules and due to the pronounced backend nature of expected revenue for the fiscal year 2025 compared to the revenue distribution seen 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fiscal year 2024.</w:t>
      </w:r>
    </w:p>
    <w:p>
      <w:pPr>
        <w:pStyle w:val="TextBody"/>
        <w:bidi w:val="0"/>
        <w:spacing w:lineRule="auto" w:line="288" w:before="160" w:after="283"/>
        <w:jc w:val="both"/>
        <w:rPr/>
      </w:pPr>
      <w:r>
        <w:rPr>
          <w:rFonts w:ascii="Times New Roman;serif" w:hAnsi="Times New Roman;serif"/>
          <w:b/>
          <w:i/>
          <w:color w:val="000000"/>
          <w:sz w:val="20"/>
        </w:rPr>
        <w:t>Costs of Goods and Services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and services increased by $113.2 million, or 28%, for the three months ended June 30, 2025, compared to the three months ended June 30, 2024. The increase in cost of goods and services for the three months ended June 30, 2025 was mainly attributable to the increased volumes of Gridstack solutions projects fulfilled due to timing based on customer schedules as discussed under“Revenue”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and services decreased by $218.7 million, or 17%, for the nine months ended June 30, 2025, compared to the nine months ended June 30, 2024. The decrease in cost of goods and services for the nine months ended June 30, 2025 was mainly attributable to the decreased volumes of Gridstack solutions projects fulfilled due to timing based upon customer schedules as discussed under “Revenue” above.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Gross Profit and Gross Profit Margin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increased by $6.1 million, or 7%, for the three months ended June 30, 2025, compared to the three months ended June 30, 2024. The increase in gross profit for the three months ended June 30, 2025 was primarily due to increased volumes of Gridstack solutions projects fulfilled. Gross profit margin decreased slightly for the three months ended June 30, 2025 compared to the three months ended June 30, 2024, primarily due to a net decrease in gross margins on our portfolio of Gridstack solutions projected delivered during the period due to performance.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decreased by $30.7 million, or 17%, for the nine months ended June 30, 2025, compared to the nine months ended June 30, 2024. The decrease in gross profit for the nine months ended June 30, 2025 was primarily due to decreased volumes of Gridstack solutions projects fulfilled due to timing based upon customer schedules. Gross profit margin remained relatively consistent from the nine months ended June 30, 2025 compared to the nine months ended June 30, 2024.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$11.0 million, or 74%, for the three months ended June 30, 2025, compared to the three months ended June 30, 2024. The increase in research and development expenses for the three months ended June 30, 2025 was primarily attributable to (i) a $8.9 million increase in expenditures for materials and supplies and consulting services related to our U.S. battery module manufacturing and Smartstack and (ii) a $1.9 million increase in salaries and personnel-related expenses, including stock-based compensation, due to an increase in headcount.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$17.5 million, or 37%, for the nine months ended June 30, 2025, compared to the nine months ended June 30, 2024. The increase in research and development expenses for the nine months ended June 30, 2025 was primarily attributable to (i) a $13.3 million increase in expenditures for materials and supplies and consulting services related to our U.S. battery module manufacturing and Smartstack and (ii) a $3.9 million increase in salaries and personnel-related expenses, including stock-based compensation, due to an increase in headcount.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Sales and Marketing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$5.0 million, or 34%, for the three months ended June 30, 2025, compared to the three months ended June 30, 2024. The increase in sales and marketing expenses for the three months ended June 30, 2025 was primarily attributable to (i) a $2.4 million increase in salaries and personnel-related expenses, including stock-based compensation, due to an increase in headcount and (ii) a $1.2 million increase in information technology cost allocations.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$17.9 million, or 43%, for the nine months ended June 30, 2025, compared to the nine months ended June 30, 2024. The increase in sales and marketing expenses for the nine months ended June 30, 2025 was primarily attributable to (i) a $13.1 million increase in salaries and personnel-related expenses, including stock-based compensation, due to an increase in headcount and (ii) a $2.5 million increase in information technology cost allocations.</w:t>
      </w:r>
    </w:p>
    <w:p>
      <w:pPr>
        <w:pStyle w:val="TextBody"/>
        <w:bidi w:val="0"/>
        <w:spacing w:lineRule="auto" w:line="288" w:before="160" w:after="283"/>
        <w:jc w:val="both"/>
        <w:rPr/>
      </w:pPr>
      <w:r>
        <w:rPr>
          <w:rFonts w:ascii="Times New Roman;serif" w:hAnsi="Times New Roman;serif"/>
          <w:b/>
          <w:i/>
          <w:color w:val="000000"/>
          <w:sz w:val="20"/>
        </w:rPr>
        <w:t>General and Administrative Expenses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decreased by $9.5 million, or 21%, for the three months ended June 30, 2025, compared to the three months ended June 30, 2024. The decrease in general and administrative expenses was primarily attributable to a $11.0 million decrease in salaries and personnel-related expenses, including stock-based compensation, due to a decrease in headcount.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decreased by $13.2 million, or 10%, for the nine months ended June 30, 2025, compared to the nine months ended June 30, 2024. The decrease in general and administrative expenses was primarily attributable to a $15.5 million decrease in salaries and personnel-related expenses, including stock-based compensation, due to a decrease in headcount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Depreciation and Amortization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were relatively flat for the three months ended June 30, 2025, compared to the three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by $0.8 million, or 9% for the nine months ended June 30, 2025, compared to the nine months ended June 30, 2024, primarily attributable to an increases in amortization of capitalized software.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 (Income), Net</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Interest expense (inc</w:t>
      </w:r>
      <w:r>
        <w:rPr>
          <w:rFonts w:ascii="Times New Roman;serif" w:hAnsi="Times New Roman;serif"/>
          <w:b w:val="false"/>
          <w:color w:val="000000"/>
          <w:sz w:val="20"/>
        </w:rPr>
        <w:t>ome), net increased by $2.4 million in the three months ended June 30, 2025, compared to the three months ended June 30, 2024, primarily attributable to the interest expense of $2.7 million recognized for the 2030 Convertible Senior Notes (as defined below).</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Interest expense (income), net increased by $5.3 million </w:t>
      </w:r>
      <w:r>
        <w:rPr>
          <w:rFonts w:ascii="Times New Roman;serif" w:hAnsi="Times New Roman;serif"/>
          <w:b w:val="false"/>
          <w:color w:val="000000"/>
          <w:sz w:val="20"/>
        </w:rPr>
        <w:t>i</w:t>
      </w:r>
      <w:r>
        <w:rPr>
          <w:rFonts w:ascii="Times New Roman;serif" w:hAnsi="Times New Roman;serif"/>
          <w:b w:val="false"/>
          <w:color w:val="000000"/>
          <w:sz w:val="20"/>
          <w:shd w:fill="FFFFFF" w:val="clear"/>
        </w:rPr>
        <w:t xml:space="preserve">n the </w:t>
      </w:r>
      <w:r>
        <w:rPr>
          <w:rFonts w:ascii="Times New Roman;serif" w:hAnsi="Times New Roman;serif"/>
          <w:b w:val="false"/>
          <w:color w:val="000000"/>
          <w:sz w:val="20"/>
        </w:rPr>
        <w:t>nine months ended June 30, 2025</w:t>
      </w:r>
      <w:r>
        <w:rPr>
          <w:rFonts w:ascii="Times New Roman;serif" w:hAnsi="Times New Roman;serif"/>
          <w:b w:val="false"/>
          <w:color w:val="000000"/>
          <w:sz w:val="20"/>
          <w:shd w:fill="FFFFFF" w:val="clear"/>
        </w:rPr>
        <w:t xml:space="preserve">, compared to the </w:t>
      </w:r>
      <w:r>
        <w:rPr>
          <w:rFonts w:ascii="Times New Roman;serif" w:hAnsi="Times New Roman;serif"/>
          <w:b w:val="false"/>
          <w:color w:val="000000"/>
          <w:sz w:val="20"/>
        </w:rPr>
        <w:t>nine months ended June 30, 2024, primarily attributable to the interest expense of $5.9 million recognized for the 2030 Convertible Senior Notes (as defined below).</w:t>
      </w:r>
    </w:p>
    <w:p>
      <w:pPr>
        <w:pStyle w:val="TextBody"/>
        <w:bidi w:val="0"/>
        <w:spacing w:lineRule="auto" w:line="288" w:before="160" w:after="283"/>
        <w:jc w:val="both"/>
        <w:rPr/>
      </w:pPr>
      <w:r>
        <w:rPr>
          <w:rFonts w:ascii="Times New Roman;serif" w:hAnsi="Times New Roman;serif"/>
          <w:b/>
          <w:i/>
          <w:color w:val="000000"/>
          <w:sz w:val="20"/>
        </w:rPr>
        <w:t>Other (Income) Expense, Net</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Other </w:t>
      </w:r>
      <w:r>
        <w:rPr>
          <w:rFonts w:ascii="Times New Roman;serif" w:hAnsi="Times New Roman;serif"/>
          <w:b w:val="false"/>
          <w:color w:val="000000"/>
          <w:sz w:val="20"/>
        </w:rPr>
        <w:t>(income) expense, net increased by $9.1 million for the three months ended June 30, 2025, compared to the three months ended June 30, 2024. The increase in other (income) expense, net for the three months ended June 30, 2025 was attributable to a $9.1 million net increase in favorable foreign currency exchange gains on monetary assets and liabilities period over period.</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Other </w:t>
      </w:r>
      <w:r>
        <w:rPr>
          <w:rFonts w:ascii="Times New Roman;serif" w:hAnsi="Times New Roman;serif"/>
          <w:b w:val="false"/>
          <w:color w:val="000000"/>
          <w:sz w:val="20"/>
        </w:rPr>
        <w:t>income, net increased by $3.9 million, or 952% for the nine months ended June 30, 2025, compared to the nine months ended June 30, 2024. The increase in other income, net for the nine months ended June 30, 2025 was primarily attributable to a $3.8 million net increase in favorable foreign currency exchange gains on monetary assets and liabilities period over period.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increased by $0.3 million, or 8%, for the three months ended June 30, 2025, compared to the three months ended June 30, 2024. The increase in income tax expense for the three months ended June 30, 2025 was primarily attributable to an increase in pre-tax income in foreign tax jurisdictions without historical losses.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by $0.5 million, or 35%, for the nine months ended June 30, 2025, compared to the nine months ended June 30, 2024. The decrease in income tax expense for the nine months ended June 30, 2025 was primarily attributable to an increase in global pre-tax losses.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Net Income (Loss)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income increased by $5.8 million, or 541%, for the three months ended June 30, 2025, compared to the three months ended June 30, 2024. The increase in net income for the three months ended June 30, 2025 was primarily attributable to (i) an increase in “Gross profit,” (ii) a decrease in “General and administrative expenses,” and (iii) an increase in “Other (income) expense, net,” partially offset by an increase in “Research and development expenses,” each as described above.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increased by $54.7 million, or 146%, for the nine months ended June 30, 2025, compared to the nine months ended June 30, 2024. The increase in net loss for the nine months ended June 30, 2025 was primarily attributable to (i) a decrease in “Gross profit,” (ii) an increase in “Sales and marketing expenses,” and (iii) an increase in “Research and development expenses,” each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Liquidity and Capital Resources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inception and through June 30, 2025, our principal sources of liquidity have been the proceeds from our initial public offering (“IPO”), our cash and cash equivalents from operations, short-term borrowings, borrowings available under our debt agreements, proceeds from the issuance of the 2030 Convertible Senior Notes (as defined below), supply chain financing, capital contributions from AES Grid Stability, LLC (“AES Grid Stability”) and Siemens Industry, LLC (“Siemens Industry”) and proceeds from the investment by QIA Florence Holdings, LLC, an affiliate of Qatar Holding LLC in 2021, proceeds from short term investments, borrowings against note receivables, and proceeds from sale of accounts receivable under the MRPA (as defined below).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existing cash and cash equivalents, which includes proceeds from our IPO, cash flows from operations, sales of accounts receivable under MRPA, and proceeds from the issuance of the 2030 Convertible Senior Notes, our supply chain financing arrangements, and availability under our 2024 Revolver (as defined below) will be sufficient to meet our expense and capital requirements for at least the next 12 months following the filing of this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erif" w:hAnsi="Times New Roman;serif"/>
          <w:b w:val="false"/>
          <w:color w:val="000000"/>
          <w:sz w:val="20"/>
        </w:rPr>
        <w:t>Our capital requirements, and ability to generate cash flow, have been and may in the future vary materially from those planned and will depend on many factors, including our rate of reven</w:t>
      </w:r>
      <w:r>
        <w:rPr>
          <w:rFonts w:ascii="Times New Roman;serif" w:hAnsi="Times New Roman;serif"/>
          <w:b w:val="false"/>
          <w:color w:val="000000"/>
          <w:sz w:val="20"/>
          <w:shd w:fill="FFFFFF" w:val="clear"/>
        </w:rPr>
        <w:t>ue growth, the timing and extent of our growth initiatives, our introduction of new products, services, and digital application offerings and related costs and expenses, and overall regulatory and macroeconomic conditions, including, among others, factors relating to inflation, interest rate environment, impacts of tariffs and trade restrictions, labor shortages, supply chain disruptions, changing consumer behavior, increas</w:t>
      </w:r>
      <w:r>
        <w:rPr>
          <w:rFonts w:ascii="Times New Roman;serif" w:hAnsi="Times New Roman;serif"/>
          <w:b w:val="false"/>
          <w:color w:val="000000"/>
          <w:sz w:val="20"/>
        </w:rPr>
        <w:t>ed competition, and pandemics like COVID-19. To the extent that current and anticipated future sources of liquidity are insufficient to fund our future business activities and cash requirements, we may be required to seek additional equity or debt financing. The sale of additional equity would result in additional dilutions to our stockholders. The incurrence of additional debt financing would result in debt service obligations and the instruments governing such debt could provide for operating and financing covenants that would restrict our operations.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issued $400.0 million aggregate principal amount of 2.25% convertible senior notes due 2030 (the “2030 Convertible Senior Notes”). The 2030 Convertible Senior Notes were issued pursuant to, and are governed by, an indenture, dated as of December 12, 2024, between the Company and UMB Bank, National Association, as trustee (the “Indenture”). The net proceeds from the issuance of the 2030 Convertible Senior Notes were $389.4 million, net of $10.6 million of debt issuance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2030 Convertible Senior Notes, the Company purchased capped calls with certain financial institutions pursuant to capped call confirmations (collectively the “Capped Calls”). The premiums paid for the purchases of the Called Calls were $29.0 million. The Capped Calls have an initial strike price of approximately $21.35 per share, subject to certain adjustments, which corresponds to the initial conversion price of the 2030 Convertible Senior Notes. The Capped Calls have an initial cap price of $28.74 per share, subject to certain adjustments substantially similar to those applicable to the corresponding 2030 Convertible Senior Notes.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For further discussion of the 2030 Convertible Senior Notes and the Capped Calls, refer to “Note 12- </w:t>
      </w:r>
      <w:r>
        <w:rPr>
          <w:rFonts w:ascii="Times New Roman;serif" w:hAnsi="Times New Roman;serif"/>
          <w:b w:val="false"/>
          <w:color w:val="000000"/>
          <w:sz w:val="20"/>
        </w:rPr>
        <w:t>Convertible Senior Notes, Net</w:t>
      </w:r>
      <w:r>
        <w:rPr>
          <w:color w:val="000000"/>
          <w:shd w:fill="FFFFFF" w:val="clear"/>
        </w:rPr>
        <w:t xml:space="preserve">” </w:t>
      </w:r>
      <w:r>
        <w:rPr>
          <w:rFonts w:ascii="Times New Roman;serif" w:hAnsi="Times New Roman;serif"/>
          <w:b w:val="false"/>
          <w:color w:val="000000"/>
          <w:sz w:val="20"/>
          <w:shd w:fill="FFFFFF" w:val="clear"/>
        </w:rPr>
        <w:t>to our condensed consolidated financial statements included elsewhere in this Report.</w:t>
      </w:r>
    </w:p>
    <w:p>
      <w:pPr>
        <w:pStyle w:val="TextBody"/>
        <w:bidi w:val="0"/>
        <w:spacing w:lineRule="auto" w:line="288" w:before="160" w:after="283"/>
        <w:jc w:val="both"/>
        <w:rPr>
          <w:rFonts w:ascii="Times New Roman;serif" w:hAnsi="Times New Roman;serif"/>
          <w:b/>
          <w:i/>
          <w:color w:val="0D0D0D"/>
          <w:sz w:val="20"/>
        </w:rPr>
      </w:pPr>
      <w:r>
        <w:rPr>
          <w:rFonts w:ascii="Times New Roman;serif" w:hAnsi="Times New Roman;serif"/>
          <w:b/>
          <w:i/>
          <w:color w:val="0D0D0D"/>
          <w:sz w:val="20"/>
        </w:rPr>
        <w:t>Supply Chain Financing</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We provide certain of our suppliers with access to two different supply chain financing programs through two different third-party financing institutions (each a “SCF Bank”). These supply chain financing (“SCF”) programs allows us to seek extended payment terms with our suppliers and allows our suppliers to monetize their receivables prior to the payment due date, subject to a discount. Once a supplier elects to participate in either program and reaches an agreement with the respective SCF Bank, the supplier elects which individual invoices to sell to the respective SCF Bank. We then pay the respective SCF Bank on the applicable due date. We have no economic interest in a supplier’s decision to sell a receivable to the SCF Banks. The agreements between our suppliers and the SCF Banks are solely at their discretion and are negotiated directly between them. Under our original supply chain financing arrangement (the “Original SCF Facility”), our suppliers’ ability to continue using such agreements is primarily dependent upon the strength of our financial condition </w:t>
      </w:r>
      <w:r>
        <w:rPr>
          <w:rFonts w:ascii="Times New Roman;serif" w:hAnsi="Times New Roman;serif"/>
          <w:b w:val="false"/>
          <w:color w:val="000000"/>
          <w:sz w:val="20"/>
          <w:shd w:fill="FFFFFF" w:val="clear"/>
        </w:rPr>
        <w:t xml:space="preserve">and guarantees issued by The AES Corporation and Siemens Corporation, a subsidiary of Siemens AG, pursuant to the terms of the Credit Support and Reimbursement Agreement (as defined below). As of June 30, 2025, The AES Corporation and Siemens Corporation issued guarantees of $50.0 million each, for a total of $100.0 million, to the original SCF Bank on our behalf. Under the new $150.0 million supply chain financing arrangement entered into on August 8, 2025 (the “New SCF Facility”), we are required to maintain a liquidity ratio of 2:1 as of the last day of each calendar month. Liquidity ratio is defined as the ratio of (i) liquidity to (ii) the sum of (x) the aggregate outstanding notional amount of all receivables, bills of exchange or similar negotiable instruments purchased by the original SCF Bank under the Original SCF Facility and (y) the aggregate outstanding notional amount of payables outstanding under this New SCF Facility. Liquidity under the New SCF Facility includes the Company’s cash and cash equivalents and aggregate availability under the Company’s committed credit facilities, including the 2024 Revolver. </w:t>
      </w:r>
      <w:r>
        <w:rPr>
          <w:rFonts w:ascii="Times New Roman;serif" w:hAnsi="Times New Roman;serif"/>
          <w:b w:val="false"/>
          <w:color w:val="000000"/>
          <w:sz w:val="20"/>
        </w:rPr>
        <w:t>Under the New SCF Facility, t</w:t>
      </w:r>
      <w:r>
        <w:rPr>
          <w:rFonts w:ascii="Times New Roman;serif" w:hAnsi="Times New Roman;serif"/>
          <w:b w:val="false"/>
          <w:color w:val="000000"/>
          <w:sz w:val="20"/>
          <w:shd w:fill="FFFFFF" w:val="clear"/>
        </w:rPr>
        <w:t xml:space="preserve">he Company does not provide secured legal assets or other forms of guarantees under this arrangement, nor does any of the Company’s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Shelf Registration Statement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11, 2023, we filed an automatic shelf registration statement on Form S-3 with the SEC (the “Form S-3”) which became effective upon filing and will remain effective through August 11, 2026, subject to our continued eligibility to use such form. The Form S-3 allows us to offer and sell from time-to-time Class A common stock, preferred stock, depository shares, debt securities, warrants, purchase contracts or units comprised of any combination of these securities for our own account and allows certain selling stockholders to offer and sell 135,666,665 shares of Class A common stock in one or more offerings.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Form S-3 is intended to provide us flexibility to conduct registered sales of our securities, subject to market conditions, and our future capital needs. The terms of any future offering under the Form S-3 will be established at the time of such offering and will be described in a prospectus supplement filed with the SEC prior to the completion of any such offering.</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160" w:after="283"/>
        <w:ind w:left="0" w:right="0" w:firstLine="360"/>
        <w:jc w:val="both"/>
        <w:rPr/>
      </w:pPr>
      <w:r>
        <w:rPr>
          <w:rFonts w:ascii="Times New Roman;serif" w:hAnsi="Times New Roman;serif"/>
          <w:b w:val="false"/>
          <w:color w:val="000000"/>
          <w:sz w:val="20"/>
        </w:rPr>
        <w:t>We entered into a credit agreement for a revolving credit facility (the “Revolver”) on November 1, 2021, by and among Fluence Energy, LLC, as the borrower, Fluence Energy Inc., as a parent guarantor, the subsidiary guarantors party thereto, the lenders party thereto, and JP Morgan Chase Bank, N.A., as administrative agent and collateral agent (the “Revolving Credit Agreement”). The aggregate amount of commitments was $200.0 million. The Revolver was originally scheduled to mature on November 1, 2025. The Revolving Credit Agreement was terminated effective November 22, 2023, in conjunction with the entry into the ABL Credit Agreement (as further described below), and at such time, the Company prepaid all amounts outstanding under the Revolver and terminated all commitments thereunder. No penalties were required to be paid as a result of the termination.</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further discussion of the Revolver, refer to “Note 11 - Debt” to our unaudited condensed consolidated financial statements included elsewhere in this Report.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Asset-Based Lending Facility</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On November 22, 2023, the Company entered into an asset-based syndicated credit agreement (the “ABL Credit Agreement”) by and among Fluence Energy, LLC, as parent borrower, Fluence Energy, Inc., as parent, the other borrowers party thereto, the other guarantors party thereto, the lenders party thereto (the “ABL Lenders”), and Barclays Bank PLC, as administrative agent, which was amended from time to time, which provided for revolving commitments in an aggregate principal amount of $400.0 million (the "ABL Facility"). The ABL Facility was secured by (i) a first priority pledge of Fluence Energy, Inc.’s equity interests in Fluence Energy, LLC and (ii) first 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 Borrowings under the ABL Facility were scheduled to mature, and lending commitments thereunder would terminate, on November 22,</w:t>
      </w:r>
      <w:r>
        <w:rPr>
          <w:color w:val="000000"/>
        </w:rPr>
        <w:t xml:space="preserve"> </w:t>
      </w:r>
      <w:r>
        <w:rPr>
          <w:rFonts w:ascii="Times New Roman;serif" w:hAnsi="Times New Roman;serif"/>
          <w:b w:val="false"/>
          <w:color w:val="000000"/>
          <w:sz w:val="20"/>
        </w:rPr>
        <w:t xml:space="preserve">2027, which remains the maturity date of borrowings under the 2024 Revolver. </w:t>
      </w:r>
      <w:r>
        <w:rPr>
          <w:rFonts w:ascii="Times New Roman;serif" w:hAnsi="Times New Roman;serif"/>
          <w:b w:val="false"/>
          <w:color w:val="000000"/>
          <w:sz w:val="20"/>
          <w:shd w:fill="FFFFFF" w:val="clear"/>
        </w:rPr>
        <w:t>As of the time of our entry into Amendment No. 3 to the ABL Credit Agreement (as discussed below), there were no outstanding borrowings under the ABL Facility or letters of credit outstanding.</w:t>
      </w:r>
    </w:p>
    <w:p>
      <w:pPr>
        <w:pStyle w:val="TextBody"/>
        <w:bidi w:val="0"/>
        <w:spacing w:lineRule="auto" w:line="288" w:before="16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further discussion of the ABL Credit Agreement, refer to “Note 11 - Debt” to our consolidated financial statements included elsewhere in this Report.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2024 Revolver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6, 2024, Fluence Energy, Inc. entered into Amendment Number Three ("Amendment No. 3") to that certain ABL Credit Agreement by and among Fluence Energy, LLC, as parent borrower, the Company, as parent, the other borrowers party thereto, the other guarantors party thereto, the lenders party thereto, and Citibank, N.A., as administrative agent (as successor to Barclays Bank PLC) (such agreement, as so amended, the "2024 Credit Agreement") in order to (i) convert the existing ABL Facility to a senior secured cash flow revolving credit facility in an initial aggregate principal amount of up to $500.0 million (the "2024 Revolver"), (ii) replace Barclays Bank PLC as administrative agent under the 2024 Credit Agreement with Citibank, N.A., and (iii) make certain other modifications to the 2024 Credit Agreement as set forth therein. Capitalized terms used in this subsection that are not otherwise defined are defined in the 2024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2024 Revolver is secured by (i) a first priority pledge of the Company's equity interests in Fluence Energy, LLC and Fluence Energy Global Production Operation, LLC, (ii) first priority security interests in substantially all tangible and intangible personal property of the Company, Fluence Energy, LLC, Fluence Energy Global Production Operation, LLC and certain of its foreign subsidiaries, in each case, subject to customary exceptions and limitations, and (iii) a pledge of the Company's equity interests in certain of its foreign subsidiaries and security interests in certain assets of such foreign subsidiaries.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sets forth that (i) loans comprising each ABR Borrowing shall bear interest at the Alternate Base Rate plus 2.00%, (ii) loans comprising each Term Benchmark Borrowing shall bear interest at the Term SOFR Rate or the Adjusted EURIBOR Rate, as applicable, plus 3.00%, and (iii) the loans comprising each RFR Borrowing shall bear interest at the Daily Simple RFR plus 3.00%,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through maturity, which shall accrue at the rate of 0.50% per annum.</w:t>
      </w:r>
      <w:r>
        <w:rPr>
          <w:color w:val="000000"/>
        </w:rPr>
        <w:t xml:space="preserve"> </w:t>
      </w:r>
      <w:r>
        <w:rPr>
          <w:rFonts w:ascii="Times New Roman;serif" w:hAnsi="Times New Roman;serif"/>
          <w:b w:val="false"/>
          <w:color w:val="000000"/>
          <w:sz w:val="20"/>
        </w:rPr>
        <w:t xml:space="preserve">The 2024 Credit Agreement provides for a cash draw sublimit of $150.0 million as well as a letter of credit sublimit in the amount of $500.0 million if certain conditions are met.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contains customary covenants for this type of financing, including, but not limited to, covenants that restrict our and certain of our subsidiaries’ ability to: incur indebtedness; incur liens; sell, transfer, or dispose of property and assets; make investments or acquisitions; pay dividends, make distributions or other restricted payments; and engage in affiliate transactions. The 2024 Credit Agreement limits our ability to make certain payments, including dividends and distributions on Fluence Energy, LLC's equity, the Company's equity and other restricted payments. Under the terms of the 2024 Credit Agreement, Fluence Energy, LLC and its subsidiaries are currently limited in their ability to pay cash dividends to, lend to, or make other investments in the Company, subject to certain exceptions.</w:t>
      </w:r>
      <w:r>
        <w:rPr>
          <w:color w:val="000000"/>
        </w:rPr>
        <w:t xml:space="preserve"> </w:t>
      </w:r>
      <w:r>
        <w:rPr>
          <w:rFonts w:ascii="Times New Roman;serif" w:hAnsi="Times New Roman;serif"/>
          <w:b w:val="false"/>
          <w:color w:val="000000"/>
          <w:sz w:val="20"/>
        </w:rPr>
        <w:t>In addition, we are required to maintain (i) through December 31, 2025, Total Liquidity of no less than $150,000,000, (ii) from January 1, 2026 and thereafter, Total Liquidity of no less than $100,000,000 or a Consolidated Leverage Ratio as of the last day of any Measurement Period not to exceed 3.50:1.00, and (iii) certain other financial requirements at each Guarantor Coverage Test Date. S</w:t>
      </w:r>
      <w:r>
        <w:rPr>
          <w:rFonts w:ascii="Times New Roman;serif" w:hAnsi="Times New Roman;serif"/>
          <w:b w:val="false"/>
          <w:color w:val="000000"/>
          <w:sz w:val="20"/>
          <w:shd w:fill="FFFFFF" w:val="clear"/>
        </w:rPr>
        <w:t xml:space="preserve">uch covenants are tested on a quarterly basis and upon the occurrence of other certain restricted payments, the incurrence of indebtedness, certain dispositions, and other specified transactions. As of June 30, 2025, we were in compliance with all such covenants.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2024 Credit Agreement contains customary events of default for this type of financing. If an event of default occurs with respect to a borrower, the lenders will be able to, among other things, terminate the commitments immediately, cash collateralize any outstanding letters of credit, declare any</w:t>
      </w:r>
      <w:r>
        <w:rPr>
          <w:color w:val="000000"/>
          <w:shd w:fill="FFFFFF" w:val="clear"/>
        </w:rPr>
        <w:t xml:space="preserve"> </w:t>
      </w:r>
      <w:r>
        <w:rPr>
          <w:rFonts w:ascii="Times New Roman;serif" w:hAnsi="Times New Roman;serif"/>
          <w:b w:val="false"/>
          <w:color w:val="000000"/>
          <w:sz w:val="20"/>
          <w:shd w:fill="FFFFFF" w:val="clear"/>
        </w:rPr>
        <w:t xml:space="preserve">loans outstanding to be due and payable in whole or in part, and exercise other rights and remedies. The maturity date and the date of termination of lending commitments under the 2024 Credit Agreement both remain unchanged at November 22, 2027. </w:t>
      </w:r>
      <w:r>
        <w:rPr>
          <w:rFonts w:ascii="Times New Roman;serif" w:hAnsi="Times New Roman;serif"/>
          <w:b w:val="false"/>
          <w:color w:val="000000"/>
          <w:sz w:val="20"/>
        </w:rPr>
        <w:t xml:space="preserve">As of June 30, 2025, there are no cash borrowings under the 2024 Revolver, and there are $157.5 million letters of credit outstanding under the 2024 Revolver, with remaining availability of $342.5 million, net of letters of credit issued.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Borrowings Against Note Receivable - Pledged as Collateral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2022, we transferred $24.3 million in customer receivables to Standard Chartered Bank (“SCB”) in the Philippines for proceeds of $21.1 million. The receivables all related to our largest customer in that country. The underlying receivables transferred were previously aggregated into a long term note, with interest, and a maturity date of September 30, 2024. In April 2023, we aggregated and transferred an additional $30.9 million in receivables into a second long term note with the same customer to SCB for proceeds of $27.0 million, upon substantially similar terms as the December 2022 transfer and with a maturity date of December 27, 2024. These transactions were treated as secured borrowings as we did not transfer the entire note receivables due from the customer to SCB. We continued to receive quarterly interest income from the customer, while SCB was responsible for collecting payments on the principal balances which represented the initial receivable balances from the customer. We had no other continuing involvement or exposure related to the underlying receivables. On September 16, 2024 and December 27, 2024, $24.3 million and $30.9 million of receivables, respectively, were paid in full, resulting in release of the corresponding notes and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Sale of Receivables under Master Receivables Purchase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27, 2024, Fluence Energy, LLC entered into the Master Receivables Purchase Agreement, by and among Fluence Energy, LLC and any other seller from time to time party thereto, as sellers and servicers, and Credit Agricole Corporate and Investment Bank ("CACIB"), as purchaser, of certain receivables on an uncommitted basis (the “MRPA”). The MRPA provides that the outstanding amount of all purchased receivables under the MRPA will not exceed $75.0 million, with sublimits for each account debtor and for certain kinds of receivables. The MRPA may be terminated by either party at any time by 30 days’ prior written notice. Fluence Energy, LLC has granted CACIB a security interest in the purchased receivables, and proceeds thereof, as more fully described in the MRPA, in order to perfect CACIB’s ownership interest in the purchased receivables and secure the payment and performance of all obligations of Fluence Energy, LLC to CACIB under the MRPA. The MRPA contains other customary representations and warranties and covenants.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receivables are sold under the MRPA, they are sold without recourse, and our continuing involvement is limited to their servicing, for which the Company receives a fee commensurate with the service provided and therefore no servicing asset or liability related to these receivables was recognized for any period presented. The fair value of the sold receivables approximated their book value due to their short-term nature.</w:t>
      </w:r>
    </w:p>
    <w:p>
      <w:pPr>
        <w:pStyle w:val="TextBody"/>
        <w:bidi w:val="0"/>
        <w:spacing w:lineRule="auto" w:line="288" w:before="160" w:after="283"/>
        <w:jc w:val="both"/>
        <w:rPr/>
      </w:pPr>
      <w:r>
        <w:rPr>
          <w:rFonts w:ascii="Times New Roman;serif" w:hAnsi="Times New Roman;serif"/>
          <w:b/>
          <w:i/>
          <w:color w:val="000000"/>
          <w:sz w:val="20"/>
        </w:rPr>
        <w:t>Credit Support and Reimbursement Agreement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party to an Amended and Restated Credit Support and Reimbursement Agreement, dated June 9, 2021, with The AES Corporation (“AES”) and Siemens Industry (the “Credit Support and Reimbursement Agreement”)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Amended and Restated Credit Support and Reimbursement Agreement, if AES or Siemens Industry agree to provide a particular credit support (which they are permitted to grant or deny in their sole discretion), they are entitled to receipt of a credit support fee, reimbursement of actual costs and expenses incurred in having a credit support instrument issued and maintained, and reimbursement for all amounts paid to our lenders or other counterparties, payable upon demand. The Amended and Restated Credit Support and Reimbursement Agreement had an initial expiration date of June 9, 2025 (the “initial expiration date”), but will automatically and indefinitely continue thereafter pursuant to its terms until either AES or Siemens Industry terminates the agreement upon six months’ prior notice. No notice of termination has been provided by the time of filing of this Report. Any credit support under the Credit Support and Reimbursement Agreement will remain in effect after any such termination until such credit support has been replaced by the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the Company has outstanding performance guarantees provided by AES and Siemens Industry and their respective affiliates that guarantee Fluence’s performance obligations under certain contracts with Fluence’s customers. These performance guarantees are issued pursuant to the terms of the Credit Support and Reimbursement Agreement. Fluence paid performance guarantee fees to its affiliates in exchange for guaranteeing Fluence’s performance obligations under certain contracts with Fluence’s customers. The guarantee fees are included in “Costs of goods and services” on Fluence’s condensed consolidated statements of operations. Guarantees are also issued by AES and Siemens Corporation, pursuant to the terms of the Credit Support and Reimbursement Agreement, in connection with a supplier chain financing program (as described in greater detail above).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Commitments, Contingencies, and Off-Balance Sheet Arrangements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As of June 30, 2025, the Company had outstanding bank guarantees, parent guarantees, letters of credit, and surety bonds issued as performance security arrangements for a large number of customer projects.</w:t>
      </w:r>
      <w:r>
        <w:rPr>
          <w:color w:val="000000"/>
          <w:shd w:fill="FFFFFF" w:val="clear"/>
        </w:rPr>
        <w:t xml:space="preserve"> </w:t>
      </w:r>
      <w:r>
        <w:rPr>
          <w:rFonts w:ascii="Times New Roman;serif" w:hAnsi="Times New Roman;serif"/>
          <w:b w:val="false"/>
          <w:color w:val="000000"/>
          <w:sz w:val="20"/>
          <w:shd w:fill="FFFFFF" w:val="clear"/>
        </w:rPr>
        <w:t xml:space="preserve">In addition, we have a limited number of parent company guarantees and letters of credit issued as payment security to certain vendors. </w:t>
      </w:r>
      <w:r>
        <w:rPr>
          <w:rFonts w:ascii="Times New Roman;serif" w:hAnsi="Times New Roman;serif"/>
          <w:b w:val="false"/>
          <w:color w:val="000000"/>
          <w:sz w:val="20"/>
        </w:rPr>
        <w:t>The Company also has certain battery purchase obligations and spending requirements under our master supply agreement with suppliers. We are also party to both assurance and service-type warranties for various lengths of time. Refer to “Note 14 - Commitments and Contingencies” to our unaudited condensed consolidated financial statements included elsewhere in this Report for more information regarding our contingent obligations, including off-balance sheet arrangements, and legal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i/>
          <w:color w:val="000000"/>
          <w:sz w:val="20"/>
        </w:rPr>
        <w:t>Historical Cash Flows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from operating, investing, and financing activities for the periods presented. </w:t>
      </w:r>
    </w:p>
    <w:tbl>
      <w:tblPr>
        <w:tblW w:w="10205" w:type="dxa"/>
        <w:jc w:val="left"/>
        <w:tblInd w:w="0" w:type="dxa"/>
        <w:tblLayout w:type="fixed"/>
        <w:tblCellMar>
          <w:top w:w="28" w:type="dxa"/>
          <w:left w:w="28" w:type="dxa"/>
          <w:bottom w:w="28" w:type="dxa"/>
          <w:right w:w="28" w:type="dxa"/>
        </w:tblCellMar>
      </w:tblPr>
      <w:tblGrid>
        <w:gridCol w:w="1365"/>
        <w:gridCol w:w="1199"/>
        <w:gridCol w:w="1205"/>
        <w:gridCol w:w="109"/>
        <w:gridCol w:w="109"/>
        <w:gridCol w:w="109"/>
        <w:gridCol w:w="227"/>
        <w:gridCol w:w="964"/>
        <w:gridCol w:w="117"/>
        <w:gridCol w:w="117"/>
        <w:gridCol w:w="117"/>
        <w:gridCol w:w="117"/>
        <w:gridCol w:w="227"/>
        <w:gridCol w:w="850"/>
        <w:gridCol w:w="117"/>
        <w:gridCol w:w="109"/>
        <w:gridCol w:w="109"/>
        <w:gridCol w:w="109"/>
        <w:gridCol w:w="211"/>
        <w:gridCol w:w="892"/>
        <w:gridCol w:w="109"/>
        <w:gridCol w:w="109"/>
        <w:gridCol w:w="109"/>
        <w:gridCol w:w="109"/>
        <w:gridCol w:w="393"/>
        <w:gridCol w:w="393"/>
        <w:gridCol w:w="604"/>
      </w:tblGrid>
      <w:tr>
        <w:trPr/>
        <w:tc>
          <w:tcPr>
            <w:tcW w:w="136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3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9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(411,281)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358,645 </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364,412 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(6318.9)</w:t>
            </w:r>
          </w:p>
        </w:tc>
        <w:tc>
          <w:tcPr>
            <w:tcW w:w="60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operating activities were $411.3 million for the nine months ended June 30, 2025, compared to net cash provided by operating activities of $69.2 million for the nine months ended June 30, 2024. The $480.4 million increase in net cash used in operating activities period over period was primarily due to a decrease in working capital balances of $422.2 million and an increase in net loss of $54.7 million. Below we describe in more detail the cash flows (used in) provided by operating activities for each period:</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Net cash flows used in operating activities of $411.3 million for the nine months ended June 30, 2025 were primarily due to (i) net loss of $92.1 million, (ii) increases in inventory of $469.7 million due to cash expenditures on inventory, and (iii) decreases in accounts payable of $180.8 million and current accruals and provisions of $118.4 million due to the timing of payments to various vendors. These cash outflows were partially offset by net positive effects of changes in customer contract assets and liabilities. Specifically, deferred revenue, inclusive of related parties, increased in aggregate by $274.1 million and receivables, inclusive of trade, unbilled accounts receivable and receivables from related parties decreased in aggregate by $291.3 million due to timing of various customer project billings and cash collections in accordance with contract milestone payment schedules.</w:t>
      </w:r>
    </w:p>
    <w:p>
      <w:pPr>
        <w:pStyle w:val="TextBody"/>
        <w:bidi w:val="0"/>
        <w:spacing w:lineRule="auto" w:line="288" w:before="160" w:after="283"/>
        <w:jc w:val="both"/>
        <w:rPr/>
      </w:pPr>
      <w:r>
        <w:rPr>
          <w:color w:val="000000"/>
        </w:rPr>
        <w:t>•</w:t>
      </w:r>
      <w:r>
        <w:rPr>
          <w:rFonts w:ascii="Times New Roman;serif" w:hAnsi="Times New Roman;serif"/>
          <w:b w:val="false"/>
          <w:color w:val="000000"/>
          <w:sz w:val="20"/>
        </w:rPr>
        <w:t>Net cash flows provided by operating activities of $69.2 million for the nine months ended June 30, 2024 were primarily driven by (i) increases in accounts payable of $256.3 million due to timing of payments to various vendors, and (ii) net positive effects of changes in customer contract assets and liabilities. Specifically, deferred revenue, inclusive of related parties increased by $57.5 million and receivables, inclusive of trade, unbilled accounts receivable and receivables from related parties decreased by $59.5 million due to timing of various customer project billings and cash collections in accordance with contract milestone payment schedules. These cash inflows were partially offset by (i) an increase in inventory, impacting cash flow negatively by $257.9 million, and (ii) net loss of $37.4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 were $20.0 million for the nine months ended June 30, 2025, which were due to purchases of property and equipment of $10.0 million and capital expenditures on software of $10.0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 were $13.4 million for the nine months ended June 30, 2024, which were due to capital expenditures on software of $8.6 million and to purchases of property and equipment of $4.8 million.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flows provided by financing activities were $358.6 million for the nine months ended June 30, 2025, which were primarily related to the proceeds received from the issuance of the 2030 Convertible Senior Notes of $400.0 million, partially offset by (i) premiums paid for the purchases of the Capped Calls of $29.0 million and (ii) payments for the debt issuance costs of $12.1 million, primarily related to the 2030 Convertible Senior Notes.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 were approximately $5.8 million for the nine months ended June 30, 2024, which were primarily due to $5.0 million in payments related to debt issuances costs, primarily for the ABL Facility, and $3.9 million in payments for a previously acquired company (Nispera), partially offset by $4.4 million of proceeds from the exercise of stock options.</w:t>
      </w:r>
    </w:p>
    <w:p>
      <w:pPr>
        <w:pStyle w:val="TextBody"/>
        <w:bidi w:val="0"/>
        <w:spacing w:lineRule="auto" w:line="288" w:before="160" w:after="283"/>
        <w:jc w:val="both"/>
        <w:rPr/>
      </w:pPr>
      <w:r>
        <w:rPr>
          <w:rFonts w:ascii="Times New Roman;serif" w:hAnsi="Times New Roman;serif"/>
          <w:b/>
          <w:i/>
          <w:color w:val="000000"/>
          <w:sz w:val="20"/>
        </w:rPr>
        <w:t>Tax Receivable Agreement</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we entered into the Tax Receivable Agreement with Fluence Energy, LLC and Siemens Industry and AES Grid Stability (together, the “Founders”). 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2022, Siemens Industry, Inc. exercised its redemption right pursuant to the terms of the Third Amended and Restated Limited Liability Agreement of Fluence Energy, LLC, dated October 27, 2021, as may be amended from time to time (the “LLC Agreement”) with respect to its entire holding of 58,586,695 LLC Interests of Fluence Energy, LLC, together with the corresponding cancellation of an equivalent number of shares of our Class B-1 common stock, par value $0.00001 per share (“Class B-1 common stock”). On December 8, 2023, AES Grid Stability exercised its redemption right pursuant to the terms of the LLC Agreement with respect to 7,087,500 LLC Interests of Fluence Energy, LLC, together with the corresponding cancellation of an equivalent number of shares of our Class B-1 common stock.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redemptions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Internal Revenue Service may challenge all or part of the validity of that tax basis, and a court could sustain such a challenge.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tax basis adjustment of the assets of Fluence Energy, LLC and its subsidiaries upon the redemptions and our possible utilization of certain tax attributes, the payments that we may make under the Tax Receivable Agreement will be substantial. The redemptions will result in future tax savings of $137.6 million. The Founders will be entitled to receive payments under the Tax Receivable Agreement equaling 85% of such amount, or $117 million; assuming, among other factors, (i) we will have sufficient taxable income to fully utilize the tax benefits; (ii) Fluence Energy, LLC is able to fully depreciate or amortize its assets; and (iii) there are no material changes in applicable tax law. The payments under the Tax Receivable Agreement are not conditioned upon continued ownership of us by the Founders. Although the timing and extent of future payments could vary significantly under the Tax Receivable Agreement, we anticipate funding payments from the Tax Receivable Agreement from cash flow from operations of our subsidiaries, available cash or available borrowings under any future debt agreements.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the exception of an estimated $0.3 million of Tax Receivable Agreement payment realized as of June 30, 2025, we have determined it is not probable payments under the Tax Receivable Agreement would be made, given the projected inability to fully utilize the related tax benefits over the term of the agreement. Therefore, the Company has not recognized the remaining liability. Should we determine that the additional Tax Receivable Agreement payment is probable, a corresponding liability will be recorded and as a result, our future results of operations and earnings could be impacted as a result of these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Critical Accounting Policies and Use of Estimates</w:t>
      </w:r>
      <w:r>
        <w:rPr>
          <w:color w:val="000000"/>
        </w:rPr>
        <w:t xml:space="preserve">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have been prepared in accordance with U.S.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w:t>
      </w:r>
    </w:p>
    <w:p>
      <w:pPr>
        <w:pStyle w:val="TextBody"/>
        <w:bidi w:val="0"/>
        <w:spacing w:lineRule="auto" w:line="268" w:before="160" w:after="283"/>
        <w:ind w:left="0" w:right="0" w:firstLine="360"/>
        <w:jc w:val="both"/>
        <w:rPr/>
      </w:pPr>
      <w:r>
        <w:rPr>
          <w:rFonts w:ascii="Times New Roman;serif" w:hAnsi="Times New Roman;serif"/>
          <w:b w:val="false"/>
          <w:color w:val="000000"/>
          <w:sz w:val="20"/>
        </w:rPr>
        <w:t>During the nine months ended June 30, 2025, there we</w:t>
      </w:r>
      <w:r>
        <w:rPr>
          <w:rFonts w:ascii="Times New Roman;serif" w:hAnsi="Times New Roman;serif"/>
          <w:b w:val="false"/>
          <w:color w:val="000000"/>
          <w:sz w:val="20"/>
          <w:shd w:fill="FFFFFF" w:val="clear"/>
        </w:rPr>
        <w:t xml:space="preserve">re no significant changes in application of our critical accounting policies or estimation procedures from those </w:t>
      </w:r>
      <w:r>
        <w:rPr>
          <w:rFonts w:ascii="Times New Roman;serif" w:hAnsi="Times New Roman;serif"/>
          <w:b w:val="false"/>
          <w:color w:val="000000"/>
          <w:sz w:val="20"/>
        </w:rPr>
        <w:t>described under the heading “Management’s Discussion and Analysis of Financial Condition and Results of Operations—Critical Accounting Policies and Use of Estimates” in our 2024 Annual Report and the notes to the audited consolidated financial statements appearing elsewhere in the 2024 Annual Report</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color w:val="000000"/>
          <w:sz w:val="20"/>
        </w:rPr>
        <w:t>Item 3. Quantitative and Qualitative Disclosures About Market Risk</w:t>
      </w:r>
      <w:r>
        <w:rPr>
          <w:color w:val="000000"/>
        </w:rPr>
        <w:t xml:space="preserve"> </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with respect to our exposure to market risk as disclosed in Part II, Item 7A, “Quantitative and Qualitative Disclosures About Market Risk” of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provide reasonable assurance of achieving the objective that information in our Securities Exchange Act of 1934, as amended (the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carried out an evaluation of the effectiveness of our disclosure controls and procedures (as such term is defined in Rules 13a-15(e) and 15d-15(e) under the Exchange Act) as of June 30, 2025, the end of the period covered by this Report. Based upon that evaluation, management concluded that, as of June 30, 2025, our disclosure controls and procedures were effective at the reasonable assurance level.</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76"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June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Item 1. Legal Proceedings</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litigation, government investigations, or other regulatory or legal proceedings relating to claims that arise out of our operations and business that cover a wide range of matters, including, but not limited to, securities litigation, intellectual property matters, commercial and contract disputes, insurance and property damage claims, labor and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government investigations, or other regulatory or legal proceedings cannot be predicted with certainty, and regardless of the outcome, we may incur significant costs and experience a diversion of management resources as a result of claims, litigation, government investigations, and other regulatory or legal proceedings.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description of our material pending legal contingencies, please see “Note 14 - Commitments and Contingencies”, to the unaudited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pPr>
      <w:r>
        <w:rPr>
          <w:rFonts w:ascii="Times New Roman;serif" w:hAnsi="Times New Roman;serif"/>
          <w:b/>
          <w:color w:val="000000"/>
          <w:sz w:val="20"/>
        </w:rPr>
        <w:t>Item 1A. Risk Factors</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There have been no material changes with respect to our risk factors previously disclosed in our 2024 Annual Report, other than as set forth below. You should carefully consider the risks described in Item 1A. "Risk Factors" of our 2024 Annual Report and the risk factors below along with our unaudited condensed consolidated financial statements and the related notes, as well as our other public filings with the SEC, before making an investment decision. Our business, financial condition, and results of operations could be materially and adversely affected by any of these risks or un</w:t>
      </w:r>
      <w:r>
        <w:rPr>
          <w:rFonts w:ascii="Times New Roman;serif" w:hAnsi="Times New Roman;serif"/>
          <w:b w:val="false"/>
          <w:color w:val="000000"/>
          <w:sz w:val="20"/>
          <w:shd w:fill="FFFFFF" w:val="clear"/>
        </w:rPr>
        <w:t>certainties.</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Our business and customer demand for our offerings depends in part on government incentives and/or regulations relating to or mandating the use of renewable energy and/or energy storage. The reduction, elimination, modification, expiration, or determination of inapplicability of such government incentives or regulations or the potential of any such reduction, elimination, modification, expiration, or determination of inapplicability of government incentives or regulations has and could in the future impact demand for our energy storage solutions, which could lead to adverse effects to our business, operating results, and cash flows.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Federal, state, local, and foreign government bodies provide incentives and/or regulations relating to mandating or encouraging use of renewable energy and/or energy storage to owners, end users, distributors, system integrators, and manufacturers of renewable energy and energy storage products and solutions to promote renewable electricity and energy storage in the form of rebates, tax credits, other financial incentives, procurement requirements and market structures. The range and duration of these incentives and regulations varies widely by jurisdiction and type of asset involved. Our customers typically use our energy storage solutions for grid-connected applications wherein power is sold under a power purchase agreement or into an organized electric market. The reduction, elimination, modification, expiration, or determination of inapplicability of government incentives or regulations related to mandating or encouraging the use of grid-connected renewable electricity and/or energy storage or the potential of any such reduction, elimination, modification, expiration, or determination of inapplicability of government incentives or regulations has and may in the future negatively affect the competitiveness of our offerings and has impacted and may in the future impact the growth of our industry and our business. Such government incentives and/or regulations may expire on a particular date, end when the allocated funding is exhausted or be reduced or terminated as renewable energy adoption rates increase or as a result of legal challenges, the adoption of new statutes or regulations or changes to existing regulations, new regulatory guidance, or the passage of time. Reductions, modification, terminations, or determination of inapplicability of government incentives and/or regulations may occur without warning. There is no guarantee that such policies, regulations, and incentives will continue to exist in current form, if at all. The reduction, modification, elimination, or expiration or the potential of any such reduction, elimination, modification, expiration, of such government incentives or regulations or determination of inapplicability of such government incentives or regulations has impacted and may in the future impact customer demand for our offerings, may lead to a loss of customers and potential customer projects, and has and may in the future harm our business, operating results, and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erif" w:hAnsi="Times New Roman;serif"/>
          <w:b w:val="false"/>
          <w:color w:val="000000"/>
          <w:sz w:val="20"/>
        </w:rPr>
        <w:t>For example, in August 2022, the United States passed the Inflation Reduction Act of 2022 (the “IRA”), which included incentives that supported the adoption of energy storage solutions, including a new “technology neutral” Section 48E investment tax credit (the “ITC”) and Section 45Y production tax credit (the “PTC”), changes to the previous Section 48 non-“technology neutral” investment tax credit and Section 45 production tax credit, and a new Section 45X advanced manufacturing production tax credit (the “AMPC”). On July 4, 2025, the One Big Beautiful Bill Act (the “OBBBA”) was signed into law, which significantly modified certain provisions of the IRA, including those related to energy storage. The OBBBA includes long-term continued availability of the ITC for energy storage projects and the AMPC for cells, modules, and inverters in energy storage systems. Certain tax credits, notably including the ITC for storage, will begin to phase down for projects beginning construction after 2033. The prevailing wage and apprenticeship requirements enacted under the IRA continue to apply under the OBBBA in order for the project owner to receive the full ITC value and the credit value can be further increased if the project owner also qualifies for a domestic content bonus credit and energy communities bonus credit. The OBBBA amended the provisions of the domestic content bonus credit for the ITC such that the project owner now must achieve higher minimum domestic content thresholds. In addition, the OBBBA amended the ITC and AMPC such that there are new foreign entity of concern (“FEOC”) requirements on such tax credits, which are intended to deny tax credits to projects that are owned or controlled by certain foreign entities, or that source components from or make payments to such entities, including, but not limited to, Chinese entities. There is</w:t>
      </w:r>
      <w:r>
        <w:rPr>
          <w:color w:val="000000"/>
          <w:shd w:fill="FFFFFF" w:val="clear"/>
        </w:rPr>
        <w:t xml:space="preserve"> </w:t>
      </w:r>
      <w:r>
        <w:rPr>
          <w:rFonts w:ascii="Times New Roman;serif" w:hAnsi="Times New Roman;serif"/>
          <w:b w:val="false"/>
          <w:color w:val="000000"/>
          <w:sz w:val="20"/>
          <w:shd w:fill="FFFFFF" w:val="clear"/>
        </w:rPr>
        <w:t>continuing uncertainty on certain aspects of the IRA and related guidance and the OBBBA and forthcoming related guidance. Such uncertainty related to the IRA has in the past caused certain customers to take an extended period to evaluate, negotiate, and enter into energy storage arrangements, which has impacted our business and results of operations. Current uncertainty related to changes imposed by the OBBBA may in the future similarly cause customers to delay contracting decisions or may cause customers to delay or cancel existing projects as they navigate such uncertainty, which could have a material negative effect on our business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are unable to provide energy storage solutions that qualify our customers for the domestic content bonus credit under the OBBBA on the timeline and in such quantities that we currently anticipate, then there may be negative impacts to our reputation, ability to compete in the market, demand from our customers, and our financial condition. Our competitors may be able to build a more robust domestic supply chain than us and may be able to offer customers U.S. domestic content products in greater quantity, with better pricing, and on a faster timeline than we may be able to if our production of our battery components in the U.S. (e.g., modules, cells, enclosures, and thermal management systems) is delayed or hindered or otherwise negatively impacted (including through the new FEOC restrictions under the OBBBA). Such impacts would adversely impact our brand and ability to compete, and in turn would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pPr>
      <w:r>
        <w:rPr>
          <w:rFonts w:ascii="Times New Roman;serif" w:hAnsi="Times New Roman;serif"/>
          <w:b w:val="false"/>
          <w:color w:val="000000"/>
          <w:sz w:val="20"/>
        </w:rPr>
        <w:t>The new FEOC restrictions apply to virtually all key tax credits under the OBBBA and come in two forms: (i) in tax years beginning after July 4, 2025, the taxpayer taking the tax credit may not be a prohibited foreign entity (“PFE”) or under “effective control” by a PFE and (ii) for ITC projects that begin construction after 2025 and AMPC eligible components that are sold in tax years beginning after July 4, 2025, the project must source a certain percentage of material (which increases over time) from non-PFEs (which is otherwise known as the material assistance component). On July 7, President Trump issued an execut</w:t>
      </w:r>
      <w:r>
        <w:rPr>
          <w:rFonts w:ascii="Times New Roman;serif" w:hAnsi="Times New Roman;serif"/>
          <w:b w:val="false"/>
          <w:color w:val="000000"/>
          <w:sz w:val="20"/>
          <w:shd w:fill="FFFFFF" w:val="clear"/>
        </w:rPr>
        <w:t>ive order titled “Ending Market-Distorting Subsidies for Unreliable, Foreign Controlled Energy Sources,” which, among other things, tasked the U.S. Department of Treasury with promptly implementing the enhanced FEOC restrictions established by the OBBBA to ensure FEOC ownership/control and material assistance restrictions are implemented within the compliance timeframe. We believe that under the current language of the OBBBA, which is subject to final rules and further guidance, certain of our US domestic suppliers may be impacted by these new FEOC restrictions.</w:t>
      </w:r>
      <w:r>
        <w:rPr>
          <w:color w:val="000000"/>
        </w:rPr>
        <w:t xml:space="preserve"> </w:t>
      </w:r>
      <w:r>
        <w:rPr>
          <w:rFonts w:ascii="Times New Roman;serif" w:hAnsi="Times New Roman;serif"/>
          <w:b w:val="false"/>
          <w:color w:val="000000"/>
          <w:sz w:val="20"/>
          <w:shd w:fill="FFFFFF" w:val="clear"/>
        </w:rPr>
        <w:t xml:space="preserve">In the event any of our US domestic suppliers is unable to meet the FEOC requirements necessary to qualify for tax credits under the ITC and AMPC by the applicable deadlines set forth under the OBBBA, which remains subject to further implementing regulations and guidance, </w:t>
      </w:r>
      <w:r>
        <w:rPr>
          <w:rFonts w:ascii="Times New Roman;serif" w:hAnsi="Times New Roman;serif"/>
          <w:b w:val="false"/>
          <w:color w:val="000000"/>
          <w:sz w:val="20"/>
        </w:rPr>
        <w:t>our reputation, ability to compete in the market</w:t>
      </w:r>
      <w:r>
        <w:rPr>
          <w:rFonts w:ascii="Times New Roman;serif" w:hAnsi="Times New Roman;serif"/>
          <w:b w:val="false"/>
          <w:color w:val="000000"/>
          <w:sz w:val="20"/>
          <w:shd w:fill="FFFFFF" w:val="clear"/>
        </w:rPr>
        <w:t>, and our financial condition may be adversely impacted. There is no guarantee that the steps, plans, and/or strategy we and our U.S. domestic suppliers are implementing will be successful in mitigating the risks related to the FEOC requirements under the OBBBA, and any further related guidance or interpretation thereof or that any such actions taken to address these FEOC concerns will be implemented and completed prior to applicable compliance deadlines under the OBBBA for the applicable tax credits. Further, there are limited U.S. suppliers for certain components of our domestic content products. If a domestic supplier is unable to provide us with components that are free from any FEOC concerns and we cannot find a substitute source for such components from another U.S. supplier in a timely manner, at a competitive price, or in such quantities that we require that are OBBBA-compliant, then there may be negative impacts on the ability to qualify for the ITC and/or the AMPC and we may be unable to meet obligations under customer contracts for our projects. There would then be corresponding negative impacts to our business, results of operations, and reputation. In addition, there i</w:t>
      </w:r>
      <w:r>
        <w:rPr>
          <w:rFonts w:ascii="Times New Roman;serif" w:hAnsi="Times New Roman;serif"/>
          <w:b w:val="false"/>
          <w:color w:val="000000"/>
          <w:sz w:val="20"/>
        </w:rPr>
        <w:t>s currently uncertainty on how the FEOC restrictions will be implemented and interpreted by the administration. Forthcoming guidance related to the OBBBA and FEOC requirements from the U.S. Department of Treasury could be drafted in such manner that may be adverse to the Company’s interests and FEOC restrictions and which may introduce credit qualification uncertainty that could impact our future projects.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full impact of the modifications to the tax credits and FEOC restrictions in the OBBBA, its accompanying guidance, and potential future changes in law that may apply to our business and operations as well as our customers’ and suppliers’ businesses cannot be known with certainty and we may not recognize the full extent of benefits we currently anticipate, which may materially and adversely impact our business, financial condition, and results of operations. We are continuing to evaluate the potential overall impact and applicability of these tax credits, as modified by the OBBBA, and any potential future changes in law on our business and operations. </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international markets in which we operate or may operate in the future have or may in the future put in place policies to promote renewable energy, including energy storage. These incentives and mechanisms vary from country to country. In seeking to achieve growth internationally, we have made and may in the future make investments that, to some extent, rely on governmental incentives and support in a new market. We may not be able to optimize the benefits offered by these incentives or realize the growth that we expect from investments in the incentives, particularly in relation to competitors whose products might benefit disproportionately from these incentives. There is no assurance that these governments will continue to provide sufficient incentives and support to the energy storage industry and that the industry in any particular country will not suffer significant downturns in the future as the result of changes in public policies or government interest in renewable energy, any of which would adversely affect demand for our energy storage solutions and services. </w:t>
      </w:r>
    </w:p>
    <w:p>
      <w:pPr>
        <w:pStyle w:val="TextBody"/>
        <w:bidi w:val="0"/>
        <w:spacing w:lineRule="auto" w:line="288" w:before="16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Changes in the global trade environment, including the imposition of new tariffs, changes to existing tariffs, and related general economic uncertainty, has impacted and may in the future impact our business and operations and has and may in the future adversely affect the amount or timing of our revenues, results of operations, and cash flows in the future.</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Beginning in early 2025, the United States government imposed significant new tariffs on nearly all products and components imported into the United States (including certain materials and components used in our energy storage solutions) from nearly all other countries and may propose additional tariffs, increases, or modifications to those currently in place. These new tariff rates have continued to fluctuate since the time of implementation in early 2025 and the exact scope of any such tariffs that will remain in place or ultimately be implemented is not known and the ultimate impacts on our business and operations is uncertain.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Additionally, in May 2024, the Biden administration announced a significant shift in the tariff framework for the energy storage industry. Under this May 2024 structure, the Section 301 tariff rate on lithium-ion non-EV batteries imported from China will increase from the current 7.5% to 25%, effective January 1, 2026. This change specifically targeted "batteries" as defined by U.S. Customs and Border Protection, encompassing battery energy storage systems, modules, and certain types of cells, including those used in our energy storage solutions. Under the May 2024 structure, the Section 301 tariff rate on battery "parts"–including separators, electrolytes, cans, and electrodes remains at its current 25% level.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As of the filing date of this Report, covered imports relevant to our energy storage systems will be subject to the 10% China-specific “reciprocal tariff”, plus th</w:t>
      </w:r>
      <w:r>
        <w:rPr>
          <w:rFonts w:ascii="Times New Roman;serif" w:hAnsi="Times New Roman;serif"/>
          <w:b w:val="false"/>
          <w:color w:val="000000"/>
          <w:sz w:val="20"/>
          <w:shd w:fill="FFFFFF" w:val="clear"/>
        </w:rPr>
        <w:t>e current China-specific 20% “fentanyl-related tariff”, plus the 3.4% base tariff on all countries,</w:t>
      </w:r>
      <w:r>
        <w:rPr>
          <w:color w:val="000000"/>
        </w:rPr>
        <w:t xml:space="preserve"> </w:t>
      </w:r>
      <w:r>
        <w:rPr>
          <w:rFonts w:ascii="Times New Roman;serif" w:hAnsi="Times New Roman;serif"/>
          <w:b w:val="false"/>
          <w:color w:val="000000"/>
          <w:sz w:val="20"/>
          <w:shd w:fill="FFFFFF" w:val="clear"/>
        </w:rPr>
        <w:t xml:space="preserve">plus the applicable Section 301 tariff. </w:t>
      </w:r>
      <w:r>
        <w:rPr>
          <w:rFonts w:ascii="Times New Roman;serif" w:hAnsi="Times New Roman;serif"/>
          <w:b w:val="false"/>
          <w:color w:val="000000"/>
          <w:sz w:val="20"/>
        </w:rPr>
        <w:t>We have exposure to these Chinese tariffs, as we currently import a number of components, including battery c</w:t>
      </w:r>
      <w:r>
        <w:rPr>
          <w:rFonts w:ascii="Times New Roman;serif" w:hAnsi="Times New Roman;serif"/>
          <w:b w:val="false"/>
          <w:color w:val="000000"/>
          <w:sz w:val="20"/>
          <w:shd w:fill="FFFFFF" w:val="clear"/>
        </w:rPr>
        <w:t xml:space="preserve">ells from China, into the United States for customers and projects in the United States. We also import other components for our energy storage solutions from other countries as well, including Vietnam and countries in Europe, that are subject to tariff uncertainty and/or increased tariffs from the U.S. over the course of the past year. Retaliatory tariffs imposed by the United States and by other countries in response and the uncertainties surrounding domestic and foreign tariffs have impacted, and could in the future adversely impact, demand for our solutions. </w:t>
      </w:r>
      <w:r>
        <w:rPr>
          <w:rFonts w:ascii="Times New Roman;serif" w:hAnsi="Times New Roman;serif"/>
          <w:b w:val="false"/>
          <w:color w:val="000000"/>
          <w:sz w:val="20"/>
        </w:rPr>
        <w:t xml:space="preserve">A large portion of our current suppliers are located outside of the United States, including certain battery suppliers in China, and there continues to be uncertainty about the future relationship between the United States and other countries with respect to trade policies, taxes, and government regulations. Changes to tariffs and trade policy have impacted our supply chain and supply chain strategies, both domestically and internationally, in the past, continue to have impacts on our supply chain and supply chain strategies, and may impact our supply chain and supply chain strategies in the future. These changes has had and may in the future have an adverse impact on our results of operations and business.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There is no guarantee that the steps we have taken to ramp up domestic production of key products and components of our energy storage solutions in the United States will proceed on the anticipated timeline nor that such steps will successfully mitigate the impacts of any tariffs. We have faced and we may in the future face unanticipated costs and delays in developing our domestic supply chain, and there is no guarantee we will be able to scale domestic production to the degree in regards to volume, quality, and as quickly as would be required to avoid material adverse impacts to the business and our results of operations from changes in the trade environment.</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The economic uncertainty created by the rapid recent changes in tariff policy in the United States has impacted, and may continue to adversely impact our customer contracting activity. I</w:t>
      </w:r>
      <w:r>
        <w:rPr>
          <w:rFonts w:ascii="Times New Roman;serif" w:hAnsi="Times New Roman;serif"/>
          <w:b w:val="false"/>
          <w:color w:val="000000"/>
          <w:sz w:val="20"/>
        </w:rPr>
        <w:t>n response to this tariff-related uncertainty, we have mutually agreed, and may in the future agree,</w:t>
      </w:r>
      <w:r>
        <w:rPr>
          <w:color w:val="000000"/>
          <w:shd w:fill="FFFFFF" w:val="clear"/>
        </w:rPr>
        <w:t xml:space="preserve"> </w:t>
      </w:r>
      <w:r>
        <w:rPr>
          <w:rFonts w:ascii="Times New Roman;serif" w:hAnsi="Times New Roman;serif"/>
          <w:b w:val="false"/>
          <w:color w:val="000000"/>
          <w:sz w:val="20"/>
          <w:shd w:fill="FFFFFF" w:val="clear"/>
        </w:rPr>
        <w:t xml:space="preserve">with certain customers to delay entry into new energy storage solutions contracts and to pause active, currently signed contracts that are under project execution until there exists better visibility and certainty on the tariff environment. We may also experience cancellation of customers’ orders of our energy storage solutions in the future due to such tariff uncertainty. Such customer contracting behavior in response to the tariff-related uncertainty has adversely impacted and may in the future adversely impact our business and results of operations.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In addition, currently there are ongoing investigations into certain additional tariffs on specific imports and trade practices that may result in tariffs and/or more restrictive trade duties and restrictions on components for our energy storage solutions that we import into the U.S. from overseas. For example, there is an active anti-dumping/countervailing (“AD/CV”) proceeding before the U.S. International Trade Commission and U.S. Department of Commerce (“DOC”) regarding Chinese graphite active anode material (“AAM”) imports and downstream imports that utilize graphite AAM, which includes imports utilized in our energy storage systems. </w:t>
      </w:r>
      <w:r>
        <w:rPr>
          <w:rFonts w:ascii="Times New Roman;serif" w:hAnsi="Times New Roman;serif"/>
          <w:b w:val="false"/>
          <w:color w:val="000000"/>
          <w:sz w:val="20"/>
        </w:rPr>
        <w:t>On May 20, 2025, there was a preliminary CV determination by the DOC that assigned a CV rate of 11.58%. On July 18, 2025, there was a preliminary AD determination by the DOC that assigned a “separate” AD tariff of 93.5% to certain entities and an adverse AD tariff of 102.72% to entities that are de facto controlled by the government of China. The AD/CV tariff rates and scope of imports subject to the tariffs may change at the final determination by DOC, which is expected on or by December 5, 2025. We may not be able to find alternative sourcing to replace or supplement any affected suppliers in a timely fashion and face higher pricing as a result. We are still assessing the ultimate impact these tariffs could have on our suppliers, our business, our suppliers’ pricing decisions, and are waiting for the final determination from the DOC to be issued later this calendar year. D</w:t>
      </w:r>
      <w:r>
        <w:rPr>
          <w:rFonts w:ascii="Times New Roman;serif" w:hAnsi="Times New Roman;serif"/>
          <w:b w:val="false"/>
          <w:color w:val="000000"/>
          <w:sz w:val="20"/>
          <w:shd w:fill="FFFFFF" w:val="clear"/>
        </w:rPr>
        <w:t>ue to the uncertainty relating to the final outcome of the various investigations, including the AD/CV proceeding described above, we cannot predict the ultimate impact the outcome of these investigations and any resulting tariffs or other trade actions could have to our business,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current tariffs and trade policy as well as future tariffs and trade policy and resulting economic conditions as well as tariff uncertainty in the markets in which we operate may materially increase costs of certain components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inventory costs, has and may in the future impact our strategy, has impacted and may continue to impact demand for our solutions, has affected and may further negatively affect our customers, suppliers, and manufacturing partners and their own respective businesses and operations, has required and may in the future require significant attention from our management, and may significantly harm our business, prospects, financial condition, and operating results if we are unable to manage these impacts effectively.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Risks Related to the 2030 Convertible Senior Notes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the 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we had approximately $400.0 million of indebtedness outstanding under the 2030 Convertible Senior Notes, and no cash borrowings outstanding under the 2024 Revolver (excluding $157.5 million letters of credit outstanding thereunder), with remaining availability of $342.5 million, net of letters of credit issued. All borrowings and obligations under the 2024 Revolver will be effectively senior to our obligations under the 2030 Convertible Senior Notes to the extent of the value of the assets securing such borrowings and obligations, and structurally senior to the 2030 Convertible Senior Notes as the 2030 Convertible Senior Notes are not guaranteed by Fluence Energy, LLC, a borrower under the 2024 Revolver.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incur additional indebtedness to meet future financing needs. Our indebtedness could have significant negative consequences for our security holders and our business, results of operations, and financial condition by, among other things: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making it more difficult for us to satisfy our obligations with respect to our 2030 Convertible Senior Notes and our other debt;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limiting our ability to obtain additional financing to fund future working capital, capital expenditures, acquisitions, or other general corporate requirements;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increasing our vulnerability to adverse economic and industry conditions;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exposing us to the risk of increased interest rates to the extent any of our borrowings are at variable rates of interest;</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limiting our flexibility in planning for and reacting to changes in the industry in which we compete;</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placing us at a disadvantage compared to other, less leveraged competitors; and</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increasing our cost of borrowing.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additional indebtedness we incur will heighten the potential for the consequences discussed above and could negatively impact our credit ratings, if any, in the future.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may not generate sufficient funds, and we may otherwise be unable to maintain sufficient cash reserves, to pay amounts due under our indebtedness, including the 2030 Convertible Senior Notes, and our cash needs may increase in the future. In addition, the 2024 Revolver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We conduct all of our operations through our subsidiaries, including Fluence Energy, LLC, and may not be able to receive dividends or other distributions in needed amounts from our subsidiaries; Fluence Energy, Inc. is a holding company.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conduct all of our operations through our subsidiaries, including Fluence Energy, LLC; Fluence Energy, Inc. is a holding company. Accordingly, payment of interest or repayment of principal on our indebtedness, including the 2030 Convertible Senior Notes, is significantly dependent on the generation of cash flow by our subsidiaries and their ability to make such cash available to us, by dividend, interest payment on debt they owe to us (including interest payments on the 2.25% Intercompany Subordinated Convertible Note issued by Fluence Energy, LLC to Fluence Energy, Inc., dated December 12, 2024 (the “Intercompany Convertible Note”)), debt repayment, or otherwise. None of our subsidiaries will guarantee the 2030 Convertible Senior Notes and our subsidiaries will not have any obligation to pay amounts due on the 2030 Convertible Senior Notes or to make funds available for that purpose. Noteholders are not entitled to rights under the Intercompany Convertible Note. Fluence Energy, LLC’s failure to make interest payments thereunder will not itself constitute a default or event of default under the indenture governing the 2030 Convertible Senior Notes. We have pledged our interest in the Intercompany Convertible Note to secure our obligations under the 2024 Revolver, and the Intercompany Convertible Note is subordinated in right of payment to Fluence Energy, LLC’s obligations under the 2024 Revolver and its other indebtedness. Our subsidiaries may not be able to, or may not be permitted to, make distributions to enable us to make payments in respect of our indebtedness, including the 2030 Convertible Senior Notes. Each subsidiary is a distinct legal entity, and, under certain circumstances, legal and contractual restrictions may limit our ability to obtain cash from our subsidiaries. While the agreement governing our 2024 Revolver limits the ability of certain of our subsidiaries to incur restrictions on their ability to pay dividends or make other intercompany payments to us, these limitations are subject to qualifications and exceptions. Additionally, the agreement governing our 2024 Revolver limits the ability of Fluence Energy, LLC to pay dividends or make other distributions to us, and substantially limits our ability to prepay or repay the principal amount of the 2030 Convertible Senior Notes with cash, upon conversion, maturity or otherwise. Furthermore, other holders of LLC Interests are entitled to participate pro rata with Fluence Energy, Inc. in dividends from Fluence Energy, LLC. In the event that we do not receive distributions from our subsidiaries, we may be unable to make required principal and interest payments on our indebtedness, including the 2030 Convertible Senior Notes.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Higher interest rates could increase the cost of refinancing our indebtedness and could cause our debt service obligations to increase significantly.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high interest rate environment could adversely impact us. If interest rates remain at their current elevated levels or continue to increase, this could adversely impact our ability to refinance existing indebtedness or obtain additional debt financing on acceptable terms or at all. In addition, we expect this refinancing effort will, and future debt refinancings may, increase our debt service obligations as we refinance lower interest rate debt with higher interest rate debt.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conditional conversion feature of the 2030 Convertible Senior Notes, if triggered, may adversely affect our financial condition and results of operations.</w:t>
      </w:r>
    </w:p>
    <w:p>
      <w:pPr>
        <w:pStyle w:val="TextBody"/>
        <w:bidi w:val="0"/>
        <w:spacing w:lineRule="auto" w:line="288" w:before="1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event the conditional conversion feature of the 2030 Convertible Senior Notes is triggered, noteholders will be entitled to convert the 2030 Convertible Senior Notes at any time during specified periods at their option. If one or more holders elect to convert their 2030 Convertible Senior Notes, we may, to the extent permitted by, and subject to compliance with the terms of, the agreement governing the 2024 Revolver and our other indebtedness in existence at such time, settle a portion or all of our conversion obligation through the payment of cash, which could adversely affect our liquidity.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issuance or sale of shares of our Class A common stock, or rights to acquire shares of our Class A common stock, could depress the trading price of our Class A common stock and the 2030 Convertible Senior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conduct future offerings of our Class A common stock, preferred stock, or other securities that are convertible into or exercisable for our Class A common stock to finance our operations, fund acquisitions, or for other purposes. The sale of shares of our Class A common stock or other securities that are convertible into or exercisable for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 In addition, upon conversion of the 2030 Convertible Senior Notes, we will pay consideration that consists of cash, shares of our Class A common stock, or a combination of cash and shares of our Class A common stock (together with cash in lieu of any fractional shares, if applicable), at our election. These factors could also make it more difficult for us to raise additional funds through future offerings of our shares of Class A common stock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securities. We have also reserved 9,500,000 shares of our Class A common stock for issuance under our 2021 Incentive Award Plan (the “2021 Equity Plan”).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Indenture governing the 2030 Convertible Senior Notes does not restrict our ability to issue additional equity securities. If we issue additional shares of our Class A common stock or rights to acquire shares of our Class A common stock, if any of our existing stockholders sells a substantial amount of our Class A common stock, or if the market perceives that such issuances or sales may occur, then the trading price of our Class A common stock, and, accordingly, the 2030 Convertible Senior Notes may significantly decline. In addition, our issuance of additional shares of Class A common stock will dilute the ownership interests of our existing common stockholders, including noteholders who have received shares of our Class A common stock upon conversion of their 2030 Convertible Senior Notes, and any Class A common stock issued upon conversion of the 2030 Convertible Senior Notes may dilute the interests of our existing common stockholders.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accounting method for the 2030 Convertible Senior Notes could adversely affect our reported financial condition and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accounting method for reflecting the 2030 Convertible Senior Notes on our balance sheet, accruing interest expense for the 2030 Convertible Senior Notes and reflecting the underlying shares of our Class A common stock in our reported diluted earnings per share may adversely affect our reported earnings and financial condition.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applicable accounting standards, the 2030 Convertible Senior Notes are reflected as a liability on our balance sheets, with the initial carrying amount equal to the principal amount of the 2030 Convertible Senior Notes, net of issuance costs. The issuance costs are treated as a debt discount for accounting purposes, which will be amortized into interest expense over the term of the 2030 Convertible Senior Notes. As a result of this amortization, the interest expense that we expect to recognize for the 2030 Convertible Senior Notes for accounting purposes will be greater than the cash interest payments we will pay on the 2030 Convertible Senior Notes, which will result in lower reported income.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potential dilutive shares underlying the 2030 Convertible Senior Notes are reflected in our diluted earnings per share using the “if converted” method. The denominator of diluted earnings per share for the 2030 Convertible Senior Notes is determined by multiplying the principal amount of the 2030 Convertible Senior Notes by the applicable conversion rate for the reporting period. The after-tax interest expense associated with the 2030 Convertible Senior Notes is added back to the numerator of the diluted earnings per share calculation for these purposes. However, if reflecting the 2030 Convertible Senior Notes in diluted earnings per share in this manner is anti-dilutive, then the shares underlying the 2030 Convertible Senior Notes will not be reflected in our diluted earnings per share. The application of the if-converted method may reduce our reported diluted earnings per share, and accounting standards may change in the future in a manner that may adversely affect our diluted earnings per share.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if any of the conditions to the convertibility of the 2030 Convertible Senior Notes is satisfied, then we may be required under applicable accounting standards to reclassify the liability carrying value of the 2030 Convertible Senior Notes as a current, rather than a long-term liability. This reclassification could be required even if no noteholders convert their 2030 Convertible Senior Notes and could materially reduce our reported working capital.</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Provisions in the 2030 Convertible Senior Notes and the Indenture governing the 2030 Convertible Senior Notes could delay or prevent an otherwise beneficial takeover of us.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provisions in the 2030 Convertible Senior Notes and its Indenture could make a third-party attempt to acquire us more difficult or expensive. For example, if a takeover constitutes a “fundamental change”, then noteholders will have the right to require us to repurchase their 2030 Convertible Senior Notes for cash. In addition, if a takeover constitutes a “make-whole fundamental change” (as defined in the Indenture), then we may be required to temporarily increase the conversion rate. In either case, and in other cases, our obligations under the 2030 Convertible Senior Notes and the Indenture could increase the cost of acquiring us or otherwise discourage a third party from acquiring us or removing incumbent management, including in a transaction that noteholders or holders of our Class A common stock may view as favorable.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 capped call transactions may affect the value of the 2030 Convertible Senior Notes and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2030 Convertible Senior Notes, we entered into privately negotiated capped call transactions with the option counterparties. The capped call transactions cover, subject to customary adjustments, the number of shares of our Class A common stock underlying the 2030 Convertible Senior Notes. The capped call transactions are expected to offset the potential dilution and/or offset any cash payments we are required to make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excess of the principal amount of converted 2030 Convertible Senior Notes, as the case may be, as a result of conversion of the 2030 Convertible Senior Notes, with such offset subject to a cap.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been advised that, in connection with establishing their initial hedges of the capped call transactions, the option counterparties or their respective affiliates entered into various derivative transactions with respect to our Class A common stock and/or purchased shares of our Class A common stock.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counterparties and/or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pricing of the 2030 Convertible Senior Notes and prior to the maturity of the 2030 Convertible Senior Notes (and are likely to do so (x) during any observation period related to a conversion of the 2030 Convertible Senior Notes or following any redemption or fundamental change repurchase of the 2030 Convertible Senior Notes, (y) following any other repurchase of the 2030 Convertible Senior Notes if we unwind a corresponding portion of the capped call transactions in connection with such repurchase and (z) if we otherwise unwind all or a portion of the capped call transactions). This activity could also cause or avoid an increase or a decrease in the market price of our Class A common stock.</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capped call transactions.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counterparties to the capped call transactions are financial institutions, or their affiliates, and we will be subject to the risk that one or more of the counterparties may default or otherwise fail to perform, or may exercise certain rights to terminate, their obligations under the capped call transactions. Our exposure to the credit risk of the counterparties is not secured by any collateral.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Global economic conditions have in the past resulted in the actual or perceived potential failure or financial difficulties of many financial institutions. If a counterparty to one or more capped call transactions becomes subject to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Class A common stock increases. In addition, upon a default or other failure to perform, or a termination of obligations, by a counterparty, the counterparty may fail to deliver the shares of common stock required to be delivered to us under the capped call transactions and we may experience adverse tax consequences and more dilution than we currently anticipate with respect to our Class A common stock. We can provide no assurances as to the financial stability or viability of any of the counterparties.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unregistered sales of our equity securities during the quarter ended June 30, 2025 that were not otherwise disclosed in a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     </w:t>
      </w:r>
      <w:r>
        <w:rPr>
          <w:rFonts w:ascii="Times New Roman;serif" w:hAnsi="Times New Roman;serif"/>
          <w:b/>
          <w:color w:val="000000"/>
          <w:sz w:val="20"/>
          <w:u w:val="single"/>
        </w:rPr>
        <w:t xml:space="preserve">Director and Officer Rule 10b5-1 Trading Arrangements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no directors or “officers” (as defined in Rule 16a-1(f) under the Exchange Act) of the Company adopted, modified, or terminated “Rule 10b5-1 trading arrangements” and/or “non-Rule 10b5-1 trading arrangements”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(a)The following exhibits are filed as part of this Report. </w:t>
      </w:r>
    </w:p>
    <w:tbl>
      <w:tblPr>
        <w:tblW w:w="10205" w:type="dxa"/>
        <w:jc w:val="left"/>
        <w:tblInd w:w="0" w:type="dxa"/>
        <w:tblLayout w:type="fixed"/>
        <w:tblCellMar>
          <w:top w:w="28" w:type="dxa"/>
          <w:left w:w="28" w:type="dxa"/>
          <w:bottom w:w="28" w:type="dxa"/>
          <w:right w:w="28" w:type="dxa"/>
        </w:tblCellMar>
      </w:tblPr>
      <w:tblGrid>
        <w:gridCol w:w="267"/>
        <w:gridCol w:w="234"/>
        <w:gridCol w:w="236"/>
        <w:gridCol w:w="109"/>
        <w:gridCol w:w="109"/>
        <w:gridCol w:w="109"/>
        <w:gridCol w:w="2135"/>
        <w:gridCol w:w="1950"/>
        <w:gridCol w:w="1889"/>
        <w:gridCol w:w="170"/>
        <w:gridCol w:w="170"/>
        <w:gridCol w:w="171"/>
        <w:gridCol w:w="256"/>
        <w:gridCol w:w="256"/>
        <w:gridCol w:w="224"/>
        <w:gridCol w:w="238"/>
        <w:gridCol w:w="238"/>
        <w:gridCol w:w="239"/>
        <w:gridCol w:w="354"/>
        <w:gridCol w:w="354"/>
        <w:gridCol w:w="497"/>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37" w:type="dxa"/>
            <w:gridSpan w:val="3"/>
            <w:tcBorders/>
            <w:tcMar>
              <w:top w:w="0" w:type="dxa"/>
              <w:left w:w="0" w:type="dxa"/>
              <w:bottom w:w="0" w:type="dxa"/>
              <w:right w:w="0" w:type="dxa"/>
            </w:tcMar>
            <w:vAlign w:val="center"/>
          </w:tcPr>
          <w:p>
            <w:pPr>
              <w:pStyle w:val="TableContents"/>
              <w:bidi w:val="0"/>
              <w:spacing w:lineRule="auto" w:line="271" w:before="200" w:after="283"/>
              <w:jc w:val="center"/>
              <w:rPr>
                <w:rFonts w:ascii="Times New Roman;serif" w:hAnsi="Times New Roman;serif"/>
                <w:b/>
                <w:color w:val="000000"/>
                <w:sz w:val="16"/>
              </w:rPr>
            </w:pPr>
            <w:r>
              <w:rPr>
                <w:rFonts w:ascii="Times New Roman;serif" w:hAnsi="Times New Roman;serif"/>
                <w:b/>
                <w:color w:val="000000"/>
                <w:sz w:val="16"/>
              </w:rPr>
              <w:t xml:space="preserve">Exhibit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File No.</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Filing Date</w:t>
            </w:r>
          </w:p>
        </w:tc>
      </w:tr>
      <w:tr>
        <w:trPr/>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u w:val="single"/>
                </w:rPr>
                <w:t>Amended and Restated Certificate of Incorporation of Fluence Energy, Inc.</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001-40978</w:t>
            </w:r>
          </w:p>
        </w:tc>
        <w:tc>
          <w:tcPr>
            <w:tcW w:w="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 2021</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First Certificate of Amendment to the Amended and Restated Certificate of Incorporation of Fluence Energy, Inc.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001-40978</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22, 2022</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 xml:space="preserve">Certificate of Retirement of 65,674,195 shares of Class B-1 Common Stock Fluence Energy, Inc. </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001-40978</w:t>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2024</w:t>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Fluence Energy, Inc.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001-40978</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 2021</w:t>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3q10-q2025ex311.htm">
              <w:r>
                <w:rPr>
                  <w:rStyle w:val="InternetLink"/>
                  <w:rFonts w:ascii="Times New Roman;serif" w:hAnsi="Times New Roman;serif"/>
                  <w:b w:val="false"/>
                  <w:color w:val="0000FF"/>
                  <w:sz w:val="20"/>
                  <w:u w:val="single"/>
                </w:rPr>
                <w:t>Certification of the Company’s Chief Executive Officer pursuant to Rule 13a-14(a) and Rule 15d-14(a) of the Securities Exchange Act of 1934, as amended, pursuant to Section 302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3q10-q2025ex312.htm">
              <w:r>
                <w:rPr>
                  <w:rStyle w:val="InternetLink"/>
                  <w:rFonts w:ascii="Times New Roman;serif" w:hAnsi="Times New Roman;serif"/>
                  <w:b w:val="false"/>
                  <w:color w:val="0000FF"/>
                  <w:sz w:val="20"/>
                  <w:u w:val="single"/>
                </w:rPr>
                <w:t>Certification of the Company’s Chief Financial Officer pursuant to Rule 13a-14(a) and Rule 15d-14(a) of the Securities Exchange Act of 1934, as amended, pursuant to Section 302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3q10-q2025ex321.htm">
              <w:r>
                <w:rPr>
                  <w:rStyle w:val="InternetLink"/>
                  <w:rFonts w:ascii="Times New Roman;serif" w:hAnsi="Times New Roman;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3q10-q2025ex322.htm">
              <w:r>
                <w:rPr>
                  <w:rStyle w:val="InternetLink"/>
                  <w:rFonts w:ascii="Times New Roman;serif" w:hAnsi="Times New Roman;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c>
          <w:tcPr>
            <w:tcW w:w="51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Filed herewith.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This certification is being furnished solely to accompany this Quarterly Report on Form 10-Q pursuant to 18 U.S.C. Section 1350, and is not being filed for purposes of Section 18 of the Securities Exchange Act of 1934, as amended (the “Exchange Act”), or otherwise subject to the liability of that section, nor shall it be deemed incorporated by reference into any filing of the registrant under the Securities Act of 1933, as amended,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5cacc77d7ca4e339af513939e53cfc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52"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pPr>
      <w:r>
        <w:rPr/>
      </w:r>
    </w:p>
    <w:tbl>
      <w:tblPr>
        <w:tblW w:w="6416" w:type="dxa"/>
        <w:jc w:val="left"/>
        <w:tblInd w:w="0" w:type="dxa"/>
        <w:tblLayout w:type="fixed"/>
        <w:tblCellMar>
          <w:top w:w="28" w:type="dxa"/>
          <w:left w:w="28" w:type="dxa"/>
          <w:bottom w:w="28" w:type="dxa"/>
          <w:right w:w="28" w:type="dxa"/>
        </w:tblCellMar>
      </w:tblPr>
      <w:tblGrid>
        <w:gridCol w:w="705"/>
        <w:gridCol w:w="621"/>
        <w:gridCol w:w="624"/>
        <w:gridCol w:w="197"/>
        <w:gridCol w:w="197"/>
        <w:gridCol w:w="197"/>
        <w:gridCol w:w="197"/>
        <w:gridCol w:w="197"/>
        <w:gridCol w:w="197"/>
        <w:gridCol w:w="962"/>
        <w:gridCol w:w="962"/>
        <w:gridCol w:w="136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Inc.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Julian Nebreda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Julian Nebreda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and President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tbl>
      <w:tblPr>
        <w:tblW w:w="9340"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9"/>
        <w:gridCol w:w="109"/>
        <w:gridCol w:w="109"/>
        <w:gridCol w:w="1946"/>
        <w:gridCol w:w="1946"/>
        <w:gridCol w:w="276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Ahmed Pasha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 (Principal Financial Officer)</w:t>
            </w:r>
          </w:p>
        </w:tc>
      </w:tr>
    </w:tbl>
    <w:p>
      <w:pPr>
        <w:pStyle w:val="TextBody"/>
        <w:bidi w:val="0"/>
        <w:spacing w:before="160" w:after="283"/>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Julian Nebreda, certify that: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63"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949"/>
        <w:gridCol w:w="949"/>
        <w:gridCol w:w="13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Julian Nebreda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President</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(Principal Executive Officer)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I, Ahmed Pasha, certify that: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Fluence Energy, Inc.;</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firstLine="360"/>
        <w:jc w:val="both"/>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84" w:type="dxa"/>
        <w:jc w:val="left"/>
        <w:tblInd w:w="0" w:type="dxa"/>
        <w:tblLayout w:type="fixed"/>
        <w:tblCellMar>
          <w:top w:w="28" w:type="dxa"/>
          <w:left w:w="28" w:type="dxa"/>
          <w:bottom w:w="28" w:type="dxa"/>
          <w:right w:w="28" w:type="dxa"/>
        </w:tblCellMar>
      </w:tblPr>
      <w:tblGrid>
        <w:gridCol w:w="124"/>
        <w:gridCol w:w="109"/>
        <w:gridCol w:w="109"/>
        <w:gridCol w:w="197"/>
        <w:gridCol w:w="197"/>
        <w:gridCol w:w="197"/>
        <w:gridCol w:w="197"/>
        <w:gridCol w:w="197"/>
        <w:gridCol w:w="197"/>
        <w:gridCol w:w="1948"/>
        <w:gridCol w:w="1948"/>
        <w:gridCol w:w="27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Fluence Energy,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Ahmed Pasha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Fluence Energy, Inc. (the “Company”) for the period ended June 30, 2025 as filed with the Securities and Exchange Commission on the date hereof (the “Report”), I, Julian Nebreda, Chief Executive Officer and President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160" w:after="283"/>
        <w:ind w:left="0" w:right="0" w:hanging="27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p>
      <w:pPr>
        <w:pStyle w:val="TextBody"/>
        <w:bidi w:val="0"/>
        <w:spacing w:before="160" w:after="283"/>
        <w:jc w:val="left"/>
        <w:rPr/>
      </w:pPr>
      <w:r>
        <w:rPr/>
      </w:r>
    </w:p>
    <w:p>
      <w:pPr>
        <w:pStyle w:val="TextBody"/>
        <w:bidi w:val="0"/>
        <w:spacing w:before="160" w:after="283"/>
        <w:jc w:val="left"/>
        <w:rPr/>
      </w:pPr>
      <w:r>
        <w:rPr/>
      </w:r>
    </w:p>
    <w:tbl>
      <w:tblPr>
        <w:tblW w:w="6758"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666"/>
        <w:gridCol w:w="1666"/>
        <w:gridCol w:w="23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Julian Nebreda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Julian Nebreda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and President (Principal Executive Officer) </w:t>
            </w:r>
          </w:p>
        </w:tc>
      </w:tr>
    </w:tbl>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Fluence Energy, Inc. (the “Company”) for the period ended June 30, 2025 as filed with the Securities and Exchange Commission on the date hereof (the “Report”), I, Ahmed Pasha, Senior Vice President and Chief Financial Officer of the Company, certify, pursuant to 18 U.S.C. Section 1350, as adopted pursuant to Section 906 of the Sarbanes</w:t>
        <w:noBreakHyphen/>
        <w:t>Oxley Act of 2002, that, to the best of my knowledge:</w:t>
      </w:r>
    </w:p>
    <w:p>
      <w:pPr>
        <w:pStyle w:val="TextBody"/>
        <w:bidi w:val="0"/>
        <w:spacing w:lineRule="auto" w:line="288" w:before="16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160" w:after="283"/>
        <w:ind w:left="0" w:right="0" w:hanging="27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p>
      <w:pPr>
        <w:pStyle w:val="TextBody"/>
        <w:bidi w:val="0"/>
        <w:spacing w:before="160" w:after="283"/>
        <w:jc w:val="left"/>
        <w:rPr/>
      </w:pPr>
      <w:r>
        <w:rPr/>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2025</w:t>
      </w:r>
    </w:p>
    <w:tbl>
      <w:tblPr>
        <w:tblW w:w="773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09"/>
        <w:gridCol w:w="109"/>
        <w:gridCol w:w="1946"/>
        <w:gridCol w:w="1946"/>
        <w:gridCol w:w="27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Ahmed Pasha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 (Principal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68941/000110465921133771/tm2120236d16_ex3-1.htm" TargetMode="External"/><Relationship Id="rId3" Type="http://schemas.openxmlformats.org/officeDocument/2006/relationships/hyperlink" Target="https://www.sec.gov/Archives/edgar/data/1868941/000186894122000124/fluence-charteramendmentop.htm" TargetMode="External"/><Relationship Id="rId4" Type="http://schemas.openxmlformats.org/officeDocument/2006/relationships/hyperlink" Target="https://www.sec.gov/Archives/edgar/data/1868941/000186894124000049/fluence-certificateofretir.htm" TargetMode="External"/><Relationship Id="rId5" Type="http://schemas.openxmlformats.org/officeDocument/2006/relationships/hyperlink" Target="https://www.sec.gov/Archives/edgar/data/0001868941/000110465921133771/tm2120236d16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43999</Words>
  <Characters>245253</Characters>
  <CharactersWithSpaces>287445</CharactersWithSpaces>
  <Paragraphs>3359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