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Fluence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SPT Holding Sarl</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21,694,717.00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21,694,717.00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9</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21,694,717.00</w:t>
            </w:r>
          </w:p>
        </w:tc>
      </w:tr>
      <w:tr>
        <w:trPr/>
        <w:tc>
          <w:tcPr>
            <w:tcW w:w="2271"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Siemens Pension-Trust e.V.</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21,694,717.00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21,694,717.00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21,694,717.00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Siemens AG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19,738,064.00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21,694,717.00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19,738,064.00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21,694,717.00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41,432,781.00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66"/>
        <w:gridCol w:w="8984"/>
        <w:gridCol w:w="155"/>
      </w:tblGrid>
      <w:tr>
        <w:trPr/>
        <w:tc>
          <w:tcPr>
            <w:tcW w:w="1066" w:type="dxa"/>
            <w:tcBorders/>
            <w:vAlign w:val="center"/>
          </w:tcPr>
          <w:p>
            <w:pPr>
              <w:pStyle w:val="TableContents"/>
              <w:bidi w:val="0"/>
              <w:spacing w:before="0" w:after="283"/>
              <w:jc w:val="left"/>
              <w:rPr/>
            </w:pPr>
            <w:r>
              <w:rPr/>
              <w:t>Item 1.</w:t>
            </w:r>
          </w:p>
        </w:tc>
        <w:tc>
          <w:tcPr>
            <w:tcW w:w="89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(a)</w:t>
            </w:r>
          </w:p>
        </w:tc>
        <w:tc>
          <w:tcPr>
            <w:tcW w:w="8984" w:type="dxa"/>
            <w:tcBorders/>
            <w:vAlign w:val="center"/>
          </w:tcPr>
          <w:p>
            <w:pPr>
              <w:pStyle w:val="TableContents"/>
              <w:bidi w:val="0"/>
              <w:jc w:val="left"/>
              <w:rPr/>
            </w:pPr>
            <w:r>
              <w:rPr/>
              <w:t xml:space="preserve">Name of issuer: </w:t>
            </w:r>
          </w:p>
          <w:p>
            <w:pPr>
              <w:pStyle w:val="TableContents"/>
              <w:bidi w:val="0"/>
              <w:spacing w:before="0" w:after="0"/>
              <w:jc w:val="left"/>
              <w:rPr/>
            </w:pPr>
            <w:r>
              <w:rPr/>
              <w:t>Fluence Energy, Inc.</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(b)</w:t>
            </w:r>
          </w:p>
        </w:tc>
        <w:tc>
          <w:tcPr>
            <w:tcW w:w="89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4601 Fairfax Drive, Suite 600, Arlington, Virginia 22203</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2.</w:t>
            </w:r>
          </w:p>
        </w:tc>
        <w:tc>
          <w:tcPr>
            <w:tcW w:w="89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(a)</w:t>
            </w:r>
          </w:p>
        </w:tc>
        <w:tc>
          <w:tcPr>
            <w:tcW w:w="89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on behalf of SPT Holding Sarl ("SPT Holding"), Siemens Pension-Trust e.V. ("Siemens e.V.") and Siemens AG ("SAG" together with SPT Holding and Siemens e.V.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(b)</w:t>
            </w:r>
          </w:p>
        </w:tc>
        <w:tc>
          <w:tcPr>
            <w:tcW w:w="89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business address of SPT Holding is 21 Rue Edmond Reuter, Contern Luxembourg 5326. The business address of Siemens e.V. is Wittelsbacher Platz 2, 80333 Munich, Germany. The business address of SAG is Werner-von-Siemens-Strasse 1, 80333 Munich, Germany.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(c)</w:t>
            </w:r>
          </w:p>
        </w:tc>
        <w:tc>
          <w:tcPr>
            <w:tcW w:w="8984"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SPT Holding is organized under the laws of Luxembourg. SAG and Siemens e.V. are organized under the laws of Germany.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(d)</w:t>
            </w:r>
          </w:p>
        </w:tc>
        <w:tc>
          <w:tcPr>
            <w:tcW w:w="89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$0.00001 par value</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(e)</w:t>
            </w:r>
          </w:p>
        </w:tc>
        <w:tc>
          <w:tcPr>
            <w:tcW w:w="89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3.</w:t>
            </w:r>
          </w:p>
        </w:tc>
        <w:tc>
          <w:tcPr>
            <w:tcW w:w="89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(a)</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(b)</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(c)</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(d)</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(e)</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(f)</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(g)</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(h)</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(j)</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(k)</w:t>
            </w:r>
          </w:p>
        </w:tc>
        <w:tc>
          <w:tcPr>
            <w:tcW w:w="89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9139"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4.</w:t>
            </w:r>
          </w:p>
        </w:tc>
        <w:tc>
          <w:tcPr>
            <w:tcW w:w="89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(a)</w:t>
            </w:r>
          </w:p>
        </w:tc>
        <w:tc>
          <w:tcPr>
            <w:tcW w:w="89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in rows 5, 6, 7, 8, 9, 10, and 11 on each of the cover pages of this Schedule 13G is incorporated by reference in its entirety into this Item 4. As of June 30, 2026, SAG is the record holder of 19,738,064 shares of Class A common stock, $0.00001 par value ("Class A Common Stock") of Fluence Energy, Inc. (the "Issuer") and SPT Holding is the record holder of 21,694,717 shares of Class A Common Stock. SPT Holding is a wholly owned subsidiary of Siemens e.V. and as such, Siemens e.V. may be deemed to share beneficial ownership of the shares of Class A Common Stock beneficially owned by SPT Holding. SAG is an affiliate of Siemens e.V. and as such, may be deemed to share beneficial ownership of the shares of Class A Common Stock beneficially owned by Siemens e.V. Such beneficial ownership represents in the aggregate 29.3% of the total Class A Common Stock of the Issuer outstanding, based on 141,534,496 shares of Class A Common Stock of the Issuer outstanding as of May 12, 2026, as reflected in the Issuer's Prospectus Supplement on Form 424B7, which was filed with the Securities and Exchange Commission on May 13, 2026. The Reporting Persons, AES Grid Stability, LLC and Qatar Holding LLC (collectively, the "Stockholders") are parties to a Stockholder Agreement (the "Stockholder Agreement"), which contains, among other things, certain provisions relating to transfer of, and coordination of the voting of, securities of the Issuer by the parties thereto. By virtue of the Stockholder Agreement and the obligations and rights thereunder, the Reporting Persons acknowledge and agree that they are acting as a "group" with the other Stockholders within the meaning of Section 13(d) of the Securities Exchange Act of 1934, as amended (the "Exchange Act"). Based in part on information provided by or on behalf of such other Stockholders, as of June 30, 2026, such a "group" would be deemed to beneficially own an aggregate of 94,666,665 shares of Class A Common Stock, or 51.7% of the Class A Common Stock of the Issuer, calculated pursuant to Rule 13d-3. The Reporting Persons expressly disclaim beneficial ownership over any shares of Class A Common Stock that they may be deemed to beneficially own solely by reason of the Stockholder Agreement. Certain entities affiliated with the other Stockholders separately file Schedule 13G filings reporting their beneficial ownership of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(b)</w:t>
            </w:r>
          </w:p>
        </w:tc>
        <w:tc>
          <w:tcPr>
            <w:tcW w:w="89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Item 11 on each cover page and Item 4(a) above.  %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(c)</w:t>
            </w:r>
          </w:p>
        </w:tc>
        <w:tc>
          <w:tcPr>
            <w:tcW w:w="89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Item 5 on each cover page and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Item 6 on each cover page and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Item 7 on each cover page and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Item 8 on each cover page and Item 4(a)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6.</w:t>
            </w:r>
          </w:p>
        </w:tc>
        <w:tc>
          <w:tcPr>
            <w:tcW w:w="89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7.</w:t>
            </w:r>
          </w:p>
        </w:tc>
        <w:tc>
          <w:tcPr>
            <w:tcW w:w="89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8.</w:t>
            </w:r>
          </w:p>
        </w:tc>
        <w:tc>
          <w:tcPr>
            <w:tcW w:w="89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4(a) above.</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Item 9.</w:t>
            </w:r>
          </w:p>
        </w:tc>
        <w:tc>
          <w:tcPr>
            <w:tcW w:w="89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pPr>
            <w:r>
              <w:rPr/>
              <w:t> </w:t>
            </w:r>
          </w:p>
        </w:tc>
        <w:tc>
          <w:tcPr>
            <w:tcW w:w="89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SPT Holding Sarl</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Thomas Gruenewald</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Thomas Gruenewald, Chief Executive Officer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Denis Stoffel</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Denis Stoffel, Chief Financial Officer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Siemens Pension-Trust e.V.</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Dr. Peter Rathgeb</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Dr. Peter Rathgeb, Chair of the Board</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Heiko Fischer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Heiko Fischer, Vice Chair of the Board</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Siemens AG</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Sabine Kalbitz</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Sabine Kalbitz, Chief Counsel Mergers, Acquisitions and Corporate</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4"/>
        <w:gridCol w:w="4471"/>
      </w:tblGrid>
      <w:tr>
        <w:trPr/>
        <w:tc>
          <w:tcPr>
            <w:tcW w:w="57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Ingy Badie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Ingy Badie, SVP M&amp;A</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1528</Words>
  <Characters>7938</Characters>
  <CharactersWithSpaces>9405</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