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64356.xml.htm"/>
      <w:bookmarkStart w:id="1" w:name="kswkform4_17846643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Peter Bennett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FLUENCE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4601 FAIRFAX DRIVE,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Fluence Energy, Inc.</w:t>
              </w:r>
            </w:hyperlink>
            <w:r>
              <w:rPr/>
              <w:t xml:space="preserve"> [ </w:t>
            </w:r>
            <w:r>
              <w:rPr>
                <w:rFonts w:ascii="Times;serif" w:hAnsi="Times;serif"/>
                <w:color w:val="0000FF"/>
                <w:sz w:val="24"/>
                <w:shd w:fill="FFFFFF" w:val="clear"/>
              </w:rPr>
              <w:t>FLNC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CPSCO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26,197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3,905</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22,292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8,588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Class A Common Stock that have been withheld to satisfy tax withholding obligations in connection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vested in three equal annual installments with the first installment having vested on July 17, 2024, the second installment having vested on July 17, 2025 and the final installment having vested on July 17,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Patterson as Attorney-in-fact for Peter Bennett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1553" TargetMode="External"/><Relationship Id="rId5" Type="http://schemas.openxmlformats.org/officeDocument/2006/relationships/hyperlink" Target="http://www.sec.gov/cgi-bin/browse-edgar?action=getcompany&amp;CIK=00018689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3700</Characters>
  <CharactersWithSpaces>4303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