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4667d1_8k.htm"/>
      <w:bookmarkStart w:id="1" w:name="kstm261466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D_edei--DocumentType_c20260512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May 12,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B_edei--EntityRegistrantName_c2026"/>
      <w:bookmarkEnd w:id="4"/>
      <w:r>
        <w:rPr>
          <w:rFonts w:ascii="Times New Roman;Times;Serif" w:hAnsi="Times New Roman;Times;Serif"/>
          <w:b/>
          <w:i w:val="false"/>
          <w:caps w:val="false"/>
          <w:smallCaps w:val="false"/>
          <w:sz w:val="36"/>
        </w:rPr>
        <w:t>FLUENCE ENERGY,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2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0_edei--EntityFileNumber_c20260512"/>
            <w:bookmarkEnd w:id="6"/>
            <w:r>
              <w:rPr>
                <w:rFonts w:ascii="Times New Roman;Times;Serif" w:hAnsi="Times New Roman;Times;Serif"/>
                <w:b/>
                <w:sz w:val="20"/>
              </w:rPr>
              <w:t>001-40978</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F_edei--EntityTaxIdentificationNum"/>
            <w:bookmarkEnd w:id="7"/>
            <w:r>
              <w:rPr>
                <w:rFonts w:ascii="Times New Roman;Times;Serif" w:hAnsi="Times New Roman;Times;Serif"/>
                <w:b/>
                <w:sz w:val="20"/>
              </w:rPr>
              <w:t>87-1304612</w:t>
            </w:r>
          </w:p>
        </w:tc>
      </w:tr>
      <w:tr>
        <w:trPr/>
        <w:tc>
          <w:tcPr>
            <w:tcW w:w="359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4601 Fairfax Drive, </w:t>
      </w:r>
      <w:bookmarkStart w:id="9" w:name="xdx_90D_edei--EntityAddressAddressLine2_"/>
      <w:bookmarkEnd w:id="9"/>
      <w:r>
        <w:rPr>
          <w:rFonts w:ascii="Times New Roman;Times;Serif" w:hAnsi="Times New Roman;Times;Serif"/>
          <w:b/>
          <w:i w:val="false"/>
          <w:caps w:val="false"/>
          <w:smallCaps w:val="false"/>
          <w:sz w:val="20"/>
        </w:rPr>
        <w:t>Suite 600</w:t>
      </w:r>
      <w:r>
        <w:rPr>
          <w:rFonts w:ascii="Times New Roman;Times;Serif" w:hAnsi="Times New Roman;Times;Serif"/>
          <w:b w:val="false"/>
          <w:i w:val="false"/>
          <w:caps w:val="false"/>
          <w:smallCaps w:val="false"/>
          <w:sz w:val="20"/>
        </w:rPr>
        <w:t xml:space="preserve"> </w:t>
        <w:br/>
      </w:r>
      <w:bookmarkStart w:id="10" w:name="xdx_906_edei--EntityAddressCityOrTown_c2"/>
      <w:bookmarkEnd w:id="10"/>
      <w:r>
        <w:rPr>
          <w:rFonts w:ascii="Times New Roman;Times;Serif" w:hAnsi="Times New Roman;Times;Serif"/>
          <w:b/>
          <w:i w:val="false"/>
          <w:caps w:val="false"/>
          <w:smallCaps w:val="false"/>
          <w:sz w:val="20"/>
        </w:rPr>
        <w:t xml:space="preserve">Arlington, </w:t>
      </w:r>
      <w:bookmarkStart w:id="11" w:name="xdx_90A_edei--EntityAddressStateOrProvin"/>
      <w:bookmarkEnd w:id="11"/>
      <w:r>
        <w:rPr>
          <w:rFonts w:ascii="Times New Roman;Times;Serif" w:hAnsi="Times New Roman;Times;Serif"/>
          <w:b/>
          <w:i w:val="false"/>
          <w:caps w:val="false"/>
          <w:smallCaps w:val="false"/>
          <w:sz w:val="20"/>
        </w:rPr>
        <w:t>Virginia</w:t>
      </w:r>
      <w:r>
        <w:rPr>
          <w:rFonts w:ascii="Times New Roman;Times;Serif" w:hAnsi="Times New Roman;Times;Serif"/>
          <w:b w:val="false"/>
          <w:i w:val="false"/>
          <w:caps w:val="false"/>
          <w:smallCaps w:val="false"/>
          <w:sz w:val="20"/>
        </w:rPr>
        <w:t xml:space="preserve"> </w:t>
      </w:r>
      <w:bookmarkStart w:id="12" w:name="xdx_906_edei--EntityAddressPostalZipCode"/>
      <w:bookmarkEnd w:id="12"/>
      <w:r>
        <w:rPr>
          <w:rFonts w:ascii="Times New Roman;Times;Serif" w:hAnsi="Times New Roman;Times;Serif"/>
          <w:b/>
          <w:i w:val="false"/>
          <w:caps w:val="false"/>
          <w:smallCaps w:val="false"/>
          <w:sz w:val="20"/>
        </w:rPr>
        <w:t>22203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B_edei--CityAreaCode_c20260512__20"/>
      <w:bookmarkEnd w:id="13"/>
      <w:r>
        <w:rPr>
          <w:rFonts w:ascii="Times New Roman;Times;Serif" w:hAnsi="Times New Roman;Times;Serif"/>
          <w:b/>
          <w:i w:val="false"/>
          <w:caps w:val="false"/>
          <w:smallCaps w:val="false"/>
          <w:sz w:val="20"/>
        </w:rPr>
        <w:t xml:space="preserve">833) </w:t>
      </w:r>
      <w:bookmarkStart w:id="14" w:name="xdx_908_edei--LocalPhoneNumber_c20260512"/>
      <w:bookmarkEnd w:id="14"/>
      <w:r>
        <w:rPr>
          <w:rFonts w:ascii="Times New Roman;Times;Serif" w:hAnsi="Times New Roman;Times;Serif"/>
          <w:b/>
          <w:i w:val="false"/>
          <w:caps w:val="false"/>
          <w:smallCaps w:val="false"/>
          <w:sz w:val="20"/>
        </w:rPr>
        <w:t>358-3623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6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left"/>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C_edei--SolicitingMaterial_c202605"/>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1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 </w:t>
      </w:r>
    </w:p>
    <w:p>
      <w:pPr>
        <w:pStyle w:val="TextBody"/>
        <w:bidi w:val="0"/>
        <w:spacing w:before="0" w:after="0"/>
        <w:jc w:val="center"/>
        <w:rPr>
          <w:caps w:val="false"/>
          <w:smallCaps w:val="false"/>
        </w:rPr>
      </w:pPr>
      <w:r>
        <w:rPr>
          <w:caps w:val="false"/>
          <w:smallCaps w:val="false"/>
        </w:rPr>
        <w:t> </w:t>
      </w:r>
    </w:p>
    <w:tbl>
      <w:tblPr>
        <w:tblW w:w="8415" w:type="dxa"/>
        <w:jc w:val="left"/>
        <w:tblInd w:w="0" w:type="dxa"/>
        <w:tblLayout w:type="fixed"/>
        <w:tblCellMar>
          <w:top w:w="0" w:type="dxa"/>
          <w:left w:w="0" w:type="dxa"/>
          <w:bottom w:w="28" w:type="dxa"/>
          <w:right w:w="0" w:type="dxa"/>
        </w:tblCellMar>
      </w:tblPr>
      <w:tblGrid>
        <w:gridCol w:w="4565"/>
        <w:gridCol w:w="60"/>
        <w:gridCol w:w="845"/>
        <w:gridCol w:w="60"/>
        <w:gridCol w:w="2885"/>
      </w:tblGrid>
      <w:tr>
        <w:trPr/>
        <w:tc>
          <w:tcPr>
            <w:tcW w:w="456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8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456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2_edei--Security12bTitle_c20260512"/>
            <w:bookmarkEnd w:id="19"/>
            <w:r>
              <w:rPr>
                <w:rFonts w:ascii="Times New Roman;Times;Serif" w:hAnsi="Times New Roman;Times;Serif"/>
                <w:b/>
                <w:sz w:val="20"/>
              </w:rPr>
              <w:t>Class A Common Stock, $0.00001 par value per share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0" w:name="xdx_90F_edei--TradingSymbol_c20260512__2"/>
            <w:bookmarkEnd w:id="20"/>
            <w:r>
              <w:rPr>
                <w:rFonts w:ascii="Times New Roman;Times;Serif" w:hAnsi="Times New Roman;Times;Serif"/>
                <w:b/>
                <w:sz w:val="20"/>
              </w:rPr>
              <w:t>FLNC</w:t>
            </w:r>
          </w:p>
        </w:tc>
        <w:tc>
          <w:tcPr>
            <w:tcW w:w="60" w:type="dxa"/>
            <w:tcBorders/>
            <w:tcMar>
              <w:bottom w:w="0" w:type="dxa"/>
            </w:tcMar>
            <w:vAlign w:val="center"/>
          </w:tcPr>
          <w:p>
            <w:pPr>
              <w:pStyle w:val="TableContents"/>
              <w:bidi w:val="0"/>
              <w:spacing w:before="0" w:after="283"/>
              <w:jc w:val="left"/>
              <w:rPr/>
            </w:pPr>
            <w:r>
              <w:rPr/>
              <w:t> </w:t>
            </w:r>
          </w:p>
        </w:tc>
        <w:tc>
          <w:tcPr>
            <w:tcW w:w="2885" w:type="dxa"/>
            <w:tcBorders/>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A_edei--SecurityExchangeName_c2026"/>
            <w:bookmarkEnd w:id="21"/>
            <w:r>
              <w:rPr>
                <w:rFonts w:ascii="Times New Roman;Times;Serif" w:hAnsi="Times New Roman;Times;Serif"/>
                <w:b/>
                <w:sz w:val="20"/>
              </w:rPr>
              <w:t>The 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830"/>
        <w:gridCol w:w="3395"/>
      </w:tblGrid>
      <w:tr>
        <w:trPr/>
        <w:tc>
          <w:tcPr>
            <w:tcW w:w="830" w:type="dxa"/>
            <w:tcBorders/>
            <w:vAlign w:val="center"/>
          </w:tcPr>
          <w:p>
            <w:pPr>
              <w:pStyle w:val="TableContents"/>
              <w:bidi w:val="0"/>
              <w:spacing w:before="0" w:after="283"/>
              <w:jc w:val="left"/>
              <w:rPr>
                <w:b/>
                <w:sz w:val="20"/>
              </w:rPr>
            </w:pPr>
            <w:r>
              <w:rPr>
                <w:b/>
                <w:sz w:val="20"/>
              </w:rPr>
              <w:t>Item 3.02</w:t>
            </w:r>
          </w:p>
        </w:tc>
        <w:tc>
          <w:tcPr>
            <w:tcW w:w="3395" w:type="dxa"/>
            <w:tcBorders/>
            <w:vAlign w:val="center"/>
          </w:tcPr>
          <w:p>
            <w:pPr>
              <w:pStyle w:val="TableContents"/>
              <w:bidi w:val="0"/>
              <w:spacing w:before="0" w:after="283"/>
              <w:jc w:val="left"/>
              <w:rPr>
                <w:b/>
                <w:sz w:val="20"/>
              </w:rPr>
            </w:pPr>
            <w:r>
              <w:rPr>
                <w:b/>
                <w:sz w:val="20"/>
              </w:rPr>
              <w:t xml:space="preserve">Unregistered Sales of Equity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2026, AES Grid Stability, LLC (“AES Grid Stability”) provided a notice of exercise of its redemption right pursuant to the terms of the Third Amended and Restated Limited Liability Company Agreement of Fluence Energy, LLC (the “LLC Agreement”) with respect to 10,066,414 common units of Fluence Energy, LLC, the sole direct subsidiary of Fluence Energy, Inc. (the “Company”), together with the corresponding cancellation of an equivalent number of shares of the Company’s Class B-1 common stock (the “AES Redemption”). The Company elected to settle the AES Redemption through the issuance of 10,066,414 shares of the Company’s Class A common stock (the “AES Shares”). Settlement of the AES Redemption occurred on May 15, 2026. The AES Shares were issued in reliance upon an exemption from registration pursuant to Section 4(a)(2) of the Securities Act of 1933, as amended (the “Securities Act”), on the basis that such issuance does not involve a public offering.</w:t>
      </w:r>
    </w:p>
    <w:p>
      <w:pPr>
        <w:pStyle w:val="TextBody"/>
        <w:bidi w:val="0"/>
        <w:spacing w:before="0" w:after="0"/>
        <w:ind w:left="0" w:right="0" w:hanging="0"/>
        <w:jc w:val="left"/>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830"/>
        <w:gridCol w:w="1235"/>
      </w:tblGrid>
      <w:tr>
        <w:trPr/>
        <w:tc>
          <w:tcPr>
            <w:tcW w:w="830" w:type="dxa"/>
            <w:tcBorders/>
            <w:vAlign w:val="center"/>
          </w:tcPr>
          <w:p>
            <w:pPr>
              <w:pStyle w:val="TableContents"/>
              <w:bidi w:val="0"/>
              <w:spacing w:before="0" w:after="283"/>
              <w:jc w:val="left"/>
              <w:rPr>
                <w:b/>
                <w:sz w:val="20"/>
              </w:rPr>
            </w:pPr>
            <w:r>
              <w:rPr>
                <w:b/>
                <w:sz w:val="20"/>
              </w:rPr>
              <w:t>Item 8.01</w:t>
            </w:r>
          </w:p>
        </w:tc>
        <w:tc>
          <w:tcPr>
            <w:tcW w:w="1235" w:type="dxa"/>
            <w:tcBorders/>
            <w:vAlign w:val="center"/>
          </w:tcPr>
          <w:p>
            <w:pPr>
              <w:pStyle w:val="TableContents"/>
              <w:bidi w:val="0"/>
              <w:spacing w:before="0" w:after="283"/>
              <w:jc w:val="left"/>
              <w:rPr>
                <w:b/>
                <w:sz w:val="20"/>
              </w:rPr>
            </w:pPr>
            <w:r>
              <w:rPr>
                <w:b/>
                <w:sz w:val="20"/>
              </w:rPr>
              <w:t xml:space="preserve">Other Events.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2026, the Company entered into an underwriting agreement (the “Underwriting Agreement”) with Barclays Capital Inc., Goldman Sachs &amp; Co. LLC and J.P. Morgan Securities LLC, as the representatives (the “Representatives”) of the underwriters named in Schedule I thereto (the “Underwriters”), and certain of the Company’s stockholders, including AES Grid Stability, SPT Holding, SARL and Qatar Holding LLC (collectively the “Selling Stockholders”), relating to an underwritten public offering (the “Offering”) of 20,000,000 shares (the “Shares”) of the Company’s Class A common stock by the Selling Stockholders, at a price to the public of $21.00 per share, before underwriting discounts and commissions. In addition, under the terms of the Underwriting Agreement, the Selling Stockholders granted the Underwriters a 30-day option to purchase up to 3,000,000 additional shares of the Company’s Class A common stock at the public offering price, less underwriting discounts and commissions, which option was exercised in full on May 14, 2026. The Offering closed on May 15, 2026. The Company did not sell any of its shares of Class A common stock in the Offering and the Company will not receive any of the proceeds from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of the Shares by the Selling Stockholders was made pursuant to an automatic shelf registration statement on Form S-3 (Registration No. 333-295786) (the “Registration Statement”) that became effective under the Securities Act when filed with the U.S. Securities and Exchange Commission (the “SEC”) on May 12, 2026, a prospectus included in the Registration Statement, and a preliminary prospectus supplement and final prospectus supplement, filed with the SEC on May 12, 2026 and May 13,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contains customary representations, warranties and covenants, customary conditions to closing, indemnification obligations of the Company, the Representatives, the Selling Stockholders and the Underwriters, including for liabilities under the Securities Act, and other obligations of the parties.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The foregoing description of the Underwriting Agreement does not purport to be complete and is subject to and qualified in its entirety by reference to the full text of the Underwriting Agreement, which is filed as Exhibit 1.1 to this Current Report on Form 8-K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legal opinion of Latham &amp; Watkins LLP relating to the validity of the Shares is filed as Exhibit 5.1 to this Current Report on Form 8-K and is hereby incorporated by reference into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30"/>
        <w:gridCol w:w="3005"/>
      </w:tblGrid>
      <w:tr>
        <w:trPr/>
        <w:tc>
          <w:tcPr>
            <w:tcW w:w="830" w:type="dxa"/>
            <w:tcBorders/>
            <w:vAlign w:val="center"/>
          </w:tcPr>
          <w:p>
            <w:pPr>
              <w:pStyle w:val="TableContents"/>
              <w:bidi w:val="0"/>
              <w:spacing w:before="0" w:after="283"/>
              <w:jc w:val="left"/>
              <w:rPr>
                <w:b/>
                <w:sz w:val="20"/>
              </w:rPr>
            </w:pPr>
            <w:r>
              <w:rPr>
                <w:b/>
                <w:sz w:val="20"/>
              </w:rPr>
              <w:t>Item 9.01</w:t>
            </w:r>
          </w:p>
        </w:tc>
        <w:tc>
          <w:tcPr>
            <w:tcW w:w="3005" w:type="dxa"/>
            <w:tcBorders/>
            <w:vAlign w:val="center"/>
          </w:tcPr>
          <w:p>
            <w:pPr>
              <w:pStyle w:val="TableContents"/>
              <w:bidi w:val="0"/>
              <w:spacing w:before="0" w:after="283"/>
              <w:jc w:val="left"/>
              <w:rPr>
                <w:b/>
                <w:sz w:val="20"/>
              </w:rPr>
            </w:pPr>
            <w:r>
              <w:rPr>
                <w:b/>
                <w:sz w:val="20"/>
              </w:rPr>
              <w:t xml:space="preserve">Financial Statements and Exhibits.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283"/>
              <w:jc w:val="center"/>
              <w:rPr>
                <w:b/>
                <w:sz w:val="20"/>
              </w:rPr>
            </w:pPr>
            <w:r>
              <w:rPr>
                <w:b/>
                <w:sz w:val="20"/>
              </w:rPr>
              <w:t>Exhibit</w:t>
              <w:br/>
              <w:t>No.</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center"/>
              <w:rPr>
                <w:b/>
                <w:sz w:val="20"/>
              </w:rPr>
            </w:pPr>
            <w:r>
              <w:rPr>
                <w:b/>
                <w:sz w:val="20"/>
              </w:rPr>
              <w:t>Description</w:t>
            </w:r>
          </w:p>
        </w:tc>
      </w:tr>
      <w:tr>
        <w:trPr/>
        <w:tc>
          <w:tcPr>
            <w:tcW w:w="665" w:type="dxa"/>
            <w:tcBorders/>
            <w:vAlign w:val="center"/>
          </w:tcPr>
          <w:p>
            <w:pPr>
              <w:pStyle w:val="TableContents"/>
              <w:bidi w:val="0"/>
              <w:spacing w:before="0" w:after="283"/>
              <w:jc w:val="left"/>
              <w:rPr/>
            </w:pPr>
            <w:r>
              <w:rPr/>
              <w:t> </w:t>
            </w:r>
          </w:p>
        </w:tc>
        <w:tc>
          <w:tcPr>
            <w:tcW w:w="9540" w:type="dxa"/>
            <w:gridSpan w:val="2"/>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hyperlink w:anchor="tm2614667d1_ex1-1.htm">
              <w:r>
                <w:rPr>
                  <w:rStyle w:val="InternetLink"/>
                  <w:sz w:val="20"/>
                </w:rPr>
                <w:t>1.1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614667d1_ex1-1.htm">
              <w:r>
                <w:rPr>
                  <w:rStyle w:val="InternetLink"/>
                  <w:sz w:val="20"/>
                </w:rPr>
                <w:t>Underwriting Agreement, dated May 12, 2026, by and among Fluence Energy, Inc., Barclays Capital Inc., Goldman Sachs &amp; Co. LLC, J.P. Morgan Securities LLC and the Selling Stockholders</w:t>
              </w:r>
            </w:hyperlink>
          </w:p>
        </w:tc>
      </w:tr>
      <w:tr>
        <w:trPr/>
        <w:tc>
          <w:tcPr>
            <w:tcW w:w="665" w:type="dxa"/>
            <w:tcBorders/>
            <w:vAlign w:val="center"/>
          </w:tcPr>
          <w:p>
            <w:pPr>
              <w:pStyle w:val="TableContents"/>
              <w:bidi w:val="0"/>
              <w:spacing w:before="0" w:after="283"/>
              <w:jc w:val="left"/>
              <w:rPr/>
            </w:pPr>
            <w:hyperlink w:anchor="tm2614667d1_ex5-1.htm">
              <w:r>
                <w:rPr>
                  <w:rStyle w:val="InternetLink"/>
                  <w:sz w:val="20"/>
                </w:rPr>
                <w:t>5.1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614667d1_ex5-1.htm">
              <w:r>
                <w:rPr>
                  <w:rStyle w:val="InternetLink"/>
                  <w:sz w:val="20"/>
                </w:rPr>
                <w:t>Opinion of Latham &amp; Watkins LLP</w:t>
              </w:r>
            </w:hyperlink>
          </w:p>
        </w:tc>
      </w:tr>
      <w:tr>
        <w:trPr/>
        <w:tc>
          <w:tcPr>
            <w:tcW w:w="665" w:type="dxa"/>
            <w:tcBorders/>
            <w:vAlign w:val="center"/>
          </w:tcPr>
          <w:p>
            <w:pPr>
              <w:pStyle w:val="TableContents"/>
              <w:bidi w:val="0"/>
              <w:spacing w:before="0" w:after="283"/>
              <w:jc w:val="left"/>
              <w:rPr/>
            </w:pPr>
            <w:hyperlink w:anchor="tm2614667d1_ex5-1.htm">
              <w:r>
                <w:rPr>
                  <w:rStyle w:val="InternetLink"/>
                  <w:sz w:val="20"/>
                </w:rPr>
                <w:t>23.1</w:t>
              </w:r>
            </w:hyperlink>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hyperlink w:anchor="tm2614667d1_ex5-1.htm">
              <w:r>
                <w:rPr>
                  <w:rStyle w:val="InternetLink"/>
                  <w:sz w:val="20"/>
                </w:rPr>
                <w:t>Consent of Latham &amp; Watkins LLP (included in Exhibit 5.1)</w:t>
              </w:r>
            </w:hyperlink>
          </w:p>
        </w:tc>
      </w:tr>
      <w:tr>
        <w:trPr/>
        <w:tc>
          <w:tcPr>
            <w:tcW w:w="66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0" w:type="dxa"/>
          <w:right w:w="0" w:type="dxa"/>
        </w:tblCellMar>
      </w:tblPr>
      <w:tblGrid>
        <w:gridCol w:w="1655"/>
        <w:gridCol w:w="545"/>
        <w:gridCol w:w="4745"/>
      </w:tblGrid>
      <w:tr>
        <w:trPr/>
        <w:tc>
          <w:tcPr>
            <w:tcW w:w="1655" w:type="dxa"/>
            <w:tcBorders/>
            <w:vAlign w:val="center"/>
          </w:tcPr>
          <w:p>
            <w:pPr>
              <w:pStyle w:val="TableContents"/>
              <w:bidi w:val="0"/>
              <w:spacing w:before="0" w:after="283"/>
              <w:jc w:val="left"/>
              <w:rPr/>
            </w:pPr>
            <w:r>
              <w:rPr/>
              <w:t> </w:t>
            </w:r>
          </w:p>
        </w:tc>
        <w:tc>
          <w:tcPr>
            <w:tcW w:w="52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Fluence Energy, Inc.</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15,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Ahmed Pasha  </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7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Ahmed Pasha </w:t>
            </w:r>
          </w:p>
        </w:tc>
      </w:tr>
      <w:tr>
        <w:trPr/>
        <w:tc>
          <w:tcPr>
            <w:tcW w:w="16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745" w:type="dxa"/>
            <w:tcBorders/>
            <w:vAlign w:val="center"/>
          </w:tcPr>
          <w:p>
            <w:pPr>
              <w:pStyle w:val="TableContents"/>
              <w:bidi w:val="0"/>
              <w:spacing w:before="0" w:after="283"/>
              <w:jc w:val="left"/>
              <w:rPr/>
            </w:pPr>
            <w:r>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tm2614667d1_ex1-1.htm"/>
      <w:bookmarkStart w:id="24" w:name="kstm2614667d1_ex11"/>
      <w:bookmarkEnd w:id="23"/>
      <w:bookmarkEnd w:id="24"/>
      <w:r>
        <w:rPr>
          <w:rFonts w:ascii="Times New Roman;Times;Serif" w:hAnsi="Times New Roman;Times;Serif"/>
          <w:b/>
          <w:i w:val="false"/>
          <w:caps w:val="false"/>
          <w:smallCaps w:val="false"/>
          <w:sz w:val="20"/>
        </w:rPr>
        <w:t>Exhibit 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FLUENCE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Goldman Sachs &amp; Co. LLC</w:t>
        <w:br/>
        <w:t>J.P. Morgan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w:t>
        <w:br/>
        <w:t>Underwriters named in Schedule I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Barclays Capital Inc.</w:t>
        <w:br/>
        <w:t>745 Seventh Avenue</w:t>
        <w:b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br/>
        <w:t>200 West Street</w:t>
        <w:b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br/>
        <w:t>270 Park Avenue</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stockholders named in Schedule III hereto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 of Fluence Energy,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propose to sell to the several Underwriters named in Schedule I hereto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 aggregate of 20,000,000 shares of its Class A common stock, par value $0.00001 per share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The Company is a Delaware corporation, a holding company and the sole managing member of Fluence Energy, LLC, a Delaware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propose to sell to the several Underwriters not more than an additional 3,000,000 shares of its Class A common stock, par value $0.00001 (the “</w:t>
      </w:r>
      <w:r>
        <w:rPr>
          <w:rFonts w:ascii="Times New Roman;Times;Serif" w:hAnsi="Times New Roman;Times;Serif"/>
          <w:b/>
          <w:i w:val="false"/>
          <w:caps w:val="false"/>
          <w:smallCaps w:val="false"/>
          <w:sz w:val="20"/>
        </w:rPr>
        <w:t>Additional Shares</w:t>
      </w:r>
      <w:r>
        <w:rPr>
          <w:rFonts w:ascii="Times New Roman;Times;Serif" w:hAnsi="Times New Roman;Times;Serif"/>
          <w:b w:val="false"/>
          <w:i w:val="false"/>
          <w:caps w:val="false"/>
          <w:smallCaps w:val="false"/>
          <w:sz w:val="20"/>
        </w:rPr>
        <w:t>”) if and to the extent that the Representatives, shall have determined to exercise, on behalf of the Underwriters, the right to purchase such shares of Class A common stock granted to the Underwriters in Section 3 hereof. The Firm Shares and the Additional Shares are hereinafter collectively referred to as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The Shares of the Company outstanding are hereinafter referred to as the “</w:t>
      </w:r>
      <w:r>
        <w:rPr>
          <w:rFonts w:ascii="Times New Roman;Times;Serif" w:hAnsi="Times New Roman;Times;Serif"/>
          <w:b/>
          <w:i w:val="false"/>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prepared and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shelf registration statement on Form S-3 (File No. 333-295786)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covering the public offering and sale of certain securities, including the Shares, which has been declared effective by the Commission. Such Registration Statement, as of any time, means as amended by any post-effective amendments thereto to such time, including the exhibits and any schedules thereto at such time, the documents incorporated or deemed to be incorporated by reference therein at such time pursuant to Item 12 of Form S-3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the documents otherwise deemed to be part thereof as of such time pursuant to 430B under Securities Act regulations (“</w:t>
      </w:r>
      <w:r>
        <w:rPr>
          <w:rFonts w:ascii="Times New Roman;Times;Serif" w:hAnsi="Times New Roman;Times;Serif"/>
          <w:b/>
          <w:i w:val="false"/>
          <w:caps w:val="false"/>
          <w:smallCaps w:val="false"/>
          <w:sz w:val="20"/>
        </w:rPr>
        <w:t>Rule 430B</w:t>
      </w:r>
      <w:r>
        <w:rPr>
          <w:rFonts w:ascii="Times New Roman;Times;Serif" w:hAnsi="Times New Roman;Times;Serif"/>
          <w:b w:val="false"/>
          <w:i w:val="false"/>
          <w:caps w:val="false"/>
          <w:smallCaps w:val="false"/>
          <w:sz w:val="20"/>
        </w:rPr>
        <w:t xml:space="preserve">”), is referred to herein as the “Registration Statement;”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without reference to a time means such registration statement as amended by any post-effective amendments thereto as of the time of the first contract of sale for the Securities, which time shall be considered the “</w:t>
      </w:r>
      <w:r>
        <w:rPr>
          <w:rFonts w:ascii="Times New Roman;Times;Serif" w:hAnsi="Times New Roman;Times;Serif"/>
          <w:b/>
          <w:i w:val="false"/>
          <w:caps w:val="false"/>
          <w:smallCaps w:val="false"/>
          <w:sz w:val="20"/>
        </w:rPr>
        <w:t>new effective date</w:t>
      </w:r>
      <w:r>
        <w:rPr>
          <w:rFonts w:ascii="Times New Roman;Times;Serif" w:hAnsi="Times New Roman;Times;Serif"/>
          <w:b w:val="false"/>
          <w:i w:val="false"/>
          <w:caps w:val="false"/>
          <w:smallCaps w:val="false"/>
          <w:sz w:val="20"/>
        </w:rPr>
        <w:t>” such registration statement with respect to the Shares within the meaning of paragraph (f)(2) of Rule 430B, including the amendments thereto, the exhibits and schedules thereto as of such time, the documents incorporated by reference therein at such time pursuant to Item 12 of Form S-3 under the 1933 Act and the documents otherwise deemed to be part thereof as of such time pursuant to Rule 430B. If the Company has filed an abbreviated registration statement to register additional Shares of Common Stock pursuant to Rule 462(b) under the Securities Act (a “</w:t>
      </w:r>
      <w:r>
        <w:rPr>
          <w:rFonts w:ascii="Times New Roman;Times;Serif" w:hAnsi="Times New Roman;Times;Serif"/>
          <w:b/>
          <w:i w:val="false"/>
          <w:caps w:val="false"/>
          <w:smallCaps w:val="false"/>
          <w:sz w:val="20"/>
        </w:rPr>
        <w:t>Rule 462 Registration Statement</w:t>
      </w:r>
      <w:r>
        <w:rPr>
          <w:rFonts w:ascii="Times New Roman;Times;Serif" w:hAnsi="Times New Roman;Times;Serif"/>
          <w:b w:val="false"/>
          <w:i w:val="false"/>
          <w:caps w:val="false"/>
          <w:smallCaps w:val="false"/>
          <w:sz w:val="20"/>
        </w:rPr>
        <w:t>”), then any reference herein to the term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be deemed to include such Rule 462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Underwriting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free writing prospectus</w:t>
      </w:r>
      <w:r>
        <w:rPr>
          <w:rFonts w:ascii="Times New Roman;Times;Serif" w:hAnsi="Times New Roman;Times;Serif"/>
          <w:b w:val="false"/>
          <w:i w:val="false"/>
          <w:caps w:val="false"/>
          <w:smallCaps w:val="false"/>
          <w:sz w:val="20"/>
        </w:rPr>
        <w:t>” has the meaning set forth in Rule 405 under the Securities Act,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shall mean each prospectus filed by the Company pursuant to the provisions of Rule 424(b) under the Securities Act, that omitted information pursuant to Rule 430B under the Securities Act that was used after the effectiveness of the Registration Statement and prior to the execution and delivery of this Agreement, the “</w:t>
      </w:r>
      <w:r>
        <w:rPr>
          <w:rFonts w:ascii="Times New Roman;Times;Serif" w:hAnsi="Times New Roman;Times;Serif"/>
          <w:b/>
          <w:i w:val="false"/>
          <w:caps w:val="false"/>
          <w:smallCaps w:val="false"/>
          <w:sz w:val="20"/>
        </w:rPr>
        <w:t>Time of Sale Prospectus</w:t>
      </w:r>
      <w:r>
        <w:rPr>
          <w:rFonts w:ascii="Times New Roman;Times;Serif" w:hAnsi="Times New Roman;Times;Serif"/>
          <w:b w:val="false"/>
          <w:i w:val="false"/>
          <w:caps w:val="false"/>
          <w:smallCaps w:val="false"/>
          <w:sz w:val="20"/>
        </w:rPr>
        <w:t>” means the preliminary prospectus as part of the Registration Statement together with the documents and pricing information set forth in Schedule II hereto, and “</w:t>
      </w:r>
      <w:r>
        <w:rPr>
          <w:rFonts w:ascii="Times New Roman;Times;Serif" w:hAnsi="Times New Roman;Times;Serif"/>
          <w:b/>
          <w:i w:val="false"/>
          <w:caps w:val="false"/>
          <w:smallCaps w:val="false"/>
          <w:sz w:val="20"/>
        </w:rPr>
        <w:t>broadly available road show</w:t>
      </w:r>
      <w:r>
        <w:rPr>
          <w:rFonts w:ascii="Times New Roman;Times;Serif" w:hAnsi="Times New Roman;Times;Serif"/>
          <w:b w:val="false"/>
          <w:i w:val="false"/>
          <w:caps w:val="false"/>
          <w:smallCaps w:val="false"/>
          <w:sz w:val="20"/>
        </w:rPr>
        <w:t>” means a “bona fide electronic road show” as defined in Rule 433(h)(5) under the Securities Act that has been made available without restriction to any person. The final prospectus, in the form first furnished or made available to the Underwriters for use in connection with the offering of the Shares including the documents incorporated or deemed to be incorporated by reference therein pursuant to Item 12 of Form S-3 under the 1933 Act, are collectively referred to as the “</w:t>
      </w: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For purposes of this Agreement, (a) except where otherwise expressly provided, the term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has the meaning set forth in Rule 405 under the Securities Act; (b) the term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day on which banks are permitted or required to be closed in New York City; and (c) the term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has the meaning set forth in Rule 405 under the Securities Act. As used herein, the terms “Registration Statement,” “preliminary prospectus,” “Time of Sale Prospectus,” and “Prospectus” shall include the documents, if any, incorporated by reference therein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caps w:val="false"/>
          <w:smallCaps w:val="false"/>
          <w:sz w:val="20"/>
        </w:rPr>
        <w:t>Representations and Warranties of the Company</w:t>
      </w:r>
      <w:r>
        <w:rPr>
          <w:rFonts w:ascii="Times New Roman;Times;Serif" w:hAnsi="Times New Roman;Times;Serif"/>
          <w:b w:val="false"/>
          <w:i w:val="false"/>
          <w:caps w:val="false"/>
          <w:smallCaps w:val="false"/>
          <w:sz w:val="20"/>
        </w:rPr>
        <w:t>. The Company represents and warrants to and agrees with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meets the requirements for use of Form S-3 under the 1933 Act. Each of the Registration Statement and any post-effective amendment thereto has become effective; no stop order suspending the effectiveness of the Registration Statement or any post- effective amendment thereto is in effect, and no proceedings for such purpose or pursuant to Section 8A under the Securities Act are pending before or, to the knowledge of the Company, threatened by the Commission. No order preventing or suspending the use of any preliminary prospectus or any free writing prospectus has been issued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Each of the Registration Statement and any post-effective amendment thereto, at the time of its effectiveness, each deemed effective pursuant to Rule 430B(f)(2) under the Securities Act,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the Time of Sale Prospectus and the Prospectus comply and, as amended or supplemented, if applicable, will as of the date of such amendment or supplement,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as of the date of such amendment or supplement,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 the Prospectus, as of its date, does not contain and, as amended or supplemented, if applicable, will not contain, as of the date of such amendment or supplement and as of the Closing Date,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any such Underwriter through the Representatives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if any, that the Company has filed, or is required to file, pursuant to Rule 433(d) under the Securities Act or that was prepared by or on behalf of or used or referred to by the Company complies or, if filed after the effective time of this Agreement, will comply as of the date of such filing in all material respects with the applicable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been duly incorporated, is validly existing as a corporation in good standing under the laws of the jurisdiction of its incorporation, has the corporate power and authority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reasonably be expected to,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subsidiary of the Company has been duly incorporated, organized or formed, is validly existing as a corporation or other business entity in good standing under the laws of the jurisdiction of its incorporation (to the extent the concept of good standing is applicable in such jurisdiction), organization or formation, has the corporate or other business entity power and authority to own or lease its property and to conduct its business as described in each of the Registration Statement, the Time of Sale Prospectus and the Prospectus and is duly qualified to transact business and is in good standing in each jurisdiction (to the extent the concept of good standing is applicable in such jurisdiction) in which the conduct of its business or its ownership or leasing of property requires such qualification, except to the extent that the failure to be so qualified or be in good standing (to the extent the concept of good standing is applicable in such jurisdiction) would not reasonably be expected to have a material adverse effect on the Company and its subsidiaries, taken as a whole; all of the issued shares of capital stock or other equity interests of each subsidiary of the Company have been duly and validly authorized and issued (to the extent such concepts are applicable in such jurisdictions), are fully paid and non-assessable and are owned directly or indirectly by the Company, free and clear of all liens, encumbrances, equities or claims, except for any such liens, encumbrances, equity or claims (i) that would not reasonably be expected to have a material adverse effect on the Company and its subsidiaries taken as a whole or (ii) pursuant to any credit facility of the Company or its subsidiaries described in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has been duly authorized, executed and delivered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authorized capital stock of the Company conforms as to legal matters, in all material respects, to the description thereof contained in each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shares of Common Stock outstanding to be sold by the Selling Stockholders have been duly authorized and are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to be sold by the Selling Stockholders have been duly authorized and, when issued, delivered and paid for in accordance with the terms of this Agreement, will be duly and validly issued and fully paid and non-assessable, and the Shares to be sold by the Selling Stockholders will not be subject to any preemptive or similar rights that have not been validly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execution and delivery by the Company of, and the performance by the Company of its obligations under, this Agreement will not contravene any provision of (i) applicable law, (ii) the certificate of incorporation and bylaws of the Company, (iii) any agreement or other instrument binding upon the Company or any of its subsidiaries that is material to the Company and its subsidiaries, taken as a whole, or to which any of the property or assets of the Company or any of its subsidiaries is subject, or (iv) any judgment, order or decree of any governmental body, agency or court having jurisdiction over the Company or any subsidiary, except, in the case of clauses (i), (iii) and (iv), as would not, singly or in the aggregate, reasonably be expected to have a material adverse effect on the Company and its subsidiaries, taken as a whole, or adversely affect the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have been obtained or waived, or may be required by the securities or Blue Sky laws of the various states or foreign jurisdictions or the rules and regulations of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in connection with the offer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There are no legal or governmental proceedings pending or, to the knowledge of the Company, threatened to which the Company or any of its subsidiaries is a party or to which any of the properties of the Company or any of its subsidiaries is subject (A) other than (i) proceedings accurately described in all material respects in each of the Registration Statement, the Time of Sale Prospectus and the Prospectus and (ii)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(B) that are required to be described in the Registration Statement, the Time of Sale Prospectus or the Prospectus and are not so described in all material respects; and there are no statutes, regulations, contracts or other documents to which the Company or any of its subsidiaries is subject or by which the Company or any of its subsidiaries is bound that are required to be described in the Registration Statement, the Time of Sale Prospectus or the Prospectus or to be filed as exhibits to the Registration Statement that are not described in all material respects or filed 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Each preliminary prospectus filed as part of the Registration Statement as originally filed or as part of any amendment thereto, or filed pursuant to Rule 424 under the Securities Act, complied when so filed in all material respects with the applicable requirements of the Securities Act and the applicable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is not, and immediately after giving effect to the offering and sale of the Shares will not be, required to register as an “investment company” as such term is defined in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and each of its subsidiaries (i) are in compliance with all applicable foreign, federal, state and local laws and regulations relating to climate change, to the protection of human health and safety, the environment or natural resources, or to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have received and maintained all permits, licenses or other approvals required of them under applicable Environmental Laws necessary to conduct their respective businesses as presently conducted and (iii) are in compliance with all terms and conditions of any such permit, license or approval, except where such noncompliance with Environmental Laws, failure to receive and maintain required permits, licenses or other approvals or failure to comply with the terms and conditions of such permits, licenses or approvals would not, singly or in the aggregate, be reasonably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There are no costs, obligations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or any obligations to combat, respond to or mitigate the effects of climate change which would, singly or in the aggregate, be reasonably expected to have a material adverse effect on the Company and its subsidiaries, taken as a whole and (ii) neither the Company nor any of its subsidiaries is aware of any pending or threatened notice, claim, proceeding or investigation which would be reasonably expected lead to liability under Environmental Laws, except where the potential liability or obligation would not, individually or in the aggregate, be reasonably expected to have a material adverse effect on the Company and its subsidiaries, taken as a whole, except where the potential liability or obligation would not, individually or in the aggregate, be reasonably expected to have a material adverse effect on the Company and its subsidiaries, taken as a whole, or result in monetary sanctions in excess of $300,000.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Except as described in the Registration Statement, the Time of Sale Prospectus and the Prospectus, or validly waived or complied with in connection with the sale of the Shares contemplated hereby,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None of the Company or any of its subsidiaries or affiliates, or any director or officer thereof, or, to the Company’s knowledge, any employee,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in order to unlawfully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(i) None of the Company, any of its subsidiaries, or any director or officer thereof, or, to the Company’s knowledge, any employee, agent, affiliate or representative of the Company or any of its subsidiaries, is an individual or entity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that is, or is owned or controlled by one or more Persons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located, organized or resident in a country or territory that is the subject of Sanctions (including, without limitation, Crimea, the so-called Donetsk People’s Republic and Luhansk People’s Republic, the non-government controlled areas of Zaporizhzhia and Kherson, Cuba, Iran and North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other than from employees or other service providers in connection with such person’s termination of service from the Company or its subsidiaries pursuant to the existing terms of the agreements or equity compensation plans described in the Time of Sale Prospectus or in exercise of the Company’s right of first refusal upon a proposed transfer, nor declared, paid or otherwise made any dividend or distribution of any kind on its capital stock other than ordinary and customary dividends; and (iii) there has not been any material change in the capital stock (other than the exercise, settlement or conversion of equity awards, warrants or convertible notes or loans or grants of equity awards or forfeiture of equity awards outstanding as of such respective dates as of which information is given in each of the Registration Statement, the Time of Sale Prospectus and the Prospectus, in each case granted pursuant to the equity compensation plans described in the Time of Sale Prospectus), short-term debt or long-term debt of the Company and its subsidiaries, taken as a whole, except in each case as described in each of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 and each of its subsidiaries do not own any real property and have good and marketable title to all personal property owned by them (excluding intellectual property, which is addressed exclusively in Section 1(w)) which is material to the business of the Company and its subsidiaries, in each case free and clear of all liens, encumbrances and defects except such as are described in the Time of Sale Prospectus or such as do not materially interfere with the use made and proposed to be made of such property by the Company and its subsidiaries; and any real property and buildings held under lease by the Company and its subsidiaries are held by them under valid, subsisting and, to the Company’s knowledge, enforceable leases with such exceptions as are not material and do not interfere with the use made and proposed to be made of such property and buildings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Except as described in each of the Registration Statement, the Time of Sale Prospectus and the Prospectus or except as would not reasonably be expected to have a material adverse effect on the Company and its subsidiaries taken as a whole, (i) the Company or one of its subsidiaries is the sole and exclusive owner of all right, title and interest in and to all patents, inventions, copyrights, know how, trade secrets, confidential information, trademarks, service marks, trade names, Internet domain names, and all other worldwide intellectual property and proprietary rights (including all registrations and applications for registration of, and all goodwill associated with, any of the foregoing)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that are owned or purported to be owned by the Company and its subsidiaries; (ii) the Company and its subsidiaries have the right to use all other Intellectual Property Rights used in the conduct of their respective businesses as now conducted by them; (iii) the Intellectual Property Rights owned by the Company and its subsidiaries and, to the Company’s knowledge, the Intellectual Property Rights exclusively licensed to the Company and its subsidiaries, are valid, subsisting and enforceable, and there is no pending or, to the Company’s knowledge, threatened action, suit, proceeding or claim by others challenging the ownership, validity, scope or enforceability of any Intellectual Property Rights owned or used by the Company or any of its subsidiaries; (iv) neither the Company nor any of its subsidiaries has received any written notice alleging any infringement, misappropriation or other violation of Intellectual Property Rights of any Person by the Company or any of its subsidiaries; (v) to the Company’s knowledge, no Person is infringing, misappropriating or otherwise violating, or has, in the past three (3) years, infringed, misappropriated or otherwise violated, any Intellectual Property Rights owned or used by the Company or any of its subsidiaries; (vi) to the Company’s knowledge, neither the Company nor any of its subsidiaries, nor the conduct and operation of the businesses of the Company and its subsidiaries, as conducted in the past three (3) years, is infringing, misappropriating or violating or has infringed, misappropriated or violated any Intellectual Property Rights of any Person; (vii) the Company and its subsidiaries use and have used, commercially reasonable efforts to appropriately maintain the confidentiality of the know how, trade secrets and other confidential information of the Company and its subsidiaries the value of which to the Company or any of its subsidiaries is contingent upon maintaining the confidentiality thereof, and, to the Company’s knowledge, no such know how, trade secrets, or confidential information have been disclosed other than to Persons bound by confidentiality obligations restricting the disclosure and use of such Intellectual Property Rights; and (viii) neither the Company nor any of its subsidiaries is a party to any source code escrow contract (or a party to any contract obligating such Person to enter into a source code escrow contract or other contract) requiring the deposit of any source code or related materials for any software owned or purported to be owned by the Company or any of its subsidiaries, in each case, which requires the release or disclosure of any source code or related materials to any Person in connection with the consummation of the transactions contemplated by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Except as described in each of the Registration Statement, the Time of Sale Prospectus and the Prospectus or except as would not reasonably be expected to have a material adverse effect on the Company and its subsidiaries, taken as a whole, (i) to the extent that the Company and its subsidiaries use, or have used, in any of the products or services of the Company or any of its subsidiaries, any software or other materials distributed under a “free,” “open source,” or similar licensing model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such use is and has been in compliance with all license terms applicable to such Open Source Software; and (ii) neither the Company nor any of its subsidiaries uses, incorporates or distributes or has used, incorporated or distributed any Open Source Software in connection with any products or services of the Company or any of its subsidiaries in any manner that requires or has required (A) the Company or any of its subsidiaries to permit reverse engineering of any software code or other technology owned or purported to be owned by the Company or any of its subsidiaries or (B) any software code or other technology owned or purported to be owned by the Company or any of its subsidiaries to be (1) disclosed or distributed in source code form, (2) licensed for the purpose of making derivative works or (3) redistributed at no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Except as described in each of the Registration Statement, the Time of Sale Prospectus and the Prospectus or except as would not reasonably be expected to have a material adverse effect on the Company and its subsidiaries, taken as a whole, for the past three (3) years (i) the Company and each of its subsidiaries have been and are presently in compliance in all material respects with all of the Company’s and each of its subsidiaries external written privacy policies, contractual obligations and applicable laws, statutes, judgments, orders, rules, and regulations of any court or arbitrator or other governmental or regulatory authority, in each case, relating to the collection, use, transfer, import, export, storage, protection, disposal and disclosure by the Company or any of its subsidiaries of information defined as “personal information”, “personal data” or any equivalent term by applicable data privacy laws (“</w:t>
      </w:r>
      <w:r>
        <w:rPr>
          <w:rFonts w:ascii="Times New Roman;Times;Serif" w:hAnsi="Times New Roman;Times;Serif"/>
          <w:b/>
          <w:i w:val="false"/>
          <w:caps w:val="false"/>
          <w:smallCaps w:val="false"/>
          <w:sz w:val="20"/>
        </w:rPr>
        <w:t>Data Security Obligations</w:t>
      </w:r>
      <w:r>
        <w:rPr>
          <w:rFonts w:ascii="Times New Roman;Times;Serif" w:hAnsi="Times New Roman;Times;Serif"/>
          <w:b w:val="false"/>
          <w:i w:val="false"/>
          <w:caps w:val="false"/>
          <w:smallCaps w:val="false"/>
          <w:sz w:val="20"/>
        </w:rPr>
        <w:t>,” and such data and information,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(ii) the Company and its subsidiaries have not received any written notification of or written complaint regarding non-compliance with any Data Security Obligation by the Company or any of its subsidiaries; and (iii) the Company has not received written notice of any action, suit or proceeding by or before any court or governmental agency, authority or body pending or, to the Company’s knowledge, threatened alleging non-compliance with any Data Security Obligation by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Except as described in each of the Registration Statement, the Time of Sale Prospectus and the Prospectus and except as would not reasonably be expected to have a material adverse effect on the Company and its subsidiaries, taken as a whole, (i) the Company and its subsidiaries own or have a valid right to access and use pursuant to a written agreement, each of their respective information technology assets and equipment, computers, systems, networks, hardware, software, websites, and applications owned or controlled by the Company and its subsidiaries and used in the conduct of their businesses as currently conducted by them (“</w:t>
      </w:r>
      <w:r>
        <w:rPr>
          <w:rFonts w:ascii="Times New Roman;Times;Serif" w:hAnsi="Times New Roman;Times;Serif"/>
          <w:b/>
          <w:i w:val="false"/>
          <w:caps w:val="false"/>
          <w:smallCaps w:val="false"/>
          <w:sz w:val="20"/>
        </w:rPr>
        <w:t>IT Systems</w:t>
      </w:r>
      <w:r>
        <w:rPr>
          <w:rFonts w:ascii="Times New Roman;Times;Serif" w:hAnsi="Times New Roman;Times;Serif"/>
          <w:b w:val="false"/>
          <w:i w:val="false"/>
          <w:caps w:val="false"/>
          <w:smallCaps w:val="false"/>
          <w:sz w:val="20"/>
        </w:rPr>
        <w:t>”) (A) operate and perform in all material respects as reasonably required in connection with the operation of the business of the Company and its subsidiaries as currently conducted and (B) do not, to the Company’s knowledge, contain any viruses, worms, Trojan horses, bugs, faults or other devices, errors, contaminants or effects that: (x) materially disrupt or adversely affect the functionality of the IT Systems, or (y) enable or assist any Person to access without authorization the IT Systems or Personal Data; (ii) the Company and each of its subsidiaries have (A) established and maintain commercially reasonable technical and organizational measures designed to protect the material IT Systems, as well as Personal Data, and have established and maintain, commercially reasonable information technology, information security, cyber security and data protection controls, policies and procedures, including oversight, access controls, encryption, technological and physical safeguards and business continuity/disaster recovery and security plans that are designed to protect against and prevent any material breach or unauthorized, access, disablement, or other material compromise or misuse of the IT Systems or the material destruction, loss, unauthorized distribution, use, misappropriation or modification of any Personal Data (“</w:t>
      </w:r>
      <w:r>
        <w:rPr>
          <w:rFonts w:ascii="Times New Roman;Times;Serif" w:hAnsi="Times New Roman;Times;Serif"/>
          <w:b/>
          <w:i w:val="false"/>
          <w:caps w:val="false"/>
          <w:smallCaps w:val="false"/>
          <w:sz w:val="20"/>
        </w:rPr>
        <w:t>Breach</w:t>
      </w:r>
      <w:r>
        <w:rPr>
          <w:rFonts w:ascii="Times New Roman;Times;Serif" w:hAnsi="Times New Roman;Times;Serif"/>
          <w:b w:val="false"/>
          <w:i w:val="false"/>
          <w:caps w:val="false"/>
          <w:smallCaps w:val="false"/>
          <w:sz w:val="20"/>
        </w:rPr>
        <w:t>”) and (B) taken commercially reasonable steps to ensure that any third party with access to or otherwise processing Personal Data on behalf of the Company or any of its subsidiaries has implemented and maintained appropriate safeguards; (iii) to the Company’s knowledge, there has been no such Breach, and the Company and its subsidiaries have not been notified of and have no knowledge of any event or condition that would reasonably be expected to result in any such Breach; and (iv) the Company and its subsidiaries have not provided or been legally required to provide any notices to any Person in connection with a disclosure of Personal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The Company and each of its subsidiaries are insured by insurers of recognized financial responsibility against such losses and risks and in such amounts as, in the Company’s reasonable judgement, are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The Company and each of its subsidiaries possess all certificates, authorizations and permits issued by the appropriate federal, state or foreign regulatory authorities necessary to conduct their respective businesses as presently conducted, except where the failure to obtain such certificates, authorizations or permits would not, singly or in the aggregate, be reasonably expected to have a material adverse effect on the Company and its subsidiaries, taken as a whole, and neither the Company nor any of its subsidiaries has received any written notice of proceedings relating to the revocation or modification of any such certificate, authorization or permit which, singly or in the aggregate, if the subject of an unfavorable decision, ruling or finding, would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The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Times;Serif" w:hAnsi="Times New Roman;Times;Serif"/>
          <w:b/>
          <w:i w:val="false"/>
          <w:caps w:val="false"/>
          <w:smallCaps w:val="false"/>
          <w:sz w:val="20"/>
        </w:rPr>
        <w:t>U.S. GAAP</w:t>
      </w:r>
      <w:r>
        <w:rPr>
          <w:rFonts w:ascii="Times New Roman;Times;Serif" w:hAnsi="Times New Roman;Times;Serif"/>
          <w:b w:val="false"/>
          <w:i w:val="false"/>
          <w:caps w:val="false"/>
          <w:smallCaps w:val="false"/>
          <w:sz w:val="20"/>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has been derived from the accounting records of the Company and its consolidated subsidiaries and presents fairly in all material respects the information shown thereby. The statistical, industry-related and market- 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Except as included therein, no historical or pro forma financial statements or supporting schedules are required to be included in the Registration Statement, the Time of Sale Prospectus or the Prospectus under the Securities Act or the rules and regulations promulgated thereunder. All disclosures contained in the Registration Statement, the Time of Sale Prospectus and the Prospectus regarding “non-GAAP financial measures” (as such term is defined by the rules and regulations of the Commission) comply in all material respects with Regulation G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Item 10 of Regulation S-K of the Securities Act, to the extent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The Company and its subsidiaries, taken as a whole, maintain a system of internal control over financial reporting (as such term is defined in Rule 13a-15(f) under the Exchange Act) designed by, or under the supervision of, the Company’s principal executive officer and principal financial officer, or persons performing similar functions, to provide reasonable assurance regarding the reliability of financial reporting and the preparation of financial statements for external purposes in accordance with U.S. GAAP and provides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and the interactive data in eXtensible Business Reporting Language included or incorporated by reference in the Registration Statement fairly presents the information called for in all material respects and is prepared in accordance with the Commission’s rules and guidelines applicable thereto. Except as described in the Registration Statement,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affected, or is reasonably likely to materially affect, the Company’s internal control over financial reporting. Except as disclosed in the Time of Sale Prospectus, 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Except as described in the Registration Statement, the Time of Sale Prospectus and the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The Company and each of its subsidiaries have filed all federal, state, local and foreign tax returns required to be filed through the date of this Agreement or have requested extensions thereof (except where the failure to file would not be reasonably expected to, singly or in the aggregate, have a material adverse effect on the Company and its subsidiaries, taken as a whole) and have paid all taxes required to be paid thereon (except for cases in which the failure to file or pay would not be reasonably expected to, singly or in the aggregate,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could reasonably be expected to be determined adversely to the Company or its subsidiaries and which could reasonably be expected to have) a material adverse effect on the Company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(i) has not alone engaged in any Testing-the-Waters Communication with any person other than Testing-the-Waters Communications with the consent of the Representatives with entities that are reasonably believed to be qualified institutional buyers within the meaning of Rule 144A under the Securities Act or institutions that are reasonably believed to be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communication with potential investors undertaken in reliance on Section 5(d) or Rule 163B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information furnished in writing to the Company by an Underwriter through or on behalf of the Representatives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Neither the Company nor any of its subsidiaries has any securities rated by any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(i) Each employee benefit plan, within the meaning of Section 3(3) of the Employee Retirement Income Security Act of 1974, as amended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 that is subject to the funding rules of Section 412 of the Code or Section 302 of ERISA (other than any “multiemployer plan” within the meaning of Section 4001(a)(3) of ERISA (a “</w:t>
      </w:r>
      <w:r>
        <w:rPr>
          <w:rFonts w:ascii="Times New Roman;Times;Serif" w:hAnsi="Times New Roman;Times;Serif"/>
          <w:b/>
          <w:i w:val="false"/>
          <w:caps w:val="false"/>
          <w:smallCaps w:val="false"/>
          <w:sz w:val="20"/>
        </w:rPr>
        <w:t>Multiemployer Plan</w:t>
      </w:r>
      <w:r>
        <w:rPr>
          <w:rFonts w:ascii="Times New Roman;Times;Serif" w:hAnsi="Times New Roman;Times;Serif"/>
          <w:b w:val="false"/>
          <w:i w:val="false"/>
          <w:caps w:val="false"/>
          <w:smallCaps w:val="false"/>
          <w:sz w:val="20"/>
        </w:rPr>
        <w:t>”))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would have any liability (each, a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has been maintained in compliance with its terms and the requirements of any applicable statutes, orders, rules and regulations, including but not limited to ERISA and the Code; (ii) for each Plan, no Plan has failed (whether or not waived), or is reasonably expected to fail, to satisfy the minimum funding standards (within the meaning of Section 302 of ERISA or Section 412 of the Code) applicable to such Plan; (iii) no Plan is, or is reasonably expected to be, in “at risk status” (within the meaning of Section 303(i) of ERISA) and no “Multiemployer Plan” is in “endangered status” or “critical status” (within the meaning of Sections 304 and 305 of ERISA) (iv) except to the extent that notice would be waived by applicable regulation, no “reportable event” (within the meaning of Section 4043(c) of ERISA and the regulations promulgated thereunder) has occurred or is reasonably expected to occur; and (v) neither the Company nor any member of the Controlled Group has incurred, nor reasonably expects to incur, any liability under Title IV of ERISA (other than contributions to the Plan or premiums to the Pension Benefit Guarantee Corporation, in the ordinary course and without default) in respect of a Plan or Multiemployer Plan, except in each case with respect to the events or conditions set forth in (i) through (v) hereof, as would not, individually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 except for any dividend, distribution, repayment or transfer that is prohibited pursuant to any credit facility of the Company’s subsidiaries described in the Registration Statement,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caps w:val="false"/>
          <w:smallCaps w:val="false"/>
          <w:sz w:val="20"/>
        </w:rPr>
        <w:t>Representations and Warranties by the Selling Stockholders</w:t>
      </w:r>
      <w:r>
        <w:rPr>
          <w:rFonts w:ascii="Times New Roman;Times;Serif" w:hAnsi="Times New Roman;Times;Serif"/>
          <w:b w:val="false"/>
          <w:i w:val="false"/>
          <w:caps w:val="false"/>
          <w:smallCaps w:val="false"/>
          <w:sz w:val="20"/>
        </w:rPr>
        <w:t>. Each Selling Stockholder, severally and not jointly, represents and warrants to each of the Underwriters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 as will have been obtained on or prior to the Closing Date for the registration under the Securities Act of the Shares; (B) as may be required under foreign or state securities (or Blue Sky) laws or by FINRA or by the Nasdaq Global Select Market in connection with the purchase and distribution of the Shares by the Underwriters; and (C) as would not impair in any material respect the ability of such Selling Stockholder to consummate its obligations hereunder, all consents, approvals, authorizations and orders necessary for the execution and delivery by such Selling Stockholder of this Agreement and for the sale and delivery of the Shares to be sold by such Selling Stockholder hereunder, have been obtained or will be obtained on or prior to the Closing Date; and such Selling Stockholder has full right, power and authority to enter into this Agreement and has or will have at the Closing Date, full right, power and authority to sell, assign, transfer and deliver the Shares to be sold by such Selling Stockholder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sale of the Shares to be sold by such Selling Stockholder hereunder and the compliance by such Selling Stockholder with this Agreement and the consummation of the transactions herein and contemplated in the Time of Sale Prospectus will not (i) conflict with or result in a breach or violation of any of the terms or provisions of, or constitute a default under, any statute, indenture, mortgage, deed of trust, loan agreement or other agreement or instrument to which such Selling Stockholder is a party or by which such Selling Stockholder is bound or to which any of the property or assets of such Selling Stockholder is subject, (ii) result in any violation of the provisions of the charter or by-laws or similar organizational documents of such Selling Stockholder or (iii) result in any violation of any statute or any order, rule or regulation of any court or governmental agency or body having jurisdiction over such Selling Stockholder or any property or assets of such Selling Stockholder, except in the case of (i) and (iii), as would not, individually or in the aggregate, reasonably be expected to materially impact such Selling Stockholder’s ability to perform its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payment for the Shares to be sold by such Selling Stockholder pursuant to this Agreement, delivery of such Shares, as directed by the Underwriters, to Cede &amp; Co. (“</w:t>
      </w:r>
      <w:r>
        <w:rPr>
          <w:rFonts w:ascii="Times New Roman;Times;Serif" w:hAnsi="Times New Roman;Times;Serif"/>
          <w:b/>
          <w:i w:val="false"/>
          <w:caps w:val="false"/>
          <w:smallCaps w:val="false"/>
          <w:sz w:val="20"/>
        </w:rPr>
        <w:t>Cede</w:t>
      </w:r>
      <w:r>
        <w:rPr>
          <w:rFonts w:ascii="Times New Roman;Times;Serif" w:hAnsi="Times New Roman;Times;Serif"/>
          <w:b w:val="false"/>
          <w:i w:val="false"/>
          <w:caps w:val="false"/>
          <w:smallCaps w:val="false"/>
          <w:sz w:val="20"/>
        </w:rPr>
        <w:t>”) or such other nominee as may be designated by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8 105 of the New York Uniform Commercial Code (the “</w:t>
      </w:r>
      <w:r>
        <w:rPr>
          <w:rFonts w:ascii="Times New Roman;Times;Serif" w:hAnsi="Times New Roman;Times;Serif"/>
          <w:b/>
          <w:i w:val="false"/>
          <w:caps w:val="false"/>
          <w:smallCaps w:val="false"/>
          <w:sz w:val="20"/>
        </w:rPr>
        <w:t>UCC</w:t>
      </w:r>
      <w:r>
        <w:rPr>
          <w:rFonts w:ascii="Times New Roman;Times;Serif" w:hAnsi="Times New Roman;Times;Serif"/>
          <w:b w:val="false"/>
          <w:i w:val="false"/>
          <w:caps w:val="false"/>
          <w:smallCaps w:val="false"/>
          <w:sz w:val="20"/>
        </w:rPr>
        <w:t>”)) to such Shares), (A) DTC shall be a “protected purchaser” of such Shares within the meaning of Section 8 303 of the UCC, (B) under Section 8 501 of the UCC, the Underwriters will acquire a valid security entitlement in respect of such Shares and (C) no action based on any “adverse claim”, within the meaning of Section 8 102 of the UCC, to such Shares may be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8 102 of the UCC and (z) appropriate entries to the accounts of the several Underwriters on the records of DTC will have been made pursuant to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Selling Stockholder has not taken and will not take, directly or indirectly, any action that is designed to or that might reasonably be expected to cause or result in unlawful stabilization or manipulation of the price of any security of the Company to facilitate the sale or resale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that any statements or omissions made in the Registration Statement, the Time of Sale Prospectus, the Prospectus or any amendment or supplement thereto are made in reliance upon and in conformity with the Selling Stockholder Information (as defined below), such Registration Statement and Time of Sale Prospectus did not, and the Prospectus and any further amendments or supplements to the Registration Statement and the Prospectus will not, when they become effective or are filed with the Commission, as the case may be, contain any untrue statement of a material fact or omit to state any material fact required to be stated therein or necessary to make the statements therein not misleading. “</w:t>
      </w:r>
      <w:r>
        <w:rPr>
          <w:rFonts w:ascii="Times New Roman;Times;Serif" w:hAnsi="Times New Roman;Times;Serif"/>
          <w:b/>
          <w:i w:val="false"/>
          <w:caps w:val="false"/>
          <w:smallCaps w:val="false"/>
          <w:sz w:val="20"/>
        </w:rPr>
        <w:t>Selling Stockholder Information</w:t>
      </w:r>
      <w:r>
        <w:rPr>
          <w:rFonts w:ascii="Times New Roman;Times;Serif" w:hAnsi="Times New Roman;Times;Serif"/>
          <w:b w:val="false"/>
          <w:i w:val="false"/>
          <w:caps w:val="false"/>
          <w:smallCaps w:val="false"/>
          <w:sz w:val="20"/>
        </w:rPr>
        <w:t>” consists solely of the information with respect to such Selling Stockholder in the beneficial ownership table under the caption “Selling Securityholders” in the Time of Sale Prospectus and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order to document the Underwriters’ compliance with the reporting and withholding provisions of the Tax Equity and Fiscal Responsibility Act of 1982 with respect to the transactions herein contemplated, such Selling Stockholder will deliver to you prior to or at the Closing Date a properly completed and executed United States Treasury Department Form W-8 or W-9 (or other applicable form or statement specified by Treasury Department regulations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Other than the Registration Statement, the Time of Sale 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Schedule II, each electronic road show and any other written communications approved in writing in advance by the Company and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obligations of such Selling Stockholder hereunder shall not be terminated by operation of law, whether by the dissolution of such Selling Stockholder or by the occurrence of any other event; if such Selling Stockholder shall be dissolved, or if any other such event should occur, before the delivery of the Shares to be sold by such Selling Stockholder hereunder, such Shares shall be delivered by or on behalf of such Selling Stockholder in accordance with the terms and conditions of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Selling Stockholder is not prompted by any material non-public information concerning the Company or any of its subsidiaries that is not disclosed in the Time of Sale Prospectus to sell its Shares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Such Selling Stockholder will not, directly or knowingly indirectly, use the proceeds of the offering contemplated by this Agreement, or lend, contribute or otherwise make available such proceeds to any subsidiary, joint venture partner or other individual or entity in any manner that will result in a violation of any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caps w:val="false"/>
          <w:smallCaps w:val="false"/>
          <w:sz w:val="20"/>
        </w:rPr>
        <w:t>Agreements to Sell and Purchase</w:t>
      </w:r>
      <w:r>
        <w:rPr>
          <w:rFonts w:ascii="Times New Roman;Times;Serif" w:hAnsi="Times New Roman;Times;Serif"/>
          <w:b w:val="false"/>
          <w:i w:val="false"/>
          <w:caps w:val="false"/>
          <w:smallCaps w:val="false"/>
          <w:sz w:val="20"/>
        </w:rPr>
        <w:t>. Each Selling Stockholder hereby agrees to sell to the several Underwriters, and each Underwriter, upon the basis of the representations and warranties herein contained, but subject to the terms and conditions hereinafter stated, agrees, severally and not jointly, to purchase from each Selling Stockholder the respective numbers of Firm Shares set forth in Schedule I hereto opposite its name at $20.5275 a share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representations and warranties contained in this Agreement, and subject to its terms and conditions, the Selling Stockholders agree to sell, severally and not jointly, to the Underwriters the Additional Shares, and the Underwriters shall have the right to purchase, severally and not jointly, up to 3,000,000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Any exercise notice shall specify the number of Additional Shares to be purchased by the Underwriters and the date on which such shares are to be purchased, which may be the same date and time as the Closing Date but shall not be earlier than the Closing Date. Each purchase date must be at least one business day after the written notice is given and may not be earlier than the closing date for the Firm Shares or later than ten business days after the date of such notice. On each day, if any, that Additional Shares are to be purchased (an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caps w:val="false"/>
          <w:smallCaps w:val="false"/>
          <w:sz w:val="20"/>
        </w:rPr>
        <w:t>Terms of Public Offering</w:t>
      </w:r>
      <w:r>
        <w:rPr>
          <w:rFonts w:ascii="Times New Roman;Times;Serif" w:hAnsi="Times New Roman;Times;Serif"/>
          <w:b w:val="false"/>
          <w:i w:val="false"/>
          <w:caps w:val="false"/>
          <w:smallCaps w:val="false"/>
          <w:sz w:val="20"/>
        </w:rPr>
        <w:t>. The Selling Stockholders are advised by the Representatives that the Underwriters propose to make a public offering of their respective portions of the Shares as soon after the Registration Statement and this Agreement have become effective as in the Representatives’ judgment is advisable. The Selling Stockholders are further advised by the Representatives that the Firm Shares are to be offered to the public initially at $21.00 a share (the “</w:t>
      </w:r>
      <w:r>
        <w:rPr>
          <w:rFonts w:ascii="Times New Roman;Times;Serif" w:hAnsi="Times New Roman;Times;Serif"/>
          <w:b/>
          <w:i w:val="false"/>
          <w:caps w:val="false"/>
          <w:smallCaps w:val="false"/>
          <w:sz w:val="20"/>
        </w:rPr>
        <w:t>Public Offering Price</w:t>
      </w:r>
      <w:r>
        <w:rPr>
          <w:rFonts w:ascii="Times New Roman;Times;Serif" w:hAnsi="Times New Roman;Times;Serif"/>
          <w:b w:val="false"/>
          <w:i w:val="false"/>
          <w:caps w:val="false"/>
          <w:smallCaps w:val="false"/>
          <w:sz w:val="20"/>
        </w:rPr>
        <w:t>”) and to certain dealers selected by the Representatives at a price that represents a concession not in excess of $0.2835 a share under the Public Offering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caps w:val="false"/>
          <w:smallCaps w:val="false"/>
          <w:sz w:val="20"/>
        </w:rPr>
        <w:t>Payment and Delivery</w:t>
      </w:r>
      <w:r>
        <w:rPr>
          <w:rFonts w:ascii="Times New Roman;Times;Serif" w:hAnsi="Times New Roman;Times;Serif"/>
          <w:b w:val="false"/>
          <w:i w:val="false"/>
          <w:caps w:val="false"/>
          <w:smallCaps w:val="false"/>
          <w:sz w:val="20"/>
        </w:rPr>
        <w:t>. Payment for the Firm Shares to be sold by the Selling Stockholders shall be made to such Selling Stockholder in Federal or other funds immediately available in New York City against delivery of such Firm Shares for the respective accounts of the several Underwriters at 10:00 a.m., New York City time, on May 15, 2026, or at such other time on the same or such other date as shall be designated in writing by the Representatives. The time and date of such payment are hereinafter referred to as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for any Additional Shares to be sold by the Selling Stockholders shall be made to the Selling Stockholders in Federal or other funds immediately available in New York City against delivery of such Additional Shares for the respective accounts of the several Underwriters at 10:00 a.m., New York City time, on the date specified in the corresponding notice described in Section 3 or at such other time on the same or on such other date, in any event not later than June 14, 2026, as shall be designated in writing by the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the applicable Option Closing Date, as the case may be, for the respective accounts of the several Underwriters, with any transfer taxes payable in connection with the transfer of the Shares to the Underwriters duly paid, against payment of the 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caps w:val="false"/>
          <w:smallCaps w:val="false"/>
          <w:sz w:val="20"/>
        </w:rPr>
        <w:t>Conditions to the Underwriters’ Obligations</w:t>
      </w:r>
      <w:r>
        <w:rPr>
          <w:rFonts w:ascii="Times New Roman;Times;Serif" w:hAnsi="Times New Roman;Times;Serif"/>
          <w:b w:val="false"/>
          <w:i w:val="false"/>
          <w:caps w:val="false"/>
          <w:smallCaps w:val="false"/>
          <w:sz w:val="20"/>
        </w:rPr>
        <w:t>. The obligations of the Selling Stockholders to sell the Shares to the Underwriters and the several obligations of the Underwriters to purchase and pay for the Shares on the Closing Date are subject to the condition that the Registration Statement shall have become effective not later than 4:00 p.m. (New York City time)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several obligations of the Underwriters are subject to the following further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Subsequent to the execution and delivery of this Agreement and prior to the Closing Date or the applicable Option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order suspending the effectiveness of the Registration Statement shall be in effect, no proceeding for such purpose or pursuant to Section 8A under the Securities Act shall be pending before or, to the Company’s knowledge, threatened by the Commission;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Underwriters shall have received on the Closing Date or the Option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certificate, dated the Closing Date or the Option Closing Date, as the case may be, and signed on behalf of the Company by an executive officer of the Company, to the effect set forth in Sections 6(a)(i) and 6(a)(ii) above and to the effect that the representations and warranties of the Company contained in this Agreement are true and correct as of the Closing Date or the Option Closing Date, as the case may be, and that the Company has complied with all of the agreements and satisfied all of the conditions on its part to be performed or satisfied hereunder on or before the Closing Date or the Option Closing Date, as the case may be;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certificate, dated the date hereof and the Closing Date or the Option Closing Date, as the case may be, and signed on behalf of the Company by its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officers signing and delivering such certificates may rely upon the best of his or her knowledge as to proceedings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Underwriters shall have received on the Closing Date or the Option Closing Date, as the case may be, a certificate, dated the Closing Date or the Option Closing Date, as the case may be, and signed by or on behalf of each Selling Stockholder, to the effect (i) the representations and warranties of each Selling Stockholder in this Agreement are true and correct with the same force and effect as though expressly made at and as of the Closing Date or the Option Closing Date, as the case may be, and (ii) each Selling Stockholder has complied with all agreements and conditions on its part to be performed under this Agreement at or prior to the Closing Date or the Option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Underwriters shall have received on the Closing Date or the Option Closing Date, as the case may be, an opinion and negative assurance letter of Latham &amp; Watkins LLP, outside counsel for the Company,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Underwriters shall have received on the Closing Date or the Option Closing Date, as the case may be, an opinion and negative assurance letter of Weil, Gotshal &amp; Manges LLP, counsel for the Underwriters,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Underwriters shall have received on the Closing Date or the Option Closing Date, as the case may be, an opinion of Davis Polk &amp; Wardwell LLP, counsel for AES Grid Stability, LLC,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Underwriters shall have received on the Closing Date or the Option Closing Date, as the case may be, an opinion of Simpson Thacher &amp; Bartlett LLP, counsel for SPT Holding, SARL,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Underwriters shall have received on the Closing Date or the Option Closing Date, as the case may be, an opinion of Linklaters LLP, Luxembourg counsel for SPT Holding, SARL,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Underwriters shall have received on the Closing Date or the Option Closing Date, as the case may be, an opinion of Cleary Gottlieb Steen &amp; Hamilton LLP, counsel for Qatar Holding LLC,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Underwriters shall have received on the Closing Date or the Option Closing Date, as the case may be, an opinion of Clyde &amp; Co LLP, Qatar counsel for Qatar Holding LLC, dated the Closing Date or the Option Closing Date, as the case may be, in form and substance reasonably satisfactory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negative assurance letters to be delivered pursuant to Sections 6(d) and 6(e) above, Latham &amp; Watkins LLP and Weil, Gotshal &amp; Manges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of Latham &amp; Watkins LLP, Weil, Gotshal &amp; Manges LLP, Davis Polk &amp; Wardwell LLP, Simpson Thacher &amp; Bartlett LLP, Linklaters LLP, Cleary Gottlieb Steen &amp; Hamilton LLP and Clyde &amp; Co LLP described in Sections 6(d), 6(e), 6(f), 6(g), 6(h), 6(i) and 6(j) above, respectively, shall be rendered to the Underwriters at the request of the Company and shall so state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The Underwriters shall have received, on each of the date hereof, the Closing Date and the Option Closing Date, as the case may be, a letter dated the date hereof, the Closing Date or the Option Closing Date, as the case may be, as the case may be, in form and substance satisfactory to the Underwriters, from Ernst &amp; Young LLP, an independent registered public accounting firm,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letter delivered on the Closing Date shall use a “cut-off date” not earlier than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letter delivered on the Option Closing Date shall use a “cut-off date” not earlier than two business days prior to such Option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“lock-up” agreements, each substantially in the form of Exhibit A hereto, executed by certain stockholders, officers and directors of the Company relating to restrictions on sales and certain other dispositions of shares of Common Stock or certain other securities, delivered to the Representatives on or before the date hereof (the “</w:t>
      </w:r>
      <w:r>
        <w:rPr>
          <w:rFonts w:ascii="Times New Roman;Times;Serif" w:hAnsi="Times New Roman;Times;Serif"/>
          <w:b/>
          <w:i w:val="false"/>
          <w:caps w:val="false"/>
          <w:smallCaps w:val="false"/>
          <w:sz w:val="20"/>
        </w:rPr>
        <w:t>Lock-up Agreements</w:t>
      </w:r>
      <w:r>
        <w:rPr>
          <w:rFonts w:ascii="Times New Roman;Times;Serif" w:hAnsi="Times New Roman;Times;Serif"/>
          <w:b w:val="false"/>
          <w:i w:val="false"/>
          <w:caps w:val="false"/>
          <w:smallCaps w:val="false"/>
          <w:sz w:val="20"/>
        </w:rPr>
        <w:t>”), shall be in full force and effect on the Closing Date or the Option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caps w:val="false"/>
          <w:smallCaps w:val="false"/>
          <w:sz w:val="20"/>
        </w:rPr>
        <w:t>Covenants of the Company and the Selling Stockholders</w:t>
      </w:r>
      <w:r>
        <w:rPr>
          <w:rFonts w:ascii="Times New Roman;Times;Serif" w:hAnsi="Times New Roman;Times;Serif"/>
          <w:b w:val="false"/>
          <w:i w:val="false"/>
          <w:caps w:val="false"/>
          <w:smallCaps w:val="false"/>
          <w:sz w:val="20"/>
        </w:rPr>
        <w:t>. The Company and each Selling Stockholder covenants with each Underwriter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will prepare the Prospectus in a form approved by the Representatives and file such Prospectus pursuant to Rule 424(b) under the Securities Act not later than the Commission’s close of business on the second business day following the execution and delivery of this Agreement, or, if applicable, such earlier time as may be required under the Securities Act; the Company will make no further amendment or any supplement to the Registration Statement, the preliminary prospectus or the Prospectus prior to the last time and date for delivery of the Shares which shall be disapproved by the Representatives promptly after reasonable notice thereof; the Company will advise the Representatives, promptly after it receives notice thereof, of the time when any amendment to the Registration Statement has been filed or becomes effective or any amendment or supplement to the Prospectus has been filed; the Company will file promptly all material required to be filed by the Company with the Commission pursuant to Rule 433(d) under the Securities Act; the Company will advise the Representatives,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the preliminary prospectus or the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will furnish to the Representatives, at their request, without charge, as many copies of the Registration Statement (including exhibits thereto), the preliminary prospectus and any supplements and amendments thereto or the Prospectus, as the Representatives may reasonably request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and any supplements and amendments thereto or to the Registration Statement as the Representatives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to furnish to the Representatives a copy of each proposed free writing prospectus to be prepared by or on behalf of, used by, or referred to by the Company and not to use or refer to any proposed free writing prospectus to which the Representatives reasonably object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Selling Stockholder and the Company agrees 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under which they were made,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the Company’s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(the “</w:t>
      </w:r>
      <w:r>
        <w:rPr>
          <w:rFonts w:ascii="Times New Roman;Times;Serif" w:hAnsi="Times New Roman;Times;Serif"/>
          <w:b/>
          <w:i w:val="false"/>
          <w:caps w:val="false"/>
          <w:smallCaps w:val="false"/>
          <w:sz w:val="20"/>
        </w:rPr>
        <w:t>Prospectus Delivery Period</w:t>
      </w:r>
      <w:r>
        <w:rPr>
          <w:rFonts w:ascii="Times New Roman;Times;Serif" w:hAnsi="Times New Roman;Times;Serif"/>
          <w:b w:val="false"/>
          <w:i w:val="false"/>
          <w:caps w:val="false"/>
          <w:smallCaps w:val="false"/>
          <w:sz w:val="20"/>
        </w:rPr>
        <w:t>”),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will endeavor to qualify the Shares for offering and sale under the securities or Blue Sky laws of such jurisdictions as the Representatives may reasonably request; provided that nothing contained herein shall require the Company to qualify to do business in any jurisdiction, execute a general consent to service of process in any jurisdiction or to subject itself to taxation in any jurisdiction in which it is not otherwise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will make generally available (which may be satisfied by filing with the Commission on its Electronic Data Gathering Analysis and Retrieval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to the Company’s security holders and to the Underwriters as soon as practicable but in any event not later than sixteen months after the effective date of the Registration Statement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excluding any transfer or other similar taxes payable thereon by the Selling Stockholders pursuant to Section 7(j) below,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fees and disbursements of counsel for the Underwriters in connection with such qualification and in connection with the Blue Sky or legal investment memorandum, (iv) the reasonable fees and disbursements of one counsel for the Selling Stockholders, (v) all filing fees and the reasonable fees and disbursements of counsel to the Underwriters incurred in connection with the review and qualification of the offering of the Shares by FINRA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amount payable by the Company with respect to fees and disbursements of counsel for the Underwriters pursuant to subsections (iii) and (v) shall not exceed $25,000 in the aggregate),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9 entitled “Indemnity and Contribution,” and the last paragraph of Section 11 below, the Underwriters will pay all of their costs and expenses, including fees and disbursements of their counsel, share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undertaken in connection with the marketing of the offering of the Shares, other than the cost of aircraft chartered in connection with the roadshow, for which the Underwriters agree to pay for 50% not paid for by the Company, as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Selling Stockholder, solely to itself, will pay (i) any fees and expenses of counsel for such Selling Stockholder (except as contemplated by Section 7(i)(iv)) and (ii) any transfer or other similar taxes, if any, payable upon the sale of the Shares to be sold by such Selling Stockholder to the Underwriters under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If at any time during the Prospectus Delivery Period and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Testing-the-Waters Communication to eliminate or correct such untrue statement or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and each Selling Stockholder will deliver to each Underwriter (or its agent), on the date of execution of this Agreement, a properly completed and executed Certification Regarding Beneficial Owners of Legal Entity Customers, together with copies of identifying documentation, and the Company and each Selling Stockholder undertakes to provide such additional supporting documentation as each Underwriter may reasonably request in connection with the verification of the foregoing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During a period of three (3) years from the effective date of the Registration Statement, for so long as the Company is subject to the reporting requirements of either Section 13 or Section 15(d) of the Exchange Act, the Company will furnish to its stockholders as soon as practicable after the end of each fiscal year an annual report (including a balance sheet and statements of income, stockholders’ equity and cash flows of the Company and its consolidated subsidiaries certified by independent public accountants) and, as soon as practicable after the end of each of the first three quarters of each fiscal year (beginning with the fiscal quarter ending after the effective date of the Registration Statement), to make available to its stockholders consolidated summary financial information of the Company and its subsidiaries for such quarter in reasonable detail;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be deemed to have satisfied the requirements of this Section 7(m) to the extent such information is filed through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During a period of three (3) years from the effective date of the Registration Statement, so long as the Company is subject to the reporting requirements of either Section 13 or Section 15(d) of the Exchange Act, the Company will furnish to the Representatives copies of all reports or other communications (financial or other) furnished to stockholders, and to deliver to the Representatives as soon as they are available, copies of any reports and financial statements furnished to or filed with the Commission or any national securities exchange on which any class of securities of the Company is listed;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will be deemed to have satisfied the requirements of this Section 7(n) to the extent such information is filed through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also covenants with each Underwriter that, without the prior written consent of the Representatives on behalf of the Underwriters, it will not, and will not publicly disclose an intention to, during the period beginning on the date of this Agreement and ending at the close of business 30 days after the date of the Prospectus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xml:space="preserve">”), (1) offer, pledge, sell, contract to sell, sell any option, warrant or contract to purchase, purchase any option or contract to sell, grant any option, right or warrant to purchase, lend, or otherwise transfer or dispose of, directly or indirectly, any shares of Common Stock or any securities substantially similar to the Common Stock, convertible into or exercisable or exchangeable for Common Stock,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confidential or non-public submissions to the Commission of any registration statements under the Securities Act may be made if and only if (x) no public announcement of such confidential or non-public submission shall be made during the Restricted Period and (y) the Company shall have provided the Representatives prior written notice of its intention to confidentially submit a draft registration statement with the Commission at least two business days prior to such confidential or non-public submission.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contained in the preceding paragraph shall not apply to (A) the Shares to be sold hereunder, (B) the issuance by the Company of shares of Common Stock upon the exercise of an option or warrant, the settlement of restricted stock units or share value award, or the conversion of a convertible loan, note or other security outstanding on the date hereof as described in each of the Time of Sale Prospectus and the Prospectus, (C) the grant of options, restricted stock units, share value awards or any other type of equity award pursuant to employee benefit plans in effect on the date hereof and described in the Time of Sale Prospectus and the Prospectus (the “</w:t>
      </w:r>
      <w:r>
        <w:rPr>
          <w:rFonts w:ascii="Times New Roman;Times;Serif" w:hAnsi="Times New Roman;Times;Serif"/>
          <w:b/>
          <w:i w:val="false"/>
          <w:caps w:val="false"/>
          <w:smallCaps w:val="false"/>
          <w:sz w:val="20"/>
        </w:rPr>
        <w:t>Plans</w:t>
      </w:r>
      <w:r>
        <w:rPr>
          <w:rFonts w:ascii="Times New Roman;Times;Serif" w:hAnsi="Times New Roman;Times;Serif"/>
          <w:b w:val="false"/>
          <w:i w:val="false"/>
          <w:caps w:val="false"/>
          <w:smallCaps w:val="false"/>
          <w:sz w:val="20"/>
        </w:rPr>
        <w:t xml:space="preserve">”) or the issuance of shares of Common Stock by the Company (whether upon the exercise of stock options or other equity awards) to employees, officers, directors, advisors or consultants of the Company pursuant to the Plans, (D) the filing by the Company of a registration statement on Form S-8 relating to issuance, vesting, exercise or settlement of equity awards granted or to be granted pursuant to the Plans, (E) the issuance of or entry into an agreement to issue shares of Common Stock or any securities substantially similar to the Common Stock or convertible into or exercisable or exchangeable for Common Stock in connection with one or more mergers, acquisitions or securities, businesses, property or other assets, products or technologies, joint ventures, commercial relationships or other strategic corporate transactions or alliances;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aggregate amount of Common Stock or any securities convertible into or exercisable or exchangeable for Common Stock (on an as-converted, as-exercised or as-exchanged basis) that the Company may issue or agree to issue pursuant to this clause (E) shall not exceed 10% of the total number of shares of Common Stock of the Company issued and outstanding immediately following the completion of the transactions contemplated by this Agreement determined on a fully diluted basis,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each recipient of shares of Common Stock or any securities convertible into or exercisable or exchangeable for shares of Common Stock pursuant to this clause (E) shall execute a lock-up agreement substantially in the form of Exhibit A hereto, or (F) facilitating the establishing of a trading plan on behalf of a shareholder, officer or director of the Company pursuant to Rule 10b5-1 under the Exchange Act for the transfer of shares of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such plan does not provide for the transfer of shares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shares of Common Stock may be made under such plan during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caps w:val="false"/>
          <w:smallCaps w:val="false"/>
          <w:sz w:val="20"/>
        </w:rPr>
        <w:t>Covenants of the Underwriters</w:t>
      </w:r>
      <w:r>
        <w:rPr>
          <w:rFonts w:ascii="Times New Roman;Times;Serif" w:hAnsi="Times New Roman;Times;Serif"/>
          <w:b w:val="false"/>
          <w:i w:val="false"/>
          <w:caps w:val="false"/>
          <w:smallCaps w:val="false"/>
          <w:sz w:val="20"/>
        </w:rPr>
        <w:t>. Each Underwriter, severally and not jointly, covenants with the Company 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caps w:val="false"/>
          <w:smallCaps w:val="false"/>
          <w:sz w:val="20"/>
        </w:rPr>
        <w:t>Indemnity and Contribution</w:t>
      </w:r>
      <w:r>
        <w:rPr>
          <w:rFonts w:ascii="Times New Roman;Times;Serif" w:hAnsi="Times New Roman;Times;Serif"/>
          <w:b w:val="false"/>
          <w:i w:val="false"/>
          <w:caps w:val="false"/>
          <w:smallCaps w:val="false"/>
          <w:sz w:val="20"/>
        </w:rPr>
        <w:t>. (a) The Company agrees to indemnify and hold harmless each Underwriter, the directors, officers and affiliates of each Underwriter within the meaning of Rule 405 under the Securities Act and each person, if any, who controls any Underwriter within the meaning of either Section 15 of the Securities Act or 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Times New Roman;Times;Serif" w:hAnsi="Times New Roman;Times;Serif"/>
          <w:b/>
          <w:i w:val="false"/>
          <w:caps w:val="false"/>
          <w:smallCaps w:val="false"/>
          <w:sz w:val="20"/>
        </w:rPr>
        <w:t>road show</w:t>
      </w:r>
      <w:r>
        <w:rPr>
          <w:rFonts w:ascii="Times New Roman;Times;Serif" w:hAnsi="Times New Roman;Times;Serif"/>
          <w:b w:val="false"/>
          <w:i w:val="false"/>
          <w:caps w:val="false"/>
          <w:smallCaps w:val="false"/>
          <w:sz w:val="20"/>
        </w:rPr>
        <w:t>”), the Prospectus or any amendment or supplement thereto, or any Testing-the-Waters Communication, or arise out of, or are based upon, any omission or alleged omission to state therein a material fact required to be stated therein or necessary to make the statements therein, (insofar as related to the Prospectus, the Time of Sale Prospectus or any Testing-the-Waters Communication, in the light of the circumstances under which they were made),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the Underwriters through the Representatives consists of the information described as such in subsection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Selling Stockholder agrees to indemnify and hold harmless each Underwriter, the directors, officers and affiliates of each Underwriter within the meaning of Rule 405 under the Securities Act and each person, if any, who controls any Underwriter within the meaning of either Section 15 of the Securities Act or Section 20 of the Exchange Act to the same extent as the foregoing indemnity from the Company to the Underwriters, but only with reference to information relating to the Selling Stockholder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Underwriter agrees, severally and not jointly, to indemnify and hold harmless the Company, its directors, its officers who sign the Registration Statement and each person, if any, who controls the Company within the meaning of either Section 15 of the Securities Act, and each Selling Stockholder and each person, if any, who controls any Selling Stockholder within the meaning of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the Prospectus or any amendment or supplement thereto or Testing-the-Waters Communication, it being understood and agreed that the only such information furnished by any Underwriter through the Representatives consists of the following information in the Prospectus: (i) the names of the Underwriters; (ii) the third paragraph under the caption “Underwriting;” and (iii) the thirteenth paragraph of text under the caption “Underwriting” concerning the transactions that stabilize, maintain or otherwise affect the price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proceeding (including any governmental investigation) shall be instituted involving any person in respect of which indemnity may be sought pursuant to Section 9(a) or 9(c), such person (the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shall promptly notify the person against whom such indemnity may be sought (the “</w:t>
      </w:r>
      <w:r>
        <w:rPr>
          <w:rFonts w:ascii="Times New Roman;Times;Serif" w:hAnsi="Times New Roman;Times;Serif"/>
          <w:b/>
          <w:i w:val="false"/>
          <w:caps w:val="false"/>
          <w:smallCaps w:val="false"/>
          <w:sz w:val="20"/>
        </w:rPr>
        <w:t>indemnifying party</w:t>
      </w:r>
      <w:r>
        <w:rPr>
          <w:rFonts w:ascii="Times New Roman;Times;Serif" w:hAnsi="Times New Roman;Times;Serif"/>
          <w:b w:val="false"/>
          <w:i w:val="false"/>
          <w:caps w:val="false"/>
          <w:smallCaps w:val="false"/>
          <w:sz w:val="20"/>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in writing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In the case of any such separate firm for the Underwriters and such control persons and affiliates of any Underwriters, such firm shall be designated in writing by the Representatives. In the case of any such separate firm for the Selling Stockholders, such firm shall be designated in writing by the Selling Stockholders.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 statement as to or an admission of fault, culpability or a failure to act by or on behalf of any indemnified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the extent the indemnification provided for in Section 9(a) or 9(c)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Section 9(e)(i) above is not permitted by applicable law, in such proportion as is appropriate to reflect not only the relative benefits referred to in Section 9(e)(i) above but also the relative fault of the Company or the Selling Stockholders, as applicable, on the one hand and of the Underwriters on the other hand in connection with the statements or omissions that resulted in such losses, claims, damages or liabilities, as well as any other relevant equitable considerations. The relative benefits received by the indemnifying party or parties on the one hand and the indemnified party or parties on the other hand in connection with the offering of the Shares shall be deemed to be in the same respective proportions as the net proceeds from the offering of the Shares (after deducting underwriting discounts and commissions but before deducting expenses) received by the Company and the Selling Stockholders and the total underwriting discounts and commissions received by the Underwriters, in each case as set forth in the table on the cover of the Prospectus, bear to the aggregate Public Offering Price of the Shares. The relative fault of the indemnifying party or parties on the one hand and the indemnified party or parties on the other hand shall be determined by reference to, among other things, whether the untrue or alleged untrue statement of a material fact or the omission or alleged omission to state a material fact relates to information supplied by the Company, the Selling Stockholders or by the Underwriters and the parties’ relative intent, knowledge, access to information and opportunity to correct or prevent such statement or omission. The Underwriters’ respective obligations to contribute pursuant to this Section 9 are several in proportion to the respective number of Shares they have purchased hereunder, and not joint.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the Selling Stockholders and the Underwriters agree that it would not be just or equitable if contribution pursuant to this Section 9 were determined by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allocation (even if the Underwriters were treated as one entity for such purpose) or by any other method of allocation that does not take account of the equitable considerations referred to in Section 9(e). The amount paid or payable by an indemnified party as a result of the losses, claims, damages and liabilities referred to in Section 9(e) shall be deemed to include, subject to the limitations set forth above, any legal or other expenses reasonably incurred by such indemnified party in connection with investigating or defending any such action or claim. Notwithstanding the provisions of this Section 9,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9 are not exclusive and shall not limit any rights or remedies which may otherwise be available to any indemnified party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indemnity and contribution provisions contained in this Section 9(g) and the representations, warranties and other statements of the Company and the Selling Stockholders, respectively, contained in this Agreement shall remain operative and in full force and effect regardless of (i) any termination of this Agreement, (ii) any investigation made by or on behalf of any Underwriter, any director, officer, or affiliate of any Underwriter and each person, if any, who controls any Underwriter, by or on behalf of the Company or by or on behalf of any Selling Stockholder, its officers or directors or any person controlling the Company and (iii) acceptance of and payment for any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provisions of this Section shall not affect any agreement among the Company and the Selling Stockholders with respect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Underwriters may terminate this Agreement by notice given by the Representatives to the Company and the Selling Stockholders,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Global Select Market, the Chicago Board of Options Exchange, the Chicago Mercantile Exchange or the Chicago Board of Trade or other relevant exchanges,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caps w:val="false"/>
          <w:smallCaps w:val="false"/>
          <w:sz w:val="20"/>
        </w:rPr>
        <w:t>Effectiveness; Defaulting Underwriters</w:t>
      </w:r>
      <w:r>
        <w:rPr>
          <w:rFonts w:ascii="Times New Roman;Times;Serif" w:hAnsi="Times New Roman;Times;Serif"/>
          <w:b w:val="false"/>
          <w:i w:val="false"/>
          <w:caps w:val="false"/>
          <w:smallCaps w:val="false"/>
          <w:sz w:val="20"/>
        </w:rPr>
        <w:t>. This Agreement shall become effective upon the execution and delivery hereof by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on the Closing Date,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Selling Stockholders for the purchase of such Firm Shares are not made within 36 hours after such default, this Agreement shall terminate without liability on the part of any non-defaulting Underwriter or the Selling Stockholders. In any such case either the Representatives or the Selling Stockholders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Agreement shall be terminated by the Underwriters, or any of them, because of any failure or refusal on the part of the Selling Stockholders to comply with the terms or to fulfill any of the conditions of this Agreement, or if for any reason the Selling Stockholders shall be unable to perform its obligations under this Agreement other than by reason of a default by the Underwriters, the Selling Stockholders will reimburse the Underwriters or such Underwriters as have so terminated this Agreement with respect to themselves, severally, for all out-of-pocket expenses (including the reasonably incurred fees and disbursements of their counsel) reasonably incurred by such Underwriters in connection with this Agreement or the offering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(a) This Agreement, together with any contemporaneous written agreements and any prior written agreements (to the extent not superseded by this Agreement) that relate to the offering of the Shares, represents the entire agreement between the Company and the Selling Stockholders on the one hand, and the Underwriters, on the other, with respect to the preparation of any preliminary prospectus, the Time of Sale Prospectus, the Prospectus, the conduct of the offering, and the purchase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each Selling Stockholder acknowledges that in connection with the offering of the Shares: (i) the Underwriters have acted at arm’s length, are not agents of, and owe no fiduciary duties to, the Company, the Selling Stockholders or any other person, (ii) the Underwriters owe the Company and the Selling Stockholders only those duties and obligations set forth in this Agreement, any contemporaneous written agreements and prior written agreements (to the extent not superseded by this Agreement), if any, (iii) the Underwriters may have interests that differ from those of the Company or the Selling Stockholders, and (iv) none of the activities of the Underwriters in connection with the transactions contemplated herein constitutes a recommendation, investment advice, or solicitation of any action by the Underwriters with respect to any entity or natural person. The Company and each Selling Stockholder waives to the full extent permitted by applicable law any claims it may have against the Underwriters arising from an alleged breach of fiduciary duty in connection with the offering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caps w:val="false"/>
          <w:smallCaps w:val="false"/>
          <w:sz w:val="20"/>
        </w:rPr>
        <w:t>Recognition of the U.S. Special Resolution Regimes</w:t>
      </w:r>
      <w:r>
        <w:rPr>
          <w:rFonts w:ascii="Times New Roman;Times;Serif" w:hAnsi="Times New Roman;Times;Serif"/>
          <w:b w:val="false"/>
          <w:i w:val="false"/>
          <w:caps w:val="false"/>
          <w:smallCaps w:val="false"/>
          <w:sz w:val="20"/>
        </w:rPr>
        <w:t>. (i)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a “</w:t>
      </w:r>
      <w:r>
        <w:rPr>
          <w:rFonts w:ascii="Times New Roman;Times;Serif" w:hAnsi="Times New Roman;Times;Serif"/>
          <w:b/>
          <w:i w:val="false"/>
          <w:caps w:val="false"/>
          <w:smallCaps w:val="false"/>
          <w:sz w:val="20"/>
        </w:rPr>
        <w:t>BHC Act Affiliate</w:t>
      </w:r>
      <w:r>
        <w:rPr>
          <w:rFonts w:ascii="Times New Roman;Times;Serif" w:hAnsi="Times New Roman;Times;Serif"/>
          <w:b w:val="false"/>
          <w:i w:val="false"/>
          <w:caps w:val="false"/>
          <w:smallCaps w:val="false"/>
          <w:sz w:val="20"/>
        </w:rPr>
        <w:t>” has the meaning assigned to the term “affiliate” in, and shall be interpreted in accordance with, 12 U.S.C. § 1841(k).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means any of the following: (i) a “</w:t>
      </w:r>
      <w:r>
        <w:rPr>
          <w:rFonts w:ascii="Times New Roman;Times;Serif" w:hAnsi="Times New Roman;Times;Serif"/>
          <w:b/>
          <w:i w:val="false"/>
          <w:caps w:val="false"/>
          <w:smallCaps w:val="false"/>
          <w:sz w:val="20"/>
        </w:rPr>
        <w:t>covered entity</w:t>
      </w:r>
      <w:r>
        <w:rPr>
          <w:rFonts w:ascii="Times New Roman;Times;Serif" w:hAnsi="Times New Roman;Times;Serif"/>
          <w:b w:val="false"/>
          <w:i w:val="false"/>
          <w:caps w:val="false"/>
          <w:smallCaps w:val="false"/>
          <w:sz w:val="20"/>
        </w:rPr>
        <w:t>” as that term is defined in, and interpreted in accordance with, 12 C.F.R. § 252.82(b); (ii) a “</w:t>
      </w:r>
      <w:r>
        <w:rPr>
          <w:rFonts w:ascii="Times New Roman;Times;Serif" w:hAnsi="Times New Roman;Times;Serif"/>
          <w:b/>
          <w:i w:val="false"/>
          <w:caps w:val="false"/>
          <w:smallCaps w:val="false"/>
          <w:sz w:val="20"/>
        </w:rPr>
        <w:t>covered bank</w:t>
      </w:r>
      <w:r>
        <w:rPr>
          <w:rFonts w:ascii="Times New Roman;Times;Serif" w:hAnsi="Times New Roman;Times;Serif"/>
          <w:b w:val="false"/>
          <w:i w:val="false"/>
          <w:caps w:val="false"/>
          <w:smallCaps w:val="false"/>
          <w:sz w:val="20"/>
        </w:rPr>
        <w:t>” as that term is defined in, and interpreted in accordance with, 12 C.F.R. § 47.3(b); or (iii) a “</w:t>
      </w:r>
      <w:r>
        <w:rPr>
          <w:rFonts w:ascii="Times New Roman;Times;Serif" w:hAnsi="Times New Roman;Times;Serif"/>
          <w:b/>
          <w:i w:val="false"/>
          <w:caps w:val="false"/>
          <w:smallCaps w:val="false"/>
          <w:sz w:val="20"/>
        </w:rPr>
        <w:t>covered FSI</w:t>
      </w:r>
      <w:r>
        <w:rPr>
          <w:rFonts w:ascii="Times New Roman;Times;Serif" w:hAnsi="Times New Roman;Times;Serif"/>
          <w:b w:val="false"/>
          <w:i w:val="false"/>
          <w:caps w:val="false"/>
          <w:smallCaps w:val="false"/>
          <w:sz w:val="20"/>
        </w:rPr>
        <w:t>” as that term is defined in, and interpreted in accordance with, 12 C.F.R. § 382.2(b). “</w:t>
      </w:r>
      <w:r>
        <w:rPr>
          <w:rFonts w:ascii="Times New Roman;Times;Serif" w:hAnsi="Times New Roman;Times;Serif"/>
          <w:b/>
          <w:i w:val="false"/>
          <w:caps w:val="false"/>
          <w:smallCaps w:val="false"/>
          <w:sz w:val="20"/>
        </w:rPr>
        <w:t>Default Right</w:t>
      </w:r>
      <w:r>
        <w:rPr>
          <w:rFonts w:ascii="Times New Roman;Times;Serif" w:hAnsi="Times New Roman;Times;Serif"/>
          <w:b w:val="false"/>
          <w:i w:val="false"/>
          <w:caps w:val="false"/>
          <w:smallCaps w:val="false"/>
          <w:sz w:val="20"/>
        </w:rPr>
        <w:t>” has the meaning assigned to that term in, and shall be interpreted in accordance with, 12 C.F.R. §§ 252.81, 47.2 or 382.1, as applicable. “</w:t>
      </w:r>
      <w:r>
        <w:rPr>
          <w:rFonts w:ascii="Times New Roman;Times;Serif" w:hAnsi="Times New Roman;Times;Serif"/>
          <w:b/>
          <w:i w:val="false"/>
          <w:caps w:val="false"/>
          <w:smallCaps w:val="false"/>
          <w:sz w:val="20"/>
        </w:rPr>
        <w:t>U.S. Special Resolution Regime</w:t>
      </w:r>
      <w:r>
        <w:rPr>
          <w:rFonts w:ascii="Times New Roman;Times;Serif" w:hAnsi="Times New Roman;Times;Serif"/>
          <w:b w:val="false"/>
          <w:i w:val="false"/>
          <w:caps w:val="false"/>
          <w:smallCaps w:val="false"/>
          <w:sz w:val="20"/>
        </w:rPr>
        <w:t>”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xml:space="preserve">. This Agreement may be signed in two or more counterparts, each of which shall be an original, with the same effect as if the signatures thereto and hereto were upon the same instrument. Counterparts may be delivered via facsimile, electronic mail (including any electronic signature complying with the U.S. federal ESIGN Act of 2000, Uniform Electronic Transactions Act or other applicable law,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xml:space="preserve"> www.docusign.com) or other transmission method and any counterpart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caps w:val="false"/>
          <w:smallCaps w:val="false"/>
          <w:sz w:val="20"/>
        </w:rPr>
        <w:t>Applicable Law</w:t>
      </w:r>
      <w:r>
        <w:rPr>
          <w:rFonts w:ascii="Times New Roman;Times;Serif" w:hAnsi="Times New Roman;Times;Serif"/>
          <w:b w:val="false"/>
          <w:i w:val="false"/>
          <w:caps w:val="false"/>
          <w:smallCaps w:val="false"/>
          <w:sz w:val="20"/>
        </w:rPr>
        <w:t>. This Agreement and any claim, controversy or dispute arising under or related to this Agreement shall be governed by and construed in accordance with the internal laws of the State of New York, without regard to the conflict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caps w:val="false"/>
          <w:smallCaps w:val="false"/>
          <w:sz w:val="20"/>
        </w:rPr>
        <w:t>Submission to Jurisdiction</w:t>
      </w:r>
      <w:r>
        <w:rPr>
          <w:rFonts w:ascii="Times New Roman;Times;Serif" w:hAnsi="Times New Roman;Times;Serif"/>
          <w:b w:val="false"/>
          <w:i w:val="false"/>
          <w:caps w:val="false"/>
          <w:smallCaps w:val="false"/>
          <w:sz w:val="20"/>
        </w:rPr>
        <w:t>. The Company and each Selling Stockholder irrevocably submits to the non-exclusive jurisdiction of any New York State or United States Federal court sitting in The City of New York over any suit, action or proceeding arising out of or relating to this Agreement, the Time of Sale Prospectus, the Prospectus, the Registration Statement or the offering of the Shares (each, a “</w:t>
      </w:r>
      <w:r>
        <w:rPr>
          <w:rFonts w:ascii="Times New Roman;Times;Serif" w:hAnsi="Times New Roman;Times;Serif"/>
          <w:b/>
          <w:i w:val="false"/>
          <w:caps w:val="false"/>
          <w:smallCaps w:val="false"/>
          <w:sz w:val="20"/>
        </w:rPr>
        <w:t>Related Proceeding</w:t>
      </w:r>
      <w:r>
        <w:rPr>
          <w:rFonts w:ascii="Times New Roman;Times;Serif" w:hAnsi="Times New Roman;Times;Serif"/>
          <w:b w:val="false"/>
          <w:i w:val="false"/>
          <w:caps w:val="false"/>
          <w:smallCaps w:val="false"/>
          <w:sz w:val="20"/>
        </w:rPr>
        <w:t>”). The Company and each Selling Stockholder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the sections of this Agreement have been inserted for convenience of reference only and shall not be deemed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communications hereunder shall be in writing and effective only upon receipt and if to the Underwriters shall be delivered, mailed or sent to Barclays Capital Inc. at 745 Seventh Avenue, New York, New York 10019, Attention: Syndicate Registration (Fax: (646) 834-8133); Goldman Sachs &amp; Co. LLC, 200 West Street, New York, New York 10282-2198, Attention: Registration Department; J.P. Morgan Securities LLC, 270 Park Avenue, New York, New York 10017 (fax: (212) 622-8358); Attention Equity Syndicate Desk; and if to the Company shall be delivered, mailed or sent to Fluence Energy, Inc., 4601 Fairfax Drive, Suite 600 Arlington, VA 22203.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75"/>
        <w:gridCol w:w="320"/>
        <w:gridCol w:w="545"/>
        <w:gridCol w:w="6245"/>
      </w:tblGrid>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FLUENCE ENERGY, INC.</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9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Amhed Pasha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Ahmed Pasha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Financial Officer</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9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 Vincent Mathis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Vincent Mathis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Senior Vice President and Chief Legal and Compliance Officer and Secretary</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AES GRID STABILITY, LLC</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Jennifer Gillcrist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Jennifer Gillcrist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SPT HOLDINGS, SARL</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Thomas Grünewald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Thomas Grünewald</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Denis Stoffel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Stoffel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CFO</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QATAR HOLDING LLC</w:t>
            </w:r>
          </w:p>
        </w:tc>
      </w:tr>
      <w:tr>
        <w:trPr/>
        <w:tc>
          <w:tcPr>
            <w:tcW w:w="75" w:type="dxa"/>
            <w:tcBorders/>
            <w:vAlign w:val="center"/>
          </w:tcPr>
          <w:p>
            <w:pPr>
              <w:pStyle w:val="TableContents"/>
              <w:bidi w:val="0"/>
              <w:spacing w:before="0" w:after="283"/>
              <w:jc w:val="left"/>
              <w:rPr/>
            </w:pPr>
            <w:r>
              <w:rPr/>
              <w:t> </w:t>
            </w:r>
          </w:p>
        </w:tc>
        <w:tc>
          <w:tcPr>
            <w:tcW w:w="711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7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Ahmad Mohammed Al-Khanji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Ahmad Mohammed Al-Khanji</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w:t>
            </w:r>
          </w:p>
        </w:tc>
        <w:tc>
          <w:tcPr>
            <w:tcW w:w="6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044" w:type="dxa"/>
        <w:jc w:val="left"/>
        <w:tblInd w:w="0" w:type="dxa"/>
        <w:tblLayout w:type="fixed"/>
        <w:tblCellMar>
          <w:top w:w="0" w:type="dxa"/>
          <w:left w:w="0" w:type="dxa"/>
          <w:bottom w:w="0" w:type="dxa"/>
          <w:right w:w="0" w:type="dxa"/>
        </w:tblCellMar>
      </w:tblPr>
      <w:tblGrid>
        <w:gridCol w:w="1090"/>
        <w:gridCol w:w="1776"/>
        <w:gridCol w:w="5103"/>
        <w:gridCol w:w="75"/>
      </w:tblGrid>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as of the date hereof</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severally on behalf of themselves and the several Underwriters named in Schedule I hereto.</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8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Gabrielle LeBlanc</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Gabrielle LeBlanc</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8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Skaaren Cosse</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Skaaren Cosse</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Director</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75" w:type="dxa"/>
            <w:tcBorders/>
            <w:vAlign w:val="center"/>
          </w:tcPr>
          <w:p>
            <w:pPr>
              <w:pStyle w:val="TableContents"/>
              <w:bidi w:val="0"/>
              <w:spacing w:before="0" w:after="283"/>
              <w:jc w:val="left"/>
              <w:rPr/>
            </w:pPr>
            <w:r>
              <w:rPr/>
              <w:t> </w:t>
            </w:r>
          </w:p>
        </w:tc>
      </w:tr>
      <w:tr>
        <w:trPr/>
        <w:tc>
          <w:tcPr>
            <w:tcW w:w="7969" w:type="dxa"/>
            <w:gridSpan w:val="3"/>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8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Bobby Wiebe</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Bobby Wiebe</w:t>
            </w:r>
          </w:p>
        </w:tc>
        <w:tc>
          <w:tcPr>
            <w:tcW w:w="75" w:type="dxa"/>
            <w:tcBorders/>
            <w:vAlign w:val="center"/>
          </w:tcPr>
          <w:p>
            <w:pPr>
              <w:pStyle w:val="TableContents"/>
              <w:bidi w:val="0"/>
              <w:spacing w:before="0" w:after="283"/>
              <w:jc w:val="left"/>
              <w:rPr/>
            </w:pPr>
            <w:r>
              <w:rPr/>
              <w:t> </w:t>
            </w:r>
          </w:p>
        </w:tc>
      </w:tr>
      <w:tr>
        <w:trPr/>
        <w:tc>
          <w:tcPr>
            <w:tcW w:w="1090"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1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w:t>
      </w:r>
    </w:p>
    <w:p>
      <w:pPr>
        <w:pStyle w:val="TextBody"/>
        <w:bidi w:val="0"/>
        <w:spacing w:before="0" w:after="0"/>
        <w:ind w:left="0" w:right="0" w:hanging="0"/>
        <w:jc w:val="left"/>
        <w:rPr>
          <w:caps w:val="false"/>
          <w:smallCaps w:val="false"/>
        </w:rPr>
      </w:pPr>
      <w:r>
        <w:rPr>
          <w:caps w:val="false"/>
          <w:smallCaps w:val="false"/>
        </w:rPr>
        <w:t> </w:t>
      </w:r>
    </w:p>
    <w:tbl>
      <w:tblPr>
        <w:tblW w:w="4914" w:type="dxa"/>
        <w:jc w:val="left"/>
        <w:tblInd w:w="0" w:type="dxa"/>
        <w:tblLayout w:type="fixed"/>
        <w:tblCellMar>
          <w:top w:w="0" w:type="dxa"/>
          <w:left w:w="0" w:type="dxa"/>
          <w:bottom w:w="28" w:type="dxa"/>
          <w:right w:w="0" w:type="dxa"/>
        </w:tblCellMar>
      </w:tblPr>
      <w:tblGrid>
        <w:gridCol w:w="2480"/>
        <w:gridCol w:w="60"/>
        <w:gridCol w:w="136"/>
        <w:gridCol w:w="2163"/>
        <w:gridCol w:w="75"/>
      </w:tblGrid>
      <w:tr>
        <w:trPr/>
        <w:tc>
          <w:tcPr>
            <w:tcW w:w="248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29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Firm Shares To</w:t>
              <w:br/>
              <w:t>Be Purchased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4,888,889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4,888,889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4,888,889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888,889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888,889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888,889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888,888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4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pPr>
            <w:r>
              <w:rPr/>
              <w:t> </w:t>
            </w:r>
          </w:p>
        </w:tc>
        <w:tc>
          <w:tcPr>
            <w:tcW w:w="2163" w:type="dxa"/>
            <w:tcBorders>
              <w:bottom w:val="single" w:sz="8" w:space="0" w:color="000000"/>
            </w:tcBorders>
            <w:shd w:fill="FFFFFF" w:val="cle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4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Time of Sale Prospectus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448"/>
        <w:gridCol w:w="9672"/>
      </w:tblGrid>
      <w:tr>
        <w:trPr/>
        <w:tc>
          <w:tcPr>
            <w:tcW w:w="8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1.</w:t>
            </w:r>
          </w:p>
        </w:tc>
        <w:tc>
          <w:tcPr>
            <w:tcW w:w="9672" w:type="dxa"/>
            <w:tcBorders/>
            <w:vAlign w:val="center"/>
          </w:tcPr>
          <w:p>
            <w:pPr>
              <w:pStyle w:val="TableContents"/>
              <w:bidi w:val="0"/>
              <w:spacing w:before="0" w:after="283"/>
              <w:jc w:val="both"/>
              <w:rPr/>
            </w:pPr>
            <w:r>
              <w:rPr/>
              <w:t>Preliminary Prospectus issued May 12,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16"/>
        <w:gridCol w:w="9830"/>
      </w:tblGrid>
      <w:tr>
        <w:trPr/>
        <w:tc>
          <w:tcPr>
            <w:tcW w:w="5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2.</w:t>
            </w:r>
          </w:p>
        </w:tc>
        <w:tc>
          <w:tcPr>
            <w:tcW w:w="9830" w:type="dxa"/>
            <w:tcBorders/>
            <w:vAlign w:val="center"/>
          </w:tcPr>
          <w:p>
            <w:pPr>
              <w:pStyle w:val="TableContents"/>
              <w:bidi w:val="0"/>
              <w:spacing w:before="0" w:after="283"/>
              <w:jc w:val="both"/>
              <w:rPr/>
            </w:pPr>
            <w:r>
              <w:rPr/>
              <w:t>The public offering price per share for the Shares shall be $21.00.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4"/>
        <w:gridCol w:w="9974"/>
      </w:tblGrid>
      <w:tr>
        <w:trPr/>
        <w:tc>
          <w:tcPr>
            <w:tcW w:w="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3.</w:t>
            </w:r>
          </w:p>
        </w:tc>
        <w:tc>
          <w:tcPr>
            <w:tcW w:w="9974" w:type="dxa"/>
            <w:tcBorders/>
            <w:vAlign w:val="center"/>
          </w:tcPr>
          <w:p>
            <w:pPr>
              <w:pStyle w:val="TableContents"/>
              <w:bidi w:val="0"/>
              <w:spacing w:before="0" w:after="283"/>
              <w:jc w:val="both"/>
              <w:rPr/>
            </w:pPr>
            <w:r>
              <w:rPr/>
              <w:t>The number of Firm Shares purchased by the Underwriters is 20,000,000 (and up to 3,000,000 Additional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III</w:t>
      </w:r>
    </w:p>
    <w:p>
      <w:pPr>
        <w:pStyle w:val="TextBody"/>
        <w:bidi w:val="0"/>
        <w:spacing w:before="0" w:after="0"/>
        <w:ind w:left="0" w:right="0" w:hanging="0"/>
        <w:jc w:val="left"/>
        <w:rPr>
          <w:caps w:val="false"/>
          <w:smallCaps w:val="false"/>
        </w:rPr>
      </w:pPr>
      <w:r>
        <w:rPr>
          <w:caps w:val="false"/>
          <w:smallCaps w:val="false"/>
        </w:rPr>
        <w:t> </w:t>
      </w:r>
    </w:p>
    <w:tbl>
      <w:tblPr>
        <w:tblW w:w="3444" w:type="dxa"/>
        <w:jc w:val="left"/>
        <w:tblInd w:w="0" w:type="dxa"/>
        <w:tblLayout w:type="fixed"/>
        <w:tblCellMar>
          <w:top w:w="0" w:type="dxa"/>
          <w:left w:w="0" w:type="dxa"/>
          <w:bottom w:w="28" w:type="dxa"/>
          <w:right w:w="0" w:type="dxa"/>
        </w:tblCellMar>
      </w:tblPr>
      <w:tblGrid>
        <w:gridCol w:w="2015"/>
        <w:gridCol w:w="60"/>
        <w:gridCol w:w="85"/>
        <w:gridCol w:w="1209"/>
        <w:gridCol w:w="75"/>
      </w:tblGrid>
      <w:tr>
        <w:trPr/>
        <w:tc>
          <w:tcPr>
            <w:tcW w:w="201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Stockholder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Firm</w:t>
              <w:br/>
              <w:t>Shares: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AES Grid Stability,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8,753,404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SPT Holding, SARL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8,753,404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Qatar Holding LLC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0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2,493,192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III-1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Goldman Sachs &amp; Co. LLC</w:t>
        <w:br/>
        <w:t>J.P. Morgan Securities LLC</w:t>
        <w:b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Representatives of the several Underwriters named in Schedule I of the Underwriting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Barclays Capital Inc.</w:t>
        <w:br/>
        <w:t>745 Seventh Avenue</w:t>
        <w:b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Goldman Sachs &amp; Co. LLC</w:t>
        <w:br/>
        <w:t>200 West Street</w:t>
        <w:br/>
        <w:t>New York, New York 10282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J.P. Morgan Securities LLC</w:t>
        <w:br/>
        <w:t>270 Park Avenue</w:t>
        <w:br/>
        <w:t>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Barclays Capital Inc., Goldman Sachs &amp; Co. LLC and J.P. Morgan Securities LLC (the “</w:t>
      </w:r>
      <w:r>
        <w:rPr>
          <w:rFonts w:ascii="Times New Roman;Times;Serif" w:hAnsi="Times New Roman;Times;Serif"/>
          <w:b/>
          <w:i w:val="false"/>
          <w:caps w:val="false"/>
          <w:smallCaps w:val="false"/>
          <w:sz w:val="20"/>
        </w:rPr>
        <w:t>Representatives</w:t>
      </w:r>
      <w:r>
        <w:rPr>
          <w:rFonts w:ascii="Times New Roman;Times;Serif" w:hAnsi="Times New Roman;Times;Serif"/>
          <w:b w:val="false"/>
          <w:i w:val="false"/>
          <w:caps w:val="false"/>
          <w:smallCaps w:val="false"/>
          <w:sz w:val="20"/>
        </w:rPr>
        <w:t>”) propose to enter into an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with Fluence Energy,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Selling Stockholders named in Schedule III to the Underwriting Agreement, providing for the public offering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by the several Underwriters, including the Representatives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of shares of Class A common stock, par value $0.00001 per share, of the Company (the “</w:t>
      </w:r>
      <w:r>
        <w:rPr>
          <w:rFonts w:ascii="Times New Roman;Times;Serif" w:hAnsi="Times New Roman;Times;Serif"/>
          <w:b/>
          <w:i w:val="false"/>
          <w:caps w:val="false"/>
          <w:smallCaps w:val="false"/>
          <w:sz w:val="20"/>
        </w:rPr>
        <w:t>Class A Shares</w:t>
      </w:r>
      <w:r>
        <w:rPr>
          <w:rFonts w:ascii="Times New Roman;Times;Serif" w:hAnsi="Times New Roman;Times;Serif"/>
          <w:b w:val="false"/>
          <w:i w:val="false"/>
          <w:caps w:val="false"/>
          <w:smallCaps w:val="false"/>
          <w:sz w:val="20"/>
        </w:rPr>
        <w:t>”) pursuant to a Registration Statement on Form S-3 filed with the Securities and Exchange Commission on May 12, 2026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As used herein, the term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refers to shares of the Company’s common stock, including any shares of Class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induce the Underwriters that may participate in the Public Offering to continue their efforts in connection with the Public Offering, the undersigned hereby agrees that, without the prior written consent of the Representatives on behalf of the Underwriters, it will not, and will not publicly disclose an intention to, during the period beginning on the date of this letter agreement (this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and ending at the close of business 45 days after the date of the final prospectus supplement relating to the Public Offering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(such period, the “</w:t>
      </w:r>
      <w:r>
        <w:rPr>
          <w:rFonts w:ascii="Times New Roman;Times;Serif" w:hAnsi="Times New Roman;Times;Serif"/>
          <w:b/>
          <w:i w:val="false"/>
          <w:caps w:val="false"/>
          <w:smallCaps w:val="false"/>
          <w:sz w:val="20"/>
        </w:rPr>
        <w:t>Restricted Period</w:t>
      </w:r>
      <w:r>
        <w:rPr>
          <w:rFonts w:ascii="Times New Roman;Times;Serif" w:hAnsi="Times New Roman;Times;Serif"/>
          <w:b w:val="false"/>
          <w:i w:val="false"/>
          <w:caps w:val="false"/>
          <w:smallCaps w:val="false"/>
          <w:sz w:val="20"/>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by the undersigned or any other securities so owned convertible into or exercisable or exchangeable for shares of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undersigned acknowledges and agrees that the foregoing precludes the undersigned from engaging in any hedging or other transactions designed or intended, or which could reasonably be expected to lead to or result in, a sale or disposition of any shares of Common Stock, or securities convertible into or exercisable or exchangeable for Common Stock, even if any such sale or disposition transaction or transactions would be made or executed by someone other than the undersigned on their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transactions relating to Common Stock or other securities acquired in the Public Offering or in open market transactions after the completion of the Public Offering,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filing under Section 16(a) of the Exchange Act reporting a reduction in beneficial ownership of Common Stock shall be required or shall be voluntarily made in connection with subsequent sales of Common Stock or other securities acquired in the Public Offering or such open market transactions during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transfers of Common Stock or any security convertible into or exercisable or exchangeable for Common Stock as a bona fide gift, for bona fide estate planning purposes or to any member of the immediate family of the undersigned or to any trust for the direct or indirect benefit of the undersigned or the immediate family of the undersigned,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each recipient shall sign and deliver a lock-up agreement substantially in the form of this Lock-Up Agreement, (ii) no filing under Section 16(a) of the Exchange Act reporting a reduction in beneficial ownership of Common Stock shall be required or shall be voluntarily made during the Restricted Period and (iii) and such transfer does not involve a disposition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transfers of Common Stock or any security convertible into or exercisable or exchangeable for Common Stock by will or intestate succession upon the death of the undersigned, including to the transferee’s nominee or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transfers of Common Stock or any security convertible into or exercisable or exchangeable for Common Stock that occurs by operation of law pursuant to a qualified domestic order or in connection with a divorce settlement or other court order;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filing required under Section 16(a) of the Exchange Act during the Restricted Period shall clearly indicate in the footnotes thereto that the filing relates to the circumstances described in this clause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the undersigned is a corporation, partnership, limited liability company or other business entity, any transfer or distribution of Common Stock or any security convertible into or exercisable or exchangeable for Common Stock, including, without limitation, limited liability company interests in Fluence Energy, LLC (“Units”) to limited partners, members, managers, stockholders or holders of similar equity interests in the undersigned or to another corporation, partnership, limited liability company, trust or other business entity that is an affiliate (as defined in Rule 405 as promulgated under the Securities Act of 1933, as amended) of the undersigned or to any investment fund or other entity controlled or managed by the undersigned or affiliates of the undersigned,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 each transferee shall sign and deliver a lock-up agreement substantially in the form of this Lock-Up Agreement and (ii) no filing under Section 16(a) of the Exchange Act, reporting a reduction in beneficial ownership of Common Stock, shall be required or shall be voluntarily made during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transfers of Common Stock or any security convertible into or exercisable or exchangeable for Common Stock to a nominee or custodian of a person or entity to whom a disposition or transfer would be permissible under clauses (a) through (e) above, subject to the same terms and conditions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transfers to the Company of shares of Common Stock or any security convertible into or exercisable or exchangeable for Common Stock in connection with the repurchase by the Company from the undersigned of shares of Common Stock or any security convertible into or exercisable or exchangeable for Common Stock pursuant to a repurchase right arising in connection with the termination of the undersigned’s employment with or provision of services to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public announcement or filing under Section 16(a) of the Exchange Act shall clearly indicate in the footnotes thereto that such transfer is being made pursuant to the circumstances described in this clause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transfer or other disposition of Common Stock or any securities convertible into or exercisable or exchangeable for Common Stock upon a vesting or settlement event of the Company’s securities or upon the exercise of options, restricted share units, share value awards, warrants or other equity awards to purchase the Company’s securities (including any transfer or other disposition necessary to generate such amount of cash needed for the payment of taxes, including estimated taxes, due as a result of such vesting or exercise whether by means of a “net settlement” or otherwise to the Company in the case of a “cashless exercise” or “net exercise” that is effected solely by surrender of outstanding options, restricted share units, share value awards, warrants or other equity awards (or the Common Stock issuable upon the exercise thereof) to the Company and the Company’s cancellation of all or a portion thereof to pay the exercise price and/or withholding tax obligations; provided that any filing under Section 16(a) of the Exchange Act shall clearly indicate in the footnotes thereto that (i) the filing relates to the circumstances described in this clause (h), and (ii) any shares received upon exercise or settlement of the option, restricted share unit, share value award or other equity award or exercise of warrants are subject to a lock-up agreement substantially in the form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transfers of Common Stock pursuant to a bona fide third-party tender offer, merger, consolidation or other similar transaction after the completion of the Public Offering that is approved by the Board of Directors of the Company and made to all holders of the Company’s capital stock involving a Change of Control (as defined below)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that such tender offer, merger, consolidation or other such transaction is not completed, the undersigned’s shares of Common Stock shall remain subject to the provisions of this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establishing trading plans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transfers of Common Stock pursuant to a trading plan established pursuant to Rule 10b5-1 under the Exchange Act entered into by the undersigned prior to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filing required under Section 16(a) of the Exchange Act during the Restricted Period shall clearly indicate in the footnotes thereto that the filing relates to such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transfers of shares of Common Stock or any security convertible into or exercisable or exchangeable for Common Stock to the Company or any of its affiliates in connection with the Transactions contemplated in the Prospectus, upon exercise of the Company’s right to repurchase or reacquire the undersigned’s Common Stock pursuant to agreements disclosed in the Prospectus and in effect on the date of the consummation of the Public Offering, or as permitted by section 9 of the Third Amended and Restated Limited Liability Company Agreement of Fluence Energy, LLC, including in connection with exchanges qualifying under Section 351 of the Internal Revenue Code of 1986, as amended, provided, that any such shares of Common Stock received upon such exchange shall remain subject to the provisions of this Lock-Up Agreement and provided further that, to the extent a public announcement or filing under the Exchange Act, if any, is required of or voluntarily made by or on behalf of the undersigned or the Company regarding the transfer, conversion, reclassification, redemption or exchange, as applicable, such announcement or filing shall include a statement explaining the circumstances of such transfer, or that such transfer, conversion, reclassification, redemption or exchange, occurred pursuant to the terms of section 9 of the Third Amended and Restated Limited Liability Company Agreement of Fluence Energy, LLC, as applicable, and no transfer of the shares of Common Stock or other securities received upon exchange may be made during the Restricted Period other than as may be permitted by this Lock-Up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sales of Common Stock to the Underwriters pursuant to the Underwriting Agreement[.][(and the cancellation of any shares of Class B-1 common stock in connection with the exercise of the undersigned’s redemption right with respect to its common units of Fluence Energy, LLC in connection therewith); or]</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[exchanges of shares of Class B-1 common stock for an equivalent number of shares of Class B-2 common stock of the Company, such shares of Class B-2 common stock shall remain subject to this Lock-up Agreement.]</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NTD: To be included in the case of AES Grid Stability, LLC only.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NTD: To be included in the case of AES Grid Stability, LLC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Lock-Up Agreement shall prevent the undersigned from making a demand for, or exercising any right with respect to, the registration of the undersigned’s shares of Common Stock, except for any such demand or any such exercise that is publicly disclosed (or required to be publicly disclosed) by the undersigned or any of its affiliates prior to the expiration of the Lock-Up Period; provided that in no event shall the Company be obligated to take an action in violation of Section 7(o) of the Underwriting Agreement. The undersigned also agrees and consents to the entry of stop transfer instructions with the Company’s transfer agent and registrar against the transfer of the undersigned’s Common Stock except in compliance with the foregoing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agree that if any Major Holder (as defined below) party to a lock-up agreement in connection with the Public Offering is in any way released from, or receives a waiver of, any of its obligations pursuant to such lock-up agreement (including by amendment to the lock- up agreement or otherwise) (a “</w:t>
      </w:r>
      <w:r>
        <w:rPr>
          <w:rFonts w:ascii="Times New Roman;Times;Serif" w:hAnsi="Times New Roman;Times;Serif"/>
          <w:b/>
          <w:i w:val="false"/>
          <w:caps w:val="false"/>
          <w:smallCaps w:val="false"/>
          <w:sz w:val="20"/>
        </w:rPr>
        <w:t>Released Party</w:t>
      </w:r>
      <w:r>
        <w:rPr>
          <w:rFonts w:ascii="Times New Roman;Times;Serif" w:hAnsi="Times New Roman;Times;Serif"/>
          <w:b w:val="false"/>
          <w:i w:val="false"/>
          <w:caps w:val="false"/>
          <w:smallCaps w:val="false"/>
          <w:sz w:val="20"/>
        </w:rPr>
        <w:t>”), the undersigned will be similarly and contemporaneously released or waived from its obligations hereunder (which for the avoidance of doubt will include a release or waiver of the same percent of shares of Common Stock as the percent of shares of Common Stock held by the Released Party that are subject to the release or waiver, with such percentage calculated by reference to the aggregate number of shares of Common Stock beneficially owned by the Released Party and persons or entities, if any, identified as associated with such Released Party in a footnote to the beneficial ownership table under the caption “Selling Securityholders” of the Prospectus relating to the Public Offering). The Representatives shall provide at least three business days’ written notice to the Company prior to the effective date of any such release or waiver (such date, the “</w:t>
      </w:r>
      <w:r>
        <w:rPr>
          <w:rFonts w:ascii="Times New Roman;Times;Serif" w:hAnsi="Times New Roman;Times;Serif"/>
          <w:b/>
          <w:i w:val="false"/>
          <w:caps w:val="false"/>
          <w:smallCaps w:val="false"/>
          <w:sz w:val="20"/>
        </w:rPr>
        <w:t>Release Date</w:t>
      </w:r>
      <w:r>
        <w:rPr>
          <w:rFonts w:ascii="Times New Roman;Times;Serif" w:hAnsi="Times New Roman;Times;Serif"/>
          <w:b w:val="false"/>
          <w:i w:val="false"/>
          <w:caps w:val="false"/>
          <w:smallCaps w:val="false"/>
          <w:sz w:val="20"/>
        </w:rPr>
        <w:t>”), stating the percentage of shares held by such Released Party to be released, with the understanding that the Company shall use commercially reasonable efforts to notify the undersigned that the same percentage of shares held by the undersigned as is held by the Released Party shall be released from the restrictions set forth herein on the Release Date. For purposes of this Lock-Up Agreement, each of the following persons is a “</w:t>
      </w:r>
      <w:r>
        <w:rPr>
          <w:rFonts w:ascii="Times New Roman;Times;Serif" w:hAnsi="Times New Roman;Times;Serif"/>
          <w:b/>
          <w:i w:val="false"/>
          <w:caps w:val="false"/>
          <w:smallCaps w:val="false"/>
          <w:sz w:val="20"/>
        </w:rPr>
        <w:t>Major Holder</w:t>
      </w:r>
      <w:r>
        <w:rPr>
          <w:rFonts w:ascii="Times New Roman;Times;Serif" w:hAnsi="Times New Roman;Times;Serif"/>
          <w:b w:val="false"/>
          <w:i w:val="false"/>
          <w:caps w:val="false"/>
          <w:smallCaps w:val="false"/>
          <w:sz w:val="20"/>
        </w:rPr>
        <w:t>”: each officer and director of the Company and each “Selling Securityholder,” as such term is defined in the Underwriting Agreement. Notwithstanding the foregoing, no release or waiver will constitute a release or waiver for purposes of this paragraph, if: (a) such release or waiver is granted to any individual party or parties that represent, individually or in the aggregate with all releases or waivers under this clause (a), an amount less than or equal to 1% of the Company’s total then outstanding Common Stock, (b) such release or waiver is effected solely to permit a transfer not involving a disposition for value, the transferee has agreed in writing to sign and deliver a lock-up agreement substantially in the form of this Lock-Up Agreement and any filing required under Section 16(a) of the Exchange Act during the Restricted Period related thereto shall clearly indicate in the footnotes thereto that the transferee has delivered a lock-up agreement substantially in the form of this Lock-Up Agreement, or (c) the release or waiver is granted due to circumstances of an emergency or hardship as determined by the Representatives in their sole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letter, “</w:t>
      </w:r>
      <w:r>
        <w:rPr>
          <w:rFonts w:ascii="Times New Roman;Times;Serif" w:hAnsi="Times New Roman;Times;Serif"/>
          <w:b/>
          <w:i w:val="false"/>
          <w:caps w:val="false"/>
          <w:smallCaps w:val="false"/>
          <w:sz w:val="20"/>
        </w:rPr>
        <w:t>immediate family</w:t>
      </w:r>
      <w:r>
        <w:rPr>
          <w:rFonts w:ascii="Times New Roman;Times;Serif" w:hAnsi="Times New Roman;Times;Serif"/>
          <w:b w:val="false"/>
          <w:i w:val="false"/>
          <w:caps w:val="false"/>
          <w:smallCaps w:val="false"/>
          <w:sz w:val="20"/>
        </w:rPr>
        <w:t>” shall mean any relationship by blood, marriage or adoption, not more remote than first cousin. For purposes of this letter,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more than 50% of the outstanding voting securities of the Company (or the surviving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and agrees that the Underwriters have not provided any recommendation or investment advice nor have the Underwriters solicited any action from the undersigned with respect to the Public Offering of the Common Stock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shares of Common Stock at the price determined in the Public Offering, and nothing set forth in such disclosures or documentation is intended to suggest that any Underwriter is making such a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consents to receipt of this Lock-Up Agreement in electronic form and understands and agrees that this letter agreement may be signed electronically. If any signature is delivered by facsimile transmission, electronic mail, or otherwise by electronic transmission evidencing an intent to sign this Lock-Up Agreement (including any electronic signature complying with the U.S. federal ESIGN Act of 2000, e.g., www.docusign.com),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Public Offering actually occurs depends on a number of factors, including market conditions. Any Public Offering will only be made pursuant to an Underwriting Agreement, the terms of which are subject to negotiation among the Company, the Selling Stockholders and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shall automatically terminate and the undersigned will be released from all obligations hereunder upon the earliest to occur, if any, of (a) the Company and the Selling Stockholders, on the one hand, or the Representatives, on the other hand, advising the other in writing that it has determined not to proceed with the Public Offering prior to the execution of the Underwriting Agreement, (b) the date the Registration Statement is withdrawn, if prior to the execution of the Underwriting Agreement and the closing of the Public Offering, (c) the date the Underwriting Agreement is terminated, if prior to the closing of the Public Offering, and (d) May 31, 2026, if the Underwriting Agreement has not been executed by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and any claim, controversy or dispute arising thereunder or related hereto shall be governed by and construed in accordance with the laws of the State of New York, without regard to the conflict of laws principles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5408" w:type="dxa"/>
        <w:jc w:val="left"/>
        <w:tblInd w:w="0" w:type="dxa"/>
        <w:tblLayout w:type="fixed"/>
        <w:tblCellMar>
          <w:top w:w="0" w:type="dxa"/>
          <w:left w:w="0" w:type="dxa"/>
          <w:bottom w:w="0" w:type="dxa"/>
          <w:right w:w="0" w:type="dxa"/>
        </w:tblCellMar>
      </w:tblPr>
      <w:tblGrid>
        <w:gridCol w:w="729"/>
        <w:gridCol w:w="1510"/>
        <w:gridCol w:w="60"/>
        <w:gridCol w:w="992"/>
        <w:gridCol w:w="2117"/>
      </w:tblGrid>
      <w:tr>
        <w:trPr/>
        <w:tc>
          <w:tcPr>
            <w:tcW w:w="223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AN INDIVIDUAL:</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IF AN ENTITY:</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223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(duly authorized signature)</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complete name of entity)</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51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1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full name)</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(duly authorized signature)</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1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full name)</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2117"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 full title)</w:t>
            </w:r>
          </w:p>
        </w:tc>
      </w:tr>
      <w:tr>
        <w:trPr/>
        <w:tc>
          <w:tcPr>
            <w:tcW w:w="223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pPr>
            <w:r>
              <w:rPr/>
              <w:t> </w:t>
            </w:r>
          </w:p>
        </w:tc>
      </w:tr>
      <w:tr>
        <w:trPr/>
        <w:tc>
          <w:tcPr>
            <w:tcW w:w="223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r>
      <w:tr>
        <w:trPr/>
        <w:tc>
          <w:tcPr>
            <w:tcW w:w="223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23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29" w:type="dxa"/>
            <w:tcBorders/>
            <w:vAlign w:val="center"/>
          </w:tcPr>
          <w:p>
            <w:pPr>
              <w:pStyle w:val="TableContents"/>
              <w:bidi w:val="0"/>
              <w:spacing w:before="0" w:after="283"/>
              <w:jc w:val="left"/>
              <w:rPr/>
            </w:pPr>
            <w:r>
              <w:rPr/>
              <w:t>E-mail:</w:t>
            </w:r>
          </w:p>
        </w:tc>
        <w:tc>
          <w:tcPr>
            <w:tcW w:w="151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left"/>
              <w:rPr/>
            </w:pPr>
            <w:r>
              <w:rPr/>
              <w:t>E-mail:</w:t>
            </w:r>
          </w:p>
        </w:tc>
        <w:tc>
          <w:tcPr>
            <w:tcW w:w="2117"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WAIVER OF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w:t>
        <w:br/>
        <w:t>Officer or Director</w:t>
        <w:br/>
        <w:t>Requesting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Mr./Ms.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is being delivered to you in connection with the offering by the Selling Stockholders of Fluence Energy,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of shares of Common Stock, par value $0.00001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and the lock-up agreement dated                 , 20      (the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executed by you in connection with such offering, and your request for a [waiver] [release] dated                , 20     , with respect to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Defined terms used and not otherwise defined herein shall have the meanings set forth in the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 Goldman Sachs &amp; Co. LLC and J.P. Morgan Securities LLC hereby agree to [waive] [release] the transfer restrictions set forth in the Lock-up Agreement, but only with respect to the Shares, effective                , 20     . This letter will serve as notice to the Company of the impending [waiver]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[waived] [released] hereby, the Lock-up Agreement shall remain in full force and effect.</w:t>
      </w:r>
    </w:p>
    <w:p>
      <w:pPr>
        <w:pStyle w:val="TextBody"/>
        <w:bidi w:val="0"/>
        <w:spacing w:before="0" w:after="0"/>
        <w:ind w:left="0" w:right="0" w:hanging="0"/>
        <w:jc w:val="left"/>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75"/>
        <w:gridCol w:w="2879"/>
        <w:gridCol w:w="5045"/>
      </w:tblGrid>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Acting severally on behalf of themselves and the several Underwriters named in Schedule I hereto</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4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2879" w:type="dxa"/>
            <w:tcBorders/>
            <w:vAlign w:val="center"/>
          </w:tcPr>
          <w:p>
            <w:pPr>
              <w:pStyle w:val="TableContents"/>
              <w:bidi w:val="0"/>
              <w:spacing w:before="0" w:after="283"/>
              <w:jc w:val="left"/>
              <w:rPr>
                <w:caps w:val="false"/>
                <w:smallCaps w:val="false"/>
              </w:rPr>
            </w:pPr>
            <w:r>
              <w:rPr>
                <w:caps w:val="false"/>
                <w:smallCaps w:val="false"/>
              </w:rPr>
              <w:t> </w:t>
            </w:r>
          </w:p>
        </w:tc>
        <w:tc>
          <w:tcPr>
            <w:tcW w:w="50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B-1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5" w:name="tm2614667d1_ex5-1.htm"/>
      <w:bookmarkStart w:id="26" w:name="kstm2614667d1_ex51"/>
      <w:bookmarkEnd w:id="25"/>
      <w:bookmarkEnd w:id="26"/>
      <w:r>
        <w:rPr>
          <w:b/>
        </w:rPr>
        <w:t>Exhibit 5.1</w:t>
      </w:r>
      <w:r>
        <w:br w:type="page"/>
      </w:r>
    </w:p>
    <w:p>
      <w:pPr>
        <w:pStyle w:val="TextBody"/>
        <w:bidi w:val="0"/>
        <w:spacing w:before="0" w:after="0"/>
        <w:jc w:val="left"/>
        <w:rPr/>
      </w:pPr>
      <w:r>
        <w:rPr/>
        <w:t xml:space="preserve">  </w:t>
      </w:r>
    </w:p>
    <w:tbl>
      <w:tblPr>
        <w:tblW w:w="7399" w:type="dxa"/>
        <w:jc w:val="left"/>
        <w:tblInd w:w="0" w:type="dxa"/>
        <w:tblLayout w:type="fixed"/>
        <w:tblCellMar>
          <w:top w:w="0" w:type="dxa"/>
          <w:left w:w="0" w:type="dxa"/>
          <w:bottom w:w="0" w:type="dxa"/>
          <w:right w:w="0" w:type="dxa"/>
        </w:tblCellMar>
      </w:tblPr>
      <w:tblGrid>
        <w:gridCol w:w="3750"/>
        <w:gridCol w:w="1495"/>
        <w:gridCol w:w="2154"/>
      </w:tblGrid>
      <w:tr>
        <w:trPr/>
        <w:tc>
          <w:tcPr>
            <w:tcW w:w="375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1271 Avenue of the Americas</w:t>
            </w:r>
          </w:p>
        </w:tc>
      </w:tr>
      <w:tr>
        <w:trPr/>
        <w:tc>
          <w:tcPr>
            <w:tcW w:w="375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New York 10020-1401</w:t>
            </w:r>
          </w:p>
        </w:tc>
      </w:tr>
      <w:tr>
        <w:trPr/>
        <w:tc>
          <w:tcPr>
            <w:tcW w:w="3750" w:type="dxa"/>
            <w:tcBorders/>
            <w:vAlign w:val="center"/>
          </w:tcPr>
          <w:p>
            <w:pPr>
              <w:pStyle w:val="TableContents"/>
              <w:bidi w:val="0"/>
              <w:spacing w:before="0" w:after="283"/>
              <w:jc w:val="left"/>
              <w:rPr/>
            </w:pPr>
            <w:r>
              <w:rPr/>
              <w:t> </w:t>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+1.212.906.1200 Fax: +1.212.751.4864</w:t>
            </w:r>
          </w:p>
        </w:tc>
      </w:tr>
      <w:tr>
        <w:trPr/>
        <w:tc>
          <w:tcPr>
            <w:tcW w:w="3750" w:type="dxa"/>
            <w:vMerge w:val="restart"/>
            <w:tcBorders/>
            <w:vAlign w:val="center"/>
          </w:tcPr>
          <w:p>
            <w:pPr>
              <w:pStyle w:val="TableContents"/>
              <w:bidi w:val="0"/>
              <w:spacing w:before="0" w:after="283"/>
              <w:jc w:val="left"/>
              <w:rPr/>
            </w:pPr>
            <w:r>
              <w:rPr/>
              <w:drawing>
                <wp:inline distT="0" distB="0" distL="0" distR="0">
                  <wp:extent cx="237172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304800"/>
                          </a:xfrm>
                          <a:prstGeom prst="rect">
                            <a:avLst/>
                          </a:prstGeom>
                        </pic:spPr>
                      </pic:pic>
                    </a:graphicData>
                  </a:graphic>
                </wp:inline>
              </w:drawing>
            </w:r>
          </w:p>
        </w:tc>
        <w:tc>
          <w:tcPr>
            <w:tcW w:w="364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www.lw.com</w:t>
            </w:r>
          </w:p>
        </w:tc>
      </w:tr>
      <w:tr>
        <w:trPr/>
        <w:tc>
          <w:tcPr>
            <w:tcW w:w="3750" w:type="dxa"/>
            <w:vMerge w:val="continue"/>
            <w:tcBorders/>
            <w:vAlign w:val="center"/>
          </w:tcPr>
          <w:p>
            <w:pPr>
              <w:pStyle w:val="Normal"/>
              <w:bidi w:val="0"/>
              <w:jc w:val="left"/>
              <w:rPr/>
            </w:pPr>
            <w:r>
              <w:rPr/>
            </w:r>
          </w:p>
        </w:tc>
        <w:tc>
          <w:tcPr>
            <w:tcW w:w="1495" w:type="dxa"/>
            <w:tcBorders/>
            <w:vAlign w:val="center"/>
          </w:tcPr>
          <w:p>
            <w:pPr>
              <w:pStyle w:val="TableContents"/>
              <w:bidi w:val="0"/>
              <w:spacing w:before="0" w:after="283"/>
              <w:jc w:val="left"/>
              <w:rPr/>
            </w:pPr>
            <w:r>
              <w:rPr/>
              <w:t> </w:t>
            </w:r>
          </w:p>
        </w:tc>
        <w:tc>
          <w:tcPr>
            <w:tcW w:w="2154" w:type="dxa"/>
            <w:tcBorders/>
            <w:vAlign w:val="center"/>
          </w:tcPr>
          <w:p>
            <w:pPr>
              <w:pStyle w:val="TableContents"/>
              <w:bidi w:val="0"/>
              <w:spacing w:before="0" w:after="283"/>
              <w:jc w:val="left"/>
              <w:rPr/>
            </w:pPr>
            <w:r>
              <w:rPr/>
              <w:t> </w:t>
            </w:r>
          </w:p>
        </w:tc>
      </w:tr>
      <w:tr>
        <w:trPr/>
        <w:tc>
          <w:tcPr>
            <w:tcW w:w="3750" w:type="dxa"/>
            <w:vMerge w:val="continue"/>
            <w:tcBorders/>
            <w:vAlign w:val="center"/>
          </w:tcPr>
          <w:p>
            <w:pPr>
              <w:pStyle w:val="Normal"/>
              <w:bidi w:val="0"/>
              <w:jc w:val="left"/>
              <w:rPr/>
            </w:pPr>
            <w:r>
              <w:rPr/>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Austin</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Milan</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Beijing</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Munich</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Boston</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Brussels</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Orange County</w:t>
            </w:r>
          </w:p>
        </w:tc>
      </w:tr>
      <w:tr>
        <w:trPr/>
        <w:tc>
          <w:tcPr>
            <w:tcW w:w="3750" w:type="dxa"/>
            <w:tcBorders/>
            <w:vAlign w:val="center"/>
          </w:tcPr>
          <w:p>
            <w:pPr>
              <w:pStyle w:val="TableContents"/>
              <w:bidi w:val="0"/>
              <w:spacing w:before="0" w:after="283"/>
              <w:jc w:val="left"/>
              <w:rPr/>
            </w:pPr>
            <w:r>
              <w:rPr/>
              <w:t>May 15, 2026</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Chicago</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Paris</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Dubai</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Riyadh</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Düsseldorf</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Diego</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Frankfurt</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San Francisco</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Hamburg</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Seoul</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Hong Kong</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Silicon Valley</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Houston</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Singapore</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London</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 Aviv</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 Angeles</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Tokyo</w:t>
            </w:r>
          </w:p>
        </w:tc>
      </w:tr>
      <w:tr>
        <w:trPr/>
        <w:tc>
          <w:tcPr>
            <w:tcW w:w="3750" w:type="dxa"/>
            <w:tcBorders/>
            <w:vAlign w:val="center"/>
          </w:tcPr>
          <w:p>
            <w:pPr>
              <w:pStyle w:val="TableContents"/>
              <w:bidi w:val="0"/>
              <w:spacing w:before="0" w:after="283"/>
              <w:jc w:val="left"/>
              <w:rPr/>
            </w:pPr>
            <w:r>
              <w:rPr/>
              <w:t> </w:t>
            </w:r>
          </w:p>
        </w:tc>
        <w:tc>
          <w:tcPr>
            <w:tcW w:w="1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Madrid</w:t>
            </w:r>
          </w:p>
        </w:tc>
        <w:tc>
          <w:tcPr>
            <w:tcW w:w="215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Washington, D.C.</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Fluence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4601 Fairfax Drive, Suite 600</w:t>
        <w:br/>
        <w:t>Arlington, Virginia 22203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val="false"/>
          <w:i w:val="false"/>
          <w:caps w:val="false"/>
          <w:smallCaps w:val="false"/>
          <w:sz w:val="20"/>
          <w:u w:val="single"/>
        </w:rPr>
        <w:t>Registration Statement on Form S-3 (Registration No. 333-295786); 23,000,000 shares of Class A</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common stock, par value $0.00001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special counsel to Fluence Energy,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proposed offer and sale by the Selling Stockholders (as defined herein) of up to 23,000,000 shares of Class A common stock, par value $0.00001 per share (the “</w:t>
      </w:r>
      <w:r>
        <w:rPr>
          <w:rFonts w:ascii="Times New Roman;Times;Serif" w:hAnsi="Times New Roman;Times;Serif"/>
          <w:b/>
          <w:i/>
          <w:caps w:val="false"/>
          <w:smallCaps w:val="false"/>
          <w:sz w:val="20"/>
        </w:rPr>
        <w:t>Class A Common Stock</w:t>
      </w:r>
      <w:r>
        <w:rPr>
          <w:rFonts w:ascii="Times New Roman;Times;Serif" w:hAnsi="Times New Roman;Times;Serif"/>
          <w:b w:val="false"/>
          <w:i w:val="false"/>
          <w:caps w:val="false"/>
          <w:smallCaps w:val="false"/>
          <w:sz w:val="20"/>
        </w:rPr>
        <w:t>”), of the Company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The Shares are included in a registration statement on Form S-3 under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on May 12, 2026 (Registration No. 333-295786) (as so filed and amended,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 base prospectus, dated May 12, 2026,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 preliminary prospectus supplement, dated May 12, 2026, filed with the Commission pursuant to Rule 424(b) under the Act (together with the Base Prospectus, the “</w:t>
      </w:r>
      <w:r>
        <w:rPr>
          <w:rFonts w:ascii="Times New Roman;Times;Serif" w:hAnsi="Times New Roman;Times;Serif"/>
          <w:b/>
          <w:i/>
          <w:caps w:val="false"/>
          <w:smallCaps w:val="false"/>
          <w:sz w:val="20"/>
        </w:rPr>
        <w:t>Preliminary Prospectus</w:t>
      </w:r>
      <w:r>
        <w:rPr>
          <w:rFonts w:ascii="Times New Roman;Times;Serif" w:hAnsi="Times New Roman;Times;Serif"/>
          <w:b w:val="false"/>
          <w:i w:val="false"/>
          <w:caps w:val="false"/>
          <w:smallCaps w:val="false"/>
          <w:sz w:val="20"/>
        </w:rPr>
        <w:t>”), and a prospectus supplement dated May 12, 2026, filed with the Commission pursuant to Rule 424(b) under the Act (together with the Base Prospectus,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The Shares are being sold pursuant to an underwriting agreement, dated May 12, 2026, by and among the Company, the selling stockholders named in Schedule III thereto (the “</w:t>
      </w:r>
      <w:r>
        <w:rPr>
          <w:rFonts w:ascii="Times New Roman;Times;Serif" w:hAnsi="Times New Roman;Times;Serif"/>
          <w:b/>
          <w:i/>
          <w:caps w:val="false"/>
          <w:smallCaps w:val="false"/>
          <w:sz w:val="20"/>
        </w:rPr>
        <w:t>Selling Stockholders</w:t>
      </w:r>
      <w:r>
        <w:rPr>
          <w:rFonts w:ascii="Times New Roman;Times;Serif" w:hAnsi="Times New Roman;Times;Serif"/>
          <w:b w:val="false"/>
          <w:i w:val="false"/>
          <w:caps w:val="false"/>
          <w:smallCaps w:val="false"/>
          <w:sz w:val="20"/>
        </w:rPr>
        <w:t>”) and Barclays Capital Inc., Goldman Sachs &amp; Co. LLC, and J.P. Morgan Securities LLC, as representatives of the several underwriters named therein (the “</w:t>
      </w:r>
      <w:r>
        <w:rPr>
          <w:rFonts w:ascii="Times New Roman;Times;Serif" w:hAnsi="Times New Roman;Times;Serif"/>
          <w:b/>
          <w:i/>
          <w:caps w:val="false"/>
          <w:smallCaps w:val="false"/>
          <w:sz w:val="20"/>
        </w:rPr>
        <w:t>Underwriting Agreement</w:t>
      </w:r>
      <w:r>
        <w:rPr>
          <w:rFonts w:ascii="Times New Roman;Times;Serif" w:hAnsi="Times New Roman;Times;Serif"/>
          <w:b w:val="false"/>
          <w:i w:val="false"/>
          <w:caps w:val="false"/>
          <w:smallCaps w:val="false"/>
          <w:sz w:val="20"/>
        </w:rPr>
        <w: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15, 2026</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2</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drawing>
          <wp:inline distT="0" distB="0" distL="0" distR="0">
            <wp:extent cx="167640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266700"/>
                    </a:xfrm>
                    <a:prstGeom prst="rect">
                      <a:avLst/>
                    </a:prstGeom>
                  </pic:spPr>
                </pic:pic>
              </a:graphicData>
            </a:graphic>
          </wp:inline>
        </w:drawing>
      </w: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and the other matters set forth herein, it is our opinion that, as of the date hereof, the Shares have been duly authorized by all necessary corporate action of the Company and are validly issued, fully paid and nonassessable.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for your benefit in connection with the Registration Statement and may be relied upon by you and by persons entitled to rely upon it pursuant to the applicable provisions of the Act. We consent to your filing this opinion as an exhibit to the Company’s Form 8-K dated as of May 15, 2026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pStyle w:val="TextBody"/>
        <w:bidi w:val="0"/>
        <w:spacing w:before="0" w:after="0"/>
        <w:ind w:left="0" w:right="0" w:firstLine="720"/>
        <w:jc w:val="left"/>
        <w:rPr>
          <w:caps w:val="false"/>
          <w:smallCaps w:val="false"/>
        </w:rPr>
      </w:pPr>
      <w:r>
        <w:rPr>
          <w:caps w:val="false"/>
          <w:smallCaps w:val="false"/>
        </w:rPr>
        <w:t> </w:t>
      </w:r>
    </w:p>
    <w:tbl>
      <w:tblPr>
        <w:tblW w:w="2270" w:type="dxa"/>
        <w:jc w:val="left"/>
        <w:tblInd w:w="0" w:type="dxa"/>
        <w:tblLayout w:type="fixed"/>
        <w:tblCellMar>
          <w:top w:w="0" w:type="dxa"/>
          <w:left w:w="0" w:type="dxa"/>
          <w:bottom w:w="0" w:type="dxa"/>
          <w:right w:w="0" w:type="dxa"/>
        </w:tblCellMar>
      </w:tblPr>
      <w:tblGrid>
        <w:gridCol w:w="75"/>
        <w:gridCol w:w="2195"/>
      </w:tblGrid>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Latham &amp; Watkins LLP</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23921</Words>
  <Characters>125280</Characters>
  <CharactersWithSpaces>150829</CharactersWithSpaces>
  <Paragraphs>1100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