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500" w:hanging="474"/>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2" w:lineRule="exact"/>
        <w:rPr>
          <w:sz w:val="24"/>
          <w:szCs w:val="24"/>
          <w:color w:val="auto"/>
        </w:rPr>
      </w:pPr>
    </w:p>
    <w:p>
      <w:pPr>
        <w:ind w:left="480" w:hanging="45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001-40978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Fluence Energy,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63"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(State or other jurisdiction of</w:t>
      </w:r>
    </w:p>
    <w:p>
      <w:pPr>
        <w:spacing w:after="0" w:line="22"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incorporation or organization)</w:t>
      </w:r>
    </w:p>
    <w:p>
      <w:pPr>
        <w:spacing w:after="0" w:line="146"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4601 Fairfax Drive, Suite 600</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Arlington, Virginia</w:t>
      </w:r>
    </w:p>
    <w:p>
      <w:pPr>
        <w:spacing w:after="0" w:line="59"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98" w:lineRule="exact"/>
        <w:rPr>
          <w:sz w:val="24"/>
          <w:szCs w:val="24"/>
          <w:color w:val="auto"/>
        </w:rPr>
      </w:pPr>
    </w:p>
    <w:p>
      <w:pPr>
        <w:jc w:val="center"/>
        <w:ind w:left="3640"/>
        <w:spacing w:after="0"/>
        <w:rPr>
          <w:sz w:val="20"/>
          <w:szCs w:val="20"/>
          <w:color w:val="auto"/>
        </w:rPr>
      </w:pPr>
      <w:r>
        <w:rPr>
          <w:rFonts w:ascii="Arial" w:cs="Arial" w:eastAsia="Arial" w:hAnsi="Arial"/>
          <w:sz w:val="16"/>
          <w:szCs w:val="16"/>
          <w:b w:val="1"/>
          <w:bCs w:val="1"/>
          <w:color w:val="auto"/>
        </w:rPr>
        <w:t>(833) 358-3623</w:t>
      </w:r>
    </w:p>
    <w:p>
      <w:pPr>
        <w:spacing w:after="0" w:line="23" w:lineRule="exact"/>
        <w:rPr>
          <w:sz w:val="24"/>
          <w:szCs w:val="24"/>
          <w:color w:val="auto"/>
        </w:rPr>
      </w:pPr>
    </w:p>
    <w:p>
      <w:pPr>
        <w:jc w:val="center"/>
        <w:ind w:left="3640"/>
        <w:spacing w:after="0"/>
        <w:rPr>
          <w:sz w:val="20"/>
          <w:szCs w:val="20"/>
          <w:color w:val="auto"/>
        </w:rPr>
      </w:pPr>
      <w:r>
        <w:rPr>
          <w:rFonts w:ascii="Arial" w:cs="Arial" w:eastAsia="Arial" w:hAnsi="Arial"/>
          <w:sz w:val="16"/>
          <w:szCs w:val="16"/>
          <w:color w:val="auto"/>
        </w:rPr>
        <w:t>Registrant's telephone number, including area code</w:t>
      </w:r>
    </w:p>
    <w:p>
      <w:pPr>
        <w:spacing w:after="0" w:line="8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87-1304612</w:t>
      </w:r>
    </w:p>
    <w:p>
      <w:pPr>
        <w:spacing w:after="0" w:line="26" w:lineRule="exact"/>
        <w:rPr>
          <w:sz w:val="24"/>
          <w:szCs w:val="24"/>
          <w:color w:val="auto"/>
        </w:rPr>
      </w:pPr>
    </w:p>
    <w:p>
      <w:pPr>
        <w:ind w:left="60"/>
        <w:spacing w:after="0"/>
        <w:rPr>
          <w:sz w:val="20"/>
          <w:szCs w:val="20"/>
          <w:color w:val="auto"/>
        </w:rPr>
      </w:pPr>
      <w:r>
        <w:rPr>
          <w:rFonts w:ascii="Arial" w:cs="Arial" w:eastAsia="Arial" w:hAnsi="Arial"/>
          <w:sz w:val="15"/>
          <w:szCs w:val="15"/>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34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22203</w:t>
      </w:r>
    </w:p>
    <w:p>
      <w:pPr>
        <w:spacing w:after="0" w:line="104"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1047" w:lineRule="exact"/>
        <w:rPr>
          <w:sz w:val="24"/>
          <w:szCs w:val="24"/>
          <w:color w:val="auto"/>
        </w:rPr>
      </w:pPr>
    </w:p>
    <w:p>
      <w:pPr>
        <w:sectPr>
          <w:pgSz w:w="11900" w:h="16838" w:orient="portrait"/>
          <w:cols w:equalWidth="0" w:num="2">
            <w:col w:w="7600" w:space="220"/>
            <w:col w:w="3420"/>
          </w:cols>
          <w:pgMar w:left="320" w:top="233" w:right="339" w:bottom="1440" w:gutter="0" w:footer="0" w:header="0"/>
          <w:type w:val="continuous"/>
        </w:sectPr>
      </w:pPr>
    </w:p>
    <w:tbl>
      <w:tblPr>
        <w:tblLayout w:type="fixed"/>
        <w:tblInd w:w="10"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$0.00001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FLNC</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D0D0D"/>
                <w:w w:val="91"/>
              </w:rPr>
              <w:t>The Nasdaq Global Select Market</w:t>
            </w:r>
          </w:p>
        </w:tc>
      </w:tr>
    </w:tbl>
    <w:p>
      <w:pPr>
        <w:spacing w:after="0" w:line="85" w:lineRule="exact"/>
        <w:rPr>
          <w:sz w:val="24"/>
          <w:szCs w:val="24"/>
          <w:color w:val="auto"/>
        </w:rPr>
      </w:pPr>
    </w:p>
    <w:p>
      <w:pPr>
        <w:ind w:right="380"/>
        <w:spacing w:after="0" w:line="30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days.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145" w:lineRule="exact"/>
        <w:rPr>
          <w:sz w:val="24"/>
          <w:szCs w:val="24"/>
          <w:color w:val="auto"/>
        </w:rPr>
      </w:pPr>
    </w:p>
    <w:p>
      <w:pPr>
        <w:jc w:val="both"/>
        <w:ind w:right="640"/>
        <w:spacing w:after="0" w:line="26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80" w:lineRule="exact"/>
        <w:rPr>
          <w:sz w:val="24"/>
          <w:szCs w:val="24"/>
          <w:color w:val="auto"/>
        </w:rPr>
      </w:pPr>
    </w:p>
    <w:p>
      <w:pPr>
        <w:ind w:right="16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740"/>
              <w:spacing w:after="0"/>
              <w:rPr>
                <w:sz w:val="20"/>
                <w:szCs w:val="20"/>
                <w:color w:val="auto"/>
              </w:rPr>
            </w:pPr>
            <w:r>
              <w:rPr>
                <w:rFonts w:ascii="Arial" w:cs="Arial" w:eastAsia="Arial" w:hAnsi="Arial"/>
                <w:sz w:val="18"/>
                <w:szCs w:val="18"/>
                <w:color w:val="auto"/>
              </w:rPr>
              <w:t>o</w:t>
            </w:r>
          </w:p>
        </w:tc>
        <w:tc>
          <w:tcPr>
            <w:tcW w:w="4820" w:type="dxa"/>
            <w:vAlign w:val="bottom"/>
          </w:tcPr>
          <w:p>
            <w:pPr>
              <w:ind w:left="1800"/>
              <w:spacing w:after="0"/>
              <w:rPr>
                <w:sz w:val="20"/>
                <w:szCs w:val="20"/>
                <w:color w:val="auto"/>
              </w:rPr>
            </w:pPr>
            <w:r>
              <w:rPr>
                <w:rFonts w:ascii="Arial" w:cs="Arial" w:eastAsia="Arial" w:hAnsi="Arial"/>
                <w:sz w:val="16"/>
                <w:szCs w:val="16"/>
                <w:color w:val="auto"/>
              </w:rPr>
              <w:t>Accelerated filer</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740"/>
              <w:spacing w:after="0"/>
              <w:rPr>
                <w:sz w:val="20"/>
                <w:szCs w:val="20"/>
                <w:color w:val="auto"/>
              </w:rPr>
            </w:pPr>
            <w:r>
              <w:rPr>
                <w:rFonts w:ascii="Arial" w:cs="Arial" w:eastAsia="Arial" w:hAnsi="Arial"/>
                <w:sz w:val="18"/>
                <w:szCs w:val="18"/>
                <w:color w:val="auto"/>
              </w:rPr>
              <w:t>x</w:t>
            </w:r>
          </w:p>
        </w:tc>
        <w:tc>
          <w:tcPr>
            <w:tcW w:w="4820" w:type="dxa"/>
            <w:vAlign w:val="bottom"/>
          </w:tcPr>
          <w:p>
            <w:pPr>
              <w:ind w:left="1800"/>
              <w:spacing w:after="0"/>
              <w:rPr>
                <w:sz w:val="20"/>
                <w:szCs w:val="20"/>
                <w:color w:val="auto"/>
              </w:rPr>
            </w:pPr>
            <w:r>
              <w:rPr>
                <w:rFonts w:ascii="Arial" w:cs="Arial" w:eastAsia="Arial" w:hAnsi="Arial"/>
                <w:sz w:val="16"/>
                <w:szCs w:val="16"/>
                <w:color w:val="auto"/>
              </w:rPr>
              <w:t>Smaller reporting company</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820" w:type="dxa"/>
            <w:vAlign w:val="bottom"/>
          </w:tcPr>
          <w:p>
            <w:pPr>
              <w:ind w:left="1800"/>
              <w:spacing w:after="0"/>
              <w:rPr>
                <w:sz w:val="20"/>
                <w:szCs w:val="20"/>
                <w:color w:val="auto"/>
              </w:rPr>
            </w:pPr>
            <w:r>
              <w:rPr>
                <w:rFonts w:ascii="Arial" w:cs="Arial" w:eastAsia="Arial" w:hAnsi="Arial"/>
                <w:sz w:val="16"/>
                <w:szCs w:val="16"/>
                <w:color w:val="auto"/>
              </w:rPr>
              <w:t>Emerging growth company</w:t>
            </w:r>
          </w:p>
        </w:tc>
        <w:tc>
          <w:tcPr>
            <w:tcW w:w="1340" w:type="dxa"/>
            <w:vAlign w:val="bottom"/>
          </w:tcPr>
          <w:p>
            <w:pPr>
              <w:ind w:left="1260"/>
              <w:spacing w:after="0"/>
              <w:rPr>
                <w:sz w:val="20"/>
                <w:szCs w:val="20"/>
                <w:color w:val="auto"/>
              </w:rPr>
            </w:pPr>
            <w:r>
              <w:rPr>
                <w:rFonts w:ascii="Arial" w:cs="Arial" w:eastAsia="Arial" w:hAnsi="Arial"/>
                <w:sz w:val="17"/>
                <w:szCs w:val="17"/>
                <w:color w:val="auto"/>
                <w:w w:val="70"/>
              </w:rPr>
              <w:t>x</w:t>
            </w:r>
          </w:p>
        </w:tc>
      </w:tr>
    </w:tbl>
    <w:p>
      <w:pPr>
        <w:spacing w:after="0" w:line="220" w:lineRule="exact"/>
        <w:rPr>
          <w:sz w:val="24"/>
          <w:szCs w:val="24"/>
          <w:color w:val="auto"/>
        </w:rPr>
      </w:pPr>
    </w:p>
    <w:p>
      <w:pPr>
        <w:ind w:right="580"/>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x</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Arial" w:cs="Arial" w:eastAsia="Arial" w:hAnsi="Arial"/>
          <w:sz w:val="17"/>
          <w:szCs w:val="17"/>
          <w:color w:val="auto"/>
        </w:rPr>
        <w:t>o</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Arial" w:cs="Arial" w:eastAsia="Arial" w:hAnsi="Arial"/>
          <w:sz w:val="17"/>
          <w:szCs w:val="17"/>
          <w:color w:val="auto"/>
        </w:rPr>
        <w:t>x</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As of May 8, 2023, the registrant had 116,930,304 shares of Class A common stock outstanding and 58,586,695 shares of Class B-1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5"/>
          </w:tcPr>
          <w:p>
            <w:pPr>
              <w:ind w:left="20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CCEEFF"/>
            </w:tcBorders>
            <w:gridSpan w:val="8"/>
            <w:shd w:val="clear" w:color="auto" w:fill="CCEEFF"/>
          </w:tcPr>
          <w:p>
            <w:pPr>
              <w:spacing w:after="0" w:line="189" w:lineRule="exact"/>
              <w:rPr>
                <w:sz w:val="20"/>
                <w:szCs w:val="20"/>
                <w:color w:val="auto"/>
              </w:rPr>
            </w:pPr>
            <w:r>
              <w:rPr>
                <w:rFonts w:ascii="Arial" w:cs="Arial" w:eastAsia="Arial" w:hAnsi="Arial"/>
                <w:sz w:val="18"/>
                <w:szCs w:val="18"/>
                <w:b w:val="1"/>
                <w:bCs w:val="1"/>
                <w:color w:val="0000EE"/>
                <w:w w:val="94"/>
              </w:rPr>
              <w:t>Part I - Financial Information</w:t>
            </w:r>
          </w:p>
        </w:tc>
        <w:tc>
          <w:tcPr>
            <w:tcW w:w="7980" w:type="dxa"/>
            <w:vAlign w:val="bottom"/>
            <w:tcBorders>
              <w:top w:val="single" w:sz="8" w:color="CCEEFF"/>
            </w:tcBorders>
            <w:gridSpan w:val="13"/>
            <w:shd w:val="clear" w:color="auto" w:fill="CCEEFF"/>
          </w:tcPr>
          <w:p>
            <w:pPr>
              <w:spacing w:after="0"/>
              <w:rPr>
                <w:sz w:val="16"/>
                <w:szCs w:val="16"/>
                <w:color w:val="auto"/>
              </w:rPr>
            </w:pPr>
          </w:p>
        </w:tc>
        <w:tc>
          <w:tcPr>
            <w:tcW w:w="780" w:type="dxa"/>
            <w:vAlign w:val="bottom"/>
            <w:tcBorders>
              <w:top w:val="single" w:sz="8" w:color="auto"/>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1.</w:t>
            </w:r>
          </w:p>
        </w:tc>
        <w:tc>
          <w:tcPr>
            <w:tcW w:w="9540" w:type="dxa"/>
            <w:vAlign w:val="bottom"/>
            <w:gridSpan w:val="18"/>
          </w:tcPr>
          <w:p>
            <w:pPr>
              <w:ind w:left="280"/>
              <w:spacing w:after="0" w:line="189" w:lineRule="exact"/>
              <w:rPr>
                <w:sz w:val="20"/>
                <w:szCs w:val="20"/>
                <w:color w:val="auto"/>
              </w:rPr>
            </w:pPr>
            <w:r>
              <w:rPr>
                <w:rFonts w:ascii="Arial" w:cs="Arial" w:eastAsia="Arial" w:hAnsi="Arial"/>
                <w:sz w:val="18"/>
                <w:szCs w:val="18"/>
                <w:color w:val="0000EE"/>
              </w:rPr>
              <w:t>Financial Statements (Unaudited)</w:t>
            </w:r>
          </w:p>
        </w:tc>
        <w:tc>
          <w:tcPr>
            <w:tcW w:w="78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5</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4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w w:val="87"/>
              </w:rPr>
              <w:t>Condensed Consolidated Balance Sheets</w:t>
            </w:r>
          </w:p>
        </w:tc>
        <w:tc>
          <w:tcPr>
            <w:tcW w:w="6320" w:type="dxa"/>
            <w:vAlign w:val="bottom"/>
            <w:gridSpan w:val="7"/>
            <w:shd w:val="clear" w:color="auto" w:fill="CCEEFF"/>
          </w:tcPr>
          <w:p>
            <w:pPr>
              <w:spacing w:after="0"/>
              <w:rPr>
                <w:sz w:val="16"/>
                <w:szCs w:val="16"/>
                <w:color w:val="auto"/>
              </w:rPr>
            </w:pPr>
          </w:p>
        </w:tc>
        <w:tc>
          <w:tcPr>
            <w:tcW w:w="78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5</w:t>
            </w:r>
          </w:p>
        </w:tc>
        <w:tc>
          <w:tcPr>
            <w:tcW w:w="140" w:type="dxa"/>
            <w:vAlign w:val="bottom"/>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60" w:type="dxa"/>
            <w:vAlign w:val="bottom"/>
            <w:gridSpan w:val="17"/>
          </w:tcPr>
          <w:p>
            <w:pPr>
              <w:spacing w:after="0" w:line="189" w:lineRule="exact"/>
              <w:rPr>
                <w:sz w:val="20"/>
                <w:szCs w:val="20"/>
                <w:color w:val="auto"/>
              </w:rPr>
            </w:pPr>
            <w:r>
              <w:rPr>
                <w:rFonts w:ascii="Arial" w:cs="Arial" w:eastAsia="Arial" w:hAnsi="Arial"/>
                <w:sz w:val="18"/>
                <w:szCs w:val="18"/>
                <w:color w:val="0000FF"/>
              </w:rPr>
              <w:t>Condensed Consolidated Statements of Operations and Comprehensive Loss</w:t>
            </w:r>
          </w:p>
        </w:tc>
        <w:tc>
          <w:tcPr>
            <w:tcW w:w="78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6</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4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EE"/>
                <w:w w:val="90"/>
              </w:rPr>
              <w:t>Condensed Consolidated Statements of Changes in Stockholders’ Equity, Members’ Equity (Deficit), and Mezzanine Equity</w:t>
            </w:r>
          </w:p>
        </w:tc>
        <w:tc>
          <w:tcPr>
            <w:tcW w:w="32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7</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940" w:type="dxa"/>
            <w:vAlign w:val="bottom"/>
            <w:gridSpan w:val="16"/>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320" w:type="dxa"/>
            <w:vAlign w:val="bottom"/>
          </w:tcPr>
          <w:p>
            <w:pPr>
              <w:spacing w:after="0"/>
              <w:rPr>
                <w:sz w:val="16"/>
                <w:szCs w:val="16"/>
                <w:color w:val="auto"/>
              </w:rPr>
            </w:pPr>
          </w:p>
        </w:tc>
        <w:tc>
          <w:tcPr>
            <w:tcW w:w="78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9</w:t>
            </w:r>
          </w:p>
        </w:tc>
        <w:tc>
          <w:tcPr>
            <w:tcW w:w="1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0000FF"/>
                <w:w w:val="88"/>
              </w:rPr>
              <w:t>Notes to Condensed Consolidated Financial Statements</w:t>
            </w:r>
          </w:p>
        </w:tc>
        <w:tc>
          <w:tcPr>
            <w:tcW w:w="5260" w:type="dxa"/>
            <w:vAlign w:val="bottom"/>
            <w:gridSpan w:val="5"/>
            <w:shd w:val="clear" w:color="auto" w:fill="CCEEFF"/>
          </w:tcPr>
          <w:p>
            <w:pPr>
              <w:spacing w:after="0"/>
              <w:rPr>
                <w:sz w:val="16"/>
                <w:szCs w:val="16"/>
                <w:color w:val="auto"/>
              </w:rPr>
            </w:pPr>
          </w:p>
        </w:tc>
        <w:tc>
          <w:tcPr>
            <w:tcW w:w="78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11</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2.</w:t>
            </w:r>
          </w:p>
        </w:tc>
        <w:tc>
          <w:tcPr>
            <w:tcW w:w="280" w:type="dxa"/>
            <w:vAlign w:val="bottom"/>
          </w:tcPr>
          <w:p>
            <w:pPr>
              <w:spacing w:after="0"/>
              <w:rPr>
                <w:sz w:val="16"/>
                <w:szCs w:val="16"/>
                <w:color w:val="auto"/>
              </w:rPr>
            </w:pPr>
          </w:p>
        </w:tc>
        <w:tc>
          <w:tcPr>
            <w:tcW w:w="9260" w:type="dxa"/>
            <w:vAlign w:val="bottom"/>
            <w:gridSpan w:val="17"/>
          </w:tcPr>
          <w:p>
            <w:pPr>
              <w:spacing w:after="0" w:line="189"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31</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3.</w:t>
            </w:r>
          </w:p>
        </w:tc>
        <w:tc>
          <w:tcPr>
            <w:tcW w:w="240" w:type="dxa"/>
            <w:vAlign w:val="bottom"/>
            <w:gridSpan w:val="2"/>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6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47</w:t>
            </w:r>
          </w:p>
        </w:tc>
        <w:tc>
          <w:tcPr>
            <w:tcW w:w="140" w:type="dxa"/>
            <w:vAlign w:val="bottom"/>
          </w:tcPr>
          <w:p>
            <w:pPr>
              <w:spacing w:after="0"/>
              <w:rPr>
                <w:sz w:val="19"/>
                <w:szCs w:val="19"/>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line="189" w:lineRule="exact"/>
              <w:rPr>
                <w:sz w:val="20"/>
                <w:szCs w:val="20"/>
                <w:color w:val="auto"/>
              </w:rPr>
            </w:pPr>
            <w:r>
              <w:rPr>
                <w:rFonts w:ascii="Arial" w:cs="Arial" w:eastAsia="Arial" w:hAnsi="Arial"/>
                <w:sz w:val="18"/>
                <w:szCs w:val="18"/>
                <w:color w:val="0000EE"/>
                <w:w w:val="90"/>
              </w:rPr>
              <w:t>Item 4.</w:t>
            </w:r>
          </w:p>
        </w:tc>
        <w:tc>
          <w:tcPr>
            <w:tcW w:w="240" w:type="dxa"/>
            <w:vAlign w:val="bottom"/>
            <w:tcBorders>
              <w:top w:val="single" w:sz="8" w:color="CCEEFF"/>
            </w:tcBorders>
            <w:gridSpan w:val="2"/>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340" w:type="dxa"/>
            <w:vAlign w:val="bottom"/>
            <w:tcBorders>
              <w:top w:val="single" w:sz="8" w:color="0000EE"/>
            </w:tcBorders>
            <w:gridSpan w:val="13"/>
          </w:tcPr>
          <w:p>
            <w:pPr>
              <w:spacing w:after="0" w:line="189" w:lineRule="exact"/>
              <w:rPr>
                <w:sz w:val="20"/>
                <w:szCs w:val="20"/>
                <w:color w:val="auto"/>
              </w:rPr>
            </w:pPr>
            <w:r>
              <w:rPr>
                <w:rFonts w:ascii="Arial" w:cs="Arial" w:eastAsia="Arial" w:hAnsi="Arial"/>
                <w:sz w:val="18"/>
                <w:szCs w:val="18"/>
                <w:color w:val="0000EE"/>
              </w:rPr>
              <w:t>Controls and Procedures</w:t>
            </w:r>
          </w:p>
        </w:tc>
        <w:tc>
          <w:tcPr>
            <w:tcW w:w="4920" w:type="dxa"/>
            <w:vAlign w:val="bottom"/>
            <w:tcBorders>
              <w:top w:val="single" w:sz="8" w:color="CCEEFF"/>
            </w:tcBorders>
            <w:gridSpan w:val="4"/>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sz w:val="20"/>
                <w:szCs w:val="20"/>
                <w:color w:val="auto"/>
              </w:rPr>
            </w:pPr>
            <w:r>
              <w:rPr>
                <w:rFonts w:ascii="Arial" w:cs="Arial" w:eastAsia="Arial" w:hAnsi="Arial"/>
                <w:sz w:val="18"/>
                <w:szCs w:val="18"/>
                <w:color w:val="0000EE"/>
                <w:w w:val="79"/>
              </w:rPr>
              <w:t>47</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0300" w:type="dxa"/>
            <w:vAlign w:val="bottom"/>
            <w:gridSpan w:val="21"/>
          </w:tcPr>
          <w:p>
            <w:pPr>
              <w:spacing w:after="0" w:line="189" w:lineRule="exact"/>
              <w:rPr>
                <w:sz w:val="20"/>
                <w:szCs w:val="20"/>
                <w:color w:val="auto"/>
              </w:rPr>
            </w:pPr>
            <w:r>
              <w:rPr>
                <w:rFonts w:ascii="Arial" w:cs="Arial" w:eastAsia="Arial" w:hAnsi="Arial"/>
                <w:sz w:val="18"/>
                <w:szCs w:val="18"/>
                <w:b w:val="1"/>
                <w:bCs w:val="1"/>
                <w:color w:val="0000EE"/>
              </w:rPr>
              <w:t>Part II - Other Information</w:t>
            </w:r>
          </w:p>
        </w:tc>
        <w:tc>
          <w:tcPr>
            <w:tcW w:w="78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49</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EE"/>
            </w:tcBorders>
            <w:shd w:val="clear" w:color="auto" w:fill="CCEEFF"/>
          </w:tcPr>
          <w:p>
            <w:pPr>
              <w:spacing w:after="0" w:line="189" w:lineRule="exact"/>
              <w:rPr>
                <w:sz w:val="20"/>
                <w:szCs w:val="20"/>
                <w:color w:val="auto"/>
              </w:rPr>
            </w:pPr>
            <w:r>
              <w:rPr>
                <w:rFonts w:ascii="Arial" w:cs="Arial" w:eastAsia="Arial" w:hAnsi="Arial"/>
                <w:sz w:val="18"/>
                <w:szCs w:val="18"/>
                <w:color w:val="0000EE"/>
                <w:w w:val="90"/>
              </w:rPr>
              <w:t>Item 1.</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0000EE"/>
            </w:tcBorders>
            <w:gridSpan w:val="6"/>
            <w:shd w:val="clear" w:color="auto" w:fill="CCEEFF"/>
          </w:tcPr>
          <w:p>
            <w:pPr>
              <w:spacing w:after="0" w:line="189" w:lineRule="exact"/>
              <w:rPr>
                <w:sz w:val="20"/>
                <w:szCs w:val="20"/>
                <w:color w:val="auto"/>
              </w:rPr>
            </w:pPr>
            <w:r>
              <w:rPr>
                <w:rFonts w:ascii="Arial" w:cs="Arial" w:eastAsia="Arial" w:hAnsi="Arial"/>
                <w:sz w:val="18"/>
                <w:szCs w:val="18"/>
                <w:color w:val="0000EE"/>
                <w:w w:val="88"/>
              </w:rPr>
              <w:t>Legal Proceedings</w:t>
            </w:r>
          </w:p>
        </w:tc>
        <w:tc>
          <w:tcPr>
            <w:tcW w:w="7920" w:type="dxa"/>
            <w:vAlign w:val="bottom"/>
            <w:tcBorders>
              <w:bottom w:val="single" w:sz="8" w:color="CCEEFF"/>
            </w:tcBorders>
            <w:gridSpan w:val="11"/>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EE"/>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79"/>
              </w:rPr>
              <w:t>49</w:t>
            </w:r>
          </w:p>
        </w:tc>
        <w:tc>
          <w:tcPr>
            <w:tcW w:w="1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1A.</w:t>
            </w:r>
          </w:p>
        </w:tc>
        <w:tc>
          <w:tcPr>
            <w:tcW w:w="9540" w:type="dxa"/>
            <w:vAlign w:val="bottom"/>
            <w:gridSpan w:val="18"/>
          </w:tcPr>
          <w:p>
            <w:pPr>
              <w:ind w:left="280"/>
              <w:spacing w:after="0" w:line="189" w:lineRule="exact"/>
              <w:rPr>
                <w:sz w:val="20"/>
                <w:szCs w:val="20"/>
                <w:color w:val="auto"/>
              </w:rPr>
            </w:pPr>
            <w:r>
              <w:rPr>
                <w:rFonts w:ascii="Arial" w:cs="Arial" w:eastAsia="Arial" w:hAnsi="Arial"/>
                <w:sz w:val="18"/>
                <w:szCs w:val="18"/>
                <w:color w:val="0000EE"/>
              </w:rPr>
              <w:t>Risk Factors</w:t>
            </w:r>
          </w:p>
        </w:tc>
        <w:tc>
          <w:tcPr>
            <w:tcW w:w="78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49</w:t>
            </w:r>
          </w:p>
        </w:tc>
        <w:tc>
          <w:tcPr>
            <w:tcW w:w="1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2.</w:t>
            </w:r>
          </w:p>
        </w:tc>
        <w:tc>
          <w:tcPr>
            <w:tcW w:w="2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6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EE"/>
              </w:rPr>
              <w:t>Unregistered Sales of Equity Securities and Use of Proceeds</w:t>
            </w:r>
          </w:p>
        </w:tc>
        <w:tc>
          <w:tcPr>
            <w:tcW w:w="78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50</w:t>
            </w:r>
          </w:p>
        </w:tc>
        <w:tc>
          <w:tcPr>
            <w:tcW w:w="140" w:type="dxa"/>
            <w:vAlign w:val="bottom"/>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line="189" w:lineRule="exact"/>
              <w:rPr>
                <w:sz w:val="20"/>
                <w:szCs w:val="20"/>
                <w:color w:val="auto"/>
              </w:rPr>
            </w:pPr>
            <w:r>
              <w:rPr>
                <w:rFonts w:ascii="Arial" w:cs="Arial" w:eastAsia="Arial" w:hAnsi="Arial"/>
                <w:sz w:val="18"/>
                <w:szCs w:val="18"/>
                <w:color w:val="0000EE"/>
                <w:w w:val="90"/>
              </w:rPr>
              <w:t>Item 3.</w:t>
            </w:r>
          </w:p>
        </w:tc>
        <w:tc>
          <w:tcPr>
            <w:tcW w:w="240" w:type="dxa"/>
            <w:vAlign w:val="bottom"/>
            <w:tcBorders>
              <w:top w:val="single" w:sz="8" w:color="CCEEFF"/>
            </w:tcBorders>
            <w:gridSpan w:val="2"/>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340" w:type="dxa"/>
            <w:vAlign w:val="bottom"/>
            <w:tcBorders>
              <w:top w:val="single" w:sz="8" w:color="0000EE"/>
            </w:tcBorders>
            <w:gridSpan w:val="13"/>
          </w:tcPr>
          <w:p>
            <w:pPr>
              <w:spacing w:after="0" w:line="189" w:lineRule="exact"/>
              <w:rPr>
                <w:sz w:val="20"/>
                <w:szCs w:val="20"/>
                <w:color w:val="auto"/>
              </w:rPr>
            </w:pPr>
            <w:r>
              <w:rPr>
                <w:rFonts w:ascii="Arial" w:cs="Arial" w:eastAsia="Arial" w:hAnsi="Arial"/>
                <w:sz w:val="18"/>
                <w:szCs w:val="18"/>
                <w:color w:val="0000EE"/>
              </w:rPr>
              <w:t>Defaults Upon Senior Securities</w:t>
            </w:r>
          </w:p>
        </w:tc>
        <w:tc>
          <w:tcPr>
            <w:tcW w:w="4920" w:type="dxa"/>
            <w:vAlign w:val="bottom"/>
            <w:tcBorders>
              <w:top w:val="single" w:sz="8" w:color="CCEEFF"/>
            </w:tcBorders>
            <w:gridSpan w:val="4"/>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sz w:val="20"/>
                <w:szCs w:val="20"/>
                <w:color w:val="auto"/>
              </w:rPr>
            </w:pPr>
            <w:r>
              <w:rPr>
                <w:rFonts w:ascii="Arial" w:cs="Arial" w:eastAsia="Arial" w:hAnsi="Arial"/>
                <w:sz w:val="18"/>
                <w:szCs w:val="18"/>
                <w:color w:val="0000EE"/>
                <w:w w:val="79"/>
              </w:rPr>
              <w:t>50</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0000EE"/>
            </w:tcBorders>
            <w:shd w:val="clear" w:color="auto" w:fill="CCEEFF"/>
          </w:tcPr>
          <w:p>
            <w:pPr>
              <w:spacing w:after="0" w:line="189" w:lineRule="exact"/>
              <w:rPr>
                <w:sz w:val="20"/>
                <w:szCs w:val="20"/>
                <w:color w:val="auto"/>
              </w:rPr>
            </w:pPr>
            <w:r>
              <w:rPr>
                <w:rFonts w:ascii="Arial" w:cs="Arial" w:eastAsia="Arial" w:hAnsi="Arial"/>
                <w:sz w:val="18"/>
                <w:szCs w:val="18"/>
                <w:color w:val="0000EE"/>
                <w:w w:val="90"/>
              </w:rPr>
              <w:t>Item 4.</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0000EE"/>
            </w:tcBorders>
            <w:gridSpan w:val="7"/>
            <w:shd w:val="clear" w:color="auto" w:fill="CCEEFF"/>
          </w:tcPr>
          <w:p>
            <w:pPr>
              <w:spacing w:after="0" w:line="189" w:lineRule="exact"/>
              <w:rPr>
                <w:sz w:val="20"/>
                <w:szCs w:val="20"/>
                <w:color w:val="auto"/>
              </w:rPr>
            </w:pPr>
            <w:r>
              <w:rPr>
                <w:rFonts w:ascii="Arial" w:cs="Arial" w:eastAsia="Arial" w:hAnsi="Arial"/>
                <w:sz w:val="18"/>
                <w:szCs w:val="18"/>
                <w:color w:val="0000EE"/>
                <w:w w:val="91"/>
              </w:rPr>
              <w:t>Mine Safety Disclosures</w:t>
            </w:r>
          </w:p>
        </w:tc>
        <w:tc>
          <w:tcPr>
            <w:tcW w:w="7480" w:type="dxa"/>
            <w:vAlign w:val="bottom"/>
            <w:tcBorders>
              <w:bottom w:val="single" w:sz="8" w:color="CCEEFF"/>
            </w:tcBorders>
            <w:gridSpan w:val="10"/>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79"/>
              </w:rPr>
              <w:t>50</w:t>
            </w:r>
          </w:p>
        </w:tc>
        <w:tc>
          <w:tcPr>
            <w:tcW w:w="14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5.</w:t>
            </w:r>
          </w:p>
        </w:tc>
        <w:tc>
          <w:tcPr>
            <w:tcW w:w="9540" w:type="dxa"/>
            <w:vAlign w:val="bottom"/>
            <w:gridSpan w:val="18"/>
          </w:tcPr>
          <w:p>
            <w:pPr>
              <w:ind w:left="280"/>
              <w:spacing w:after="0" w:line="189" w:lineRule="exact"/>
              <w:rPr>
                <w:sz w:val="20"/>
                <w:szCs w:val="20"/>
                <w:color w:val="auto"/>
              </w:rPr>
            </w:pPr>
            <w:r>
              <w:rPr>
                <w:rFonts w:ascii="Arial" w:cs="Arial" w:eastAsia="Arial" w:hAnsi="Arial"/>
                <w:sz w:val="18"/>
                <w:szCs w:val="18"/>
                <w:color w:val="0000EE"/>
              </w:rPr>
              <w:t>Other Information</w:t>
            </w:r>
          </w:p>
        </w:tc>
        <w:tc>
          <w:tcPr>
            <w:tcW w:w="78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50</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6.</w:t>
            </w:r>
          </w:p>
        </w:tc>
        <w:tc>
          <w:tcPr>
            <w:tcW w:w="24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6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EE"/>
              </w:rPr>
              <w:t>Exhibits</w:t>
            </w:r>
          </w:p>
        </w:tc>
        <w:tc>
          <w:tcPr>
            <w:tcW w:w="78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51</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w w:val="85"/>
              </w:rPr>
              <w:t>Signatures</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52</w:t>
            </w:r>
          </w:p>
        </w:tc>
        <w:tc>
          <w:tcPr>
            <w:tcW w:w="140" w:type="dxa"/>
            <w:vAlign w:val="bottom"/>
          </w:tcPr>
          <w:p>
            <w:pPr>
              <w:spacing w:after="0"/>
              <w:rPr>
                <w:sz w:val="16"/>
                <w:szCs w:val="16"/>
                <w:color w:val="auto"/>
              </w:rPr>
            </w:pPr>
          </w:p>
        </w:tc>
      </w:tr>
      <w:tr>
        <w:trPr>
          <w:trHeight w:val="92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0" w:type="dxa"/>
            <w:vAlign w:val="bottom"/>
            <w:gridSpan w:val="15"/>
          </w:tcPr>
          <w:p>
            <w:pPr>
              <w:jc w:val="right"/>
              <w:ind w:right="92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Certain statements in this Quarterly Report on Form 10-Q for the quarterly period ended March 31, 2023 (this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Statements regarding our future results of operations and financial position, business strategy and plans, and objectives of management for future operations, including, among others, statements regarding expected growth, introduction of new products and services, future capital expenditures and debt service obligations,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Factors that could cause our actual results to differ materially from those indicated in any forward-looking statements, include, but are not limited to, the following:</w:t>
      </w:r>
    </w:p>
    <w:p>
      <w:pPr>
        <w:spacing w:after="0" w:line="8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operating performance, including our ability to achieve or maintain profitability;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our business plan and growth strategy;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offerings and services, including digital applications;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existing and future sales channels and market segmentation;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future markets and offerings;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revenue may be affected by any disruptions in asset deployment caused by supply, construction or utility delays;</w:t>
      </w:r>
    </w:p>
    <w:p>
      <w:pPr>
        <w:spacing w:after="0" w:line="134" w:lineRule="exact"/>
        <w:rPr>
          <w:rFonts w:ascii="Arial" w:cs="Arial" w:eastAsia="Arial" w:hAnsi="Arial"/>
          <w:sz w:val="22"/>
          <w:szCs w:val="22"/>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supply chains and distribution channels, including our ability to secure inventory from suppliers to meet customer demand and source materials in line with our expectations;</w:t>
      </w:r>
    </w:p>
    <w:p>
      <w:pPr>
        <w:spacing w:after="0" w:line="89" w:lineRule="exact"/>
        <w:rPr>
          <w:rFonts w:ascii="Arial" w:cs="Arial" w:eastAsia="Arial" w:hAnsi="Arial"/>
          <w:sz w:val="18"/>
          <w:szCs w:val="18"/>
          <w:color w:val="auto"/>
        </w:rPr>
      </w:pPr>
    </w:p>
    <w:p>
      <w:pPr>
        <w:ind w:firstLine="332"/>
        <w:spacing w:after="0" w:line="308" w:lineRule="auto"/>
        <w:tabs>
          <w:tab w:leader="none" w:pos="648"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 associated with fluctuations in the market prices of commodity raw materials, including steel, aluminum, lithium carbonate, and cobalt, that are used in components from suppliers, such as lithium-ion batteries, that are incorporated into our energy storage products and solutions;</w:t>
      </w:r>
    </w:p>
    <w:p>
      <w:pPr>
        <w:spacing w:after="0" w:line="7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associated with estimation uncertainty related to our product warranties;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attract and retain talent;</w:t>
      </w:r>
    </w:p>
    <w:p>
      <w:pPr>
        <w:spacing w:after="0" w:line="134" w:lineRule="exact"/>
        <w:rPr>
          <w:rFonts w:ascii="Arial" w:cs="Arial" w:eastAsia="Arial" w:hAnsi="Arial"/>
          <w:sz w:val="22"/>
          <w:szCs w:val="22"/>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economic, social, and political instability in the markets in which we operate and other regions of the world, including any impacts arising out of the ongoing conflict in Ukraine;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instability in the financial services sector and the impact on the viability of financial institutions where we maintain our cash and cash equivalents;</w:t>
      </w:r>
    </w:p>
    <w:p>
      <w:pPr>
        <w:spacing w:after="0" w:line="146" w:lineRule="exact"/>
        <w:rPr>
          <w:rFonts w:ascii="Arial" w:cs="Arial" w:eastAsia="Arial" w:hAnsi="Arial"/>
          <w:sz w:val="19"/>
          <w:szCs w:val="19"/>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levels of inflation, interest rates, and foreign currency exchange rates and related actions taken by government authorities in connection therewith;</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our existing and future markets in which we compete;</w:t>
      </w:r>
    </w:p>
    <w:p>
      <w:pPr>
        <w:spacing w:after="0" w:line="144" w:lineRule="exact"/>
        <w:rPr>
          <w:rFonts w:ascii="Arial" w:cs="Arial" w:eastAsia="Arial" w:hAnsi="Arial"/>
          <w:sz w:val="18"/>
          <w:szCs w:val="18"/>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future impact of a global pandemic on our ground operations at project sites, our manufacturing facilities, our customers, our workforce, and our suppliers and our vendors;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332"/>
        <w:spacing w:after="0" w:line="277"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customer contracts due to events and incidents relating to storage, delivery, installation, operation and shutdowns of our energy storage products and solutions, including events and incidents outside of our control;</w:t>
      </w:r>
    </w:p>
    <w:p>
      <w:pPr>
        <w:spacing w:after="0" w:line="89" w:lineRule="exact"/>
        <w:rPr>
          <w:rFonts w:ascii="Arial" w:cs="Arial" w:eastAsia="Arial" w:hAnsi="Arial"/>
          <w:sz w:val="18"/>
          <w:szCs w:val="18"/>
          <w:color w:val="auto"/>
        </w:rPr>
      </w:pPr>
    </w:p>
    <w:p>
      <w:pPr>
        <w:ind w:firstLine="332"/>
        <w:spacing w:after="0" w:line="277"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prevent defects, errors, or bugs in hardware or software of our products and technology as well as any defects that may give rise to claims of product liability or other potential legal claims;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information technology related risks;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compliance with any existing and future applicable laws, regulations, sanctions, or tariffs on our business and operations;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and impact of government and economic incentives for energy storage products and solutions and/or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assessment and expectations regarding our global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anticipated synergies from strategic initiatives and/or acquisitions by the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listing of our securities on the Nasdaq Global Select Market;</w:t>
      </w:r>
    </w:p>
    <w:p>
      <w:pPr>
        <w:spacing w:after="0" w:line="144" w:lineRule="exact"/>
        <w:rPr>
          <w:rFonts w:ascii="Arial" w:cs="Arial" w:eastAsia="Arial" w:hAnsi="Arial"/>
          <w:sz w:val="18"/>
          <w:szCs w:val="18"/>
          <w:color w:val="auto"/>
        </w:rPr>
      </w:pPr>
    </w:p>
    <w:p>
      <w:pPr>
        <w:ind w:firstLine="332"/>
        <w:spacing w:after="0" w:line="277"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influence that Siemens AG and AES Grid Stability, LLC have over us, including control over decisions that require the approval of stockholders; and</w:t>
      </w:r>
    </w:p>
    <w:p>
      <w:pPr>
        <w:spacing w:after="0" w:line="102" w:lineRule="exact"/>
        <w:rPr>
          <w:rFonts w:ascii="Arial" w:cs="Arial" w:eastAsia="Arial" w:hAnsi="Arial"/>
          <w:sz w:val="18"/>
          <w:szCs w:val="18"/>
          <w:color w:val="auto"/>
        </w:rPr>
      </w:pPr>
    </w:p>
    <w:p>
      <w:pPr>
        <w:ind w:right="200" w:firstLine="332"/>
        <w:spacing w:after="0" w:line="286" w:lineRule="auto"/>
        <w:tabs>
          <w:tab w:leader="none" w:pos="648"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described in Part I, Item 1A “Risk Factors” in our Annual Report on Form 10-K for the fiscal year ended September 30, 2022, filed with the Securities and Exchange Commission (“SEC”) on December 14, 2022 (the “2022 Annual Report”), in Part II, Item 1A “Risk Factors” in our Quarterly Report on Form 10-Q for the fiscal quarter ended December 31, 2022 filed on February 10, 2023, and Part II, Item 1A of this Report.</w:t>
      </w:r>
    </w:p>
    <w:p>
      <w:pPr>
        <w:spacing w:after="0" w:line="9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FLUENCE ENERGY,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(U.S. Dollars in Thousands, except share and per share amounts)</w:t>
      </w:r>
    </w:p>
    <w:p>
      <w:pPr>
        <w:sectPr>
          <w:pgSz w:w="11900" w:h="16838" w:orient="portrait"/>
          <w:cols w:equalWidth="0" w:num="1">
            <w:col w:w="10139"/>
          </w:cols>
          <w:pgMar w:left="320" w:top="12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231"/>
              <w:spacing w:after="0"/>
              <w:rPr>
                <w:sz w:val="20"/>
                <w:szCs w:val="20"/>
                <w:color w:val="auto"/>
              </w:rPr>
            </w:pPr>
            <w:r>
              <w:rPr>
                <w:rFonts w:ascii="Arial" w:cs="Arial" w:eastAsia="Arial" w:hAnsi="Arial"/>
                <w:sz w:val="16"/>
                <w:szCs w:val="16"/>
                <w:b w:val="1"/>
                <w:bCs w:val="1"/>
                <w:color w:val="auto"/>
                <w:w w:val="91"/>
              </w:rPr>
              <w:t>Unaudited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right="211"/>
              <w:spacing w:after="0" w:line="168" w:lineRule="exact"/>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250"/>
              <w:spacing w:after="0" w:line="168" w:lineRule="exact"/>
              <w:rPr>
                <w:sz w:val="20"/>
                <w:szCs w:val="20"/>
                <w:color w:val="auto"/>
              </w:rPr>
            </w:pPr>
            <w:r>
              <w:rPr>
                <w:rFonts w:ascii="Arial" w:cs="Arial" w:eastAsia="Arial" w:hAnsi="Arial"/>
                <w:sz w:val="16"/>
                <w:szCs w:val="16"/>
                <w:b w:val="1"/>
                <w:bCs w:val="1"/>
                <w:color w:val="auto"/>
                <w:w w:val="98"/>
              </w:rPr>
              <w:t>September 30,</w:t>
            </w:r>
          </w:p>
        </w:tc>
        <w:tc>
          <w:tcPr>
            <w:tcW w:w="0" w:type="dxa"/>
            <w:vAlign w:val="bottom"/>
          </w:tcPr>
          <w:p>
            <w:pPr>
              <w:spacing w:after="0"/>
              <w:rPr>
                <w:sz w:val="1"/>
                <w:szCs w:val="1"/>
                <w:color w:val="auto"/>
              </w:rPr>
            </w:pPr>
          </w:p>
        </w:tc>
      </w:tr>
      <w:tr>
        <w:trPr>
          <w:trHeight w:val="213"/>
        </w:trPr>
        <w:tc>
          <w:tcPr>
            <w:tcW w:w="7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357,296</w:t>
            </w:r>
          </w:p>
        </w:tc>
        <w:tc>
          <w:tcPr>
            <w:tcW w:w="0" w:type="dxa"/>
            <w:vAlign w:val="bottom"/>
          </w:tcPr>
          <w:p>
            <w:pPr>
              <w:spacing w:after="0"/>
              <w:rPr>
                <w:sz w:val="1"/>
                <w:szCs w:val="1"/>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108,224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62,425</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110,355</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86,770</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Unbilled receivables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138,525</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Receivables from related parties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112,027</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Advances to suppliers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0" w:type="dxa"/>
            <w:vAlign w:val="bottom"/>
          </w:tcPr>
          <w:p>
            <w:pPr>
              <w:spacing w:after="0"/>
              <w:rPr>
                <w:sz w:val="1"/>
                <w:szCs w:val="1"/>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763,215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652,735</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1,808,401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1,601,533</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13,403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13,755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ROU Asset - Operating Leases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49,676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51,696</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24,851</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Deferred income tax asset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Advances to suppliers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Debt issuance cost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receivable - pledged as collateral</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12,490</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144,121</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1,947,587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1,745,654</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399,991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304,898</w:t>
            </w:r>
          </w:p>
        </w:tc>
        <w:tc>
          <w:tcPr>
            <w:tcW w:w="0" w:type="dxa"/>
            <w:vAlign w:val="bottom"/>
          </w:tcPr>
          <w:p>
            <w:pPr>
              <w:spacing w:after="0"/>
              <w:rPr>
                <w:sz w:val="1"/>
                <w:szCs w:val="1"/>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584,425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273,073</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Personnel related liabilities</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Accruals and provisions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183,814</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and deferred revenue with related parties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306,348</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Taxes payable</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1,109,463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Deferred income tax liability</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Borrowings against note receivable - pledged as collateral</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1,379,592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1,116,446</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40"/>
              <w:spacing w:after="0" w:line="176" w:lineRule="exact"/>
              <w:rPr>
                <w:sz w:val="20"/>
                <w:szCs w:val="20"/>
                <w:color w:val="auto"/>
              </w:rPr>
            </w:pPr>
            <w:r>
              <w:rPr>
                <w:rFonts w:ascii="Arial" w:cs="Arial" w:eastAsia="Arial" w:hAnsi="Arial"/>
                <w:sz w:val="18"/>
                <w:szCs w:val="18"/>
                <w:color w:val="auto"/>
                <w:w w:val="88"/>
              </w:rPr>
              <w:t xml:space="preserve">Preferred stock, </w:t>
            </w:r>
            <w:r>
              <w:rPr>
                <w:rFonts w:ascii="Arial" w:cs="Arial" w:eastAsia="Arial" w:hAnsi="Arial"/>
                <w:sz w:val="18"/>
                <w:szCs w:val="18"/>
                <w:color w:val="0D0D0D"/>
                <w:w w:val="88"/>
              </w:rPr>
              <w:t>$0.00001 per share, 10,000,000 shares authorized; no shares issued and outstanding as</w:t>
            </w:r>
          </w:p>
        </w:tc>
        <w:tc>
          <w:tcPr>
            <w:tcW w:w="3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0D0D0D"/>
              </w:rPr>
              <w:t>of March 31, 2023 and September 30, 2022</w:t>
            </w:r>
          </w:p>
        </w:tc>
        <w:tc>
          <w:tcPr>
            <w:tcW w:w="3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1"/>
              </w:rPr>
              <w:t>Class A common stock, $0.00001 par value per share, 1,200,000,000 shares authorized; 117,058,711</w:t>
            </w: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87"/>
              </w:rPr>
              <w:t>shares issued and 116,486,460 shares outstanding as of March 31, 2023; 115,424,025 shares issued and</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114,873,121 shares outstanding as of September 30, 2022</w:t>
            </w:r>
          </w:p>
        </w:tc>
        <w:tc>
          <w:tcPr>
            <w:tcW w:w="32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680" w:type="dxa"/>
            <w:vAlign w:val="bottom"/>
          </w:tcPr>
          <w:p>
            <w:pPr>
              <w:ind w:left="240"/>
              <w:spacing w:after="0" w:line="189" w:lineRule="exact"/>
              <w:rPr>
                <w:sz w:val="20"/>
                <w:szCs w:val="20"/>
                <w:color w:val="auto"/>
              </w:rPr>
            </w:pPr>
            <w:r>
              <w:rPr>
                <w:rFonts w:ascii="Arial" w:cs="Arial" w:eastAsia="Arial" w:hAnsi="Arial"/>
                <w:sz w:val="18"/>
                <w:szCs w:val="18"/>
                <w:color w:val="auto"/>
                <w:w w:val="92"/>
              </w:rPr>
              <w:t>Class B-1 common stock, $0.00001 par value per share, 200,000,000 shares authorized; 58,586,695</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40"/>
              <w:spacing w:after="0" w:line="176" w:lineRule="exact"/>
              <w:rPr>
                <w:sz w:val="20"/>
                <w:szCs w:val="20"/>
                <w:color w:val="auto"/>
              </w:rPr>
            </w:pPr>
            <w:r>
              <w:rPr>
                <w:rFonts w:ascii="Arial" w:cs="Arial" w:eastAsia="Arial" w:hAnsi="Arial"/>
                <w:sz w:val="18"/>
                <w:szCs w:val="18"/>
                <w:color w:val="auto"/>
                <w:w w:val="98"/>
              </w:rPr>
              <w:t>and 58,586,695 shares issued and outstanding as of March 31, 2023 and September 30, 2022,</w:t>
            </w:r>
          </w:p>
        </w:tc>
        <w:tc>
          <w:tcPr>
            <w:tcW w:w="3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3"/>
              </w:rPr>
              <w:t>Class B-2 common stock, $0.00001 par value per share, 200,000,000 shares authorized; no shares</w:t>
            </w: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and outstanding as of March 31, 2023 and September 30, 2022</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Treasury stock, at cost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542,602</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(104,544)</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Total stockholders’ equity attributable to Fluence Energy,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403,316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435,830</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164,679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193,378</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629,208</w:t>
            </w:r>
          </w:p>
        </w:tc>
        <w:tc>
          <w:tcPr>
            <w:tcW w:w="0" w:type="dxa"/>
            <w:vAlign w:val="bottom"/>
          </w:tcPr>
          <w:p>
            <w:pPr>
              <w:spacing w:after="0"/>
              <w:rPr>
                <w:sz w:val="1"/>
                <w:szCs w:val="1"/>
                <w:color w:val="auto"/>
              </w:rPr>
            </w:pPr>
          </w:p>
        </w:tc>
      </w:tr>
      <w:tr>
        <w:trPr>
          <w:trHeight w:val="25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1,947,587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1,745,654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ectPr>
          <w:pgSz w:w="11900" w:h="16838" w:orient="portrait"/>
          <w:cols w:equalWidth="0" w:num="1">
            <w:col w:w="11240"/>
          </w:cols>
          <w:pgMar w:left="320" w:top="166" w:right="339"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77"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5820" w:type="dxa"/>
            <w:vAlign w:val="bottom"/>
            <w:gridSpan w:val="5"/>
          </w:tcPr>
          <w:p>
            <w:pPr>
              <w:jc w:val="center"/>
              <w:ind w:left="2770"/>
              <w:spacing w:after="0"/>
              <w:rPr>
                <w:sz w:val="20"/>
                <w:szCs w:val="20"/>
                <w:color w:val="auto"/>
              </w:rPr>
            </w:pPr>
            <w:r>
              <w:rPr>
                <w:rFonts w:ascii="Arial" w:cs="Arial" w:eastAsia="Arial" w:hAnsi="Arial"/>
                <w:sz w:val="18"/>
                <w:szCs w:val="18"/>
                <w:b w:val="1"/>
                <w:bCs w:val="1"/>
                <w:color w:val="auto"/>
                <w:w w:val="99"/>
              </w:rPr>
              <w:t>FLUENCE ENERGY, INC.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40" w:type="dxa"/>
            <w:vAlign w:val="bottom"/>
            <w:gridSpan w:val="8"/>
          </w:tcPr>
          <w:p>
            <w:pPr>
              <w:jc w:val="center"/>
              <w:ind w:left="1250"/>
              <w:spacing w:after="0"/>
              <w:rPr>
                <w:sz w:val="20"/>
                <w:szCs w:val="20"/>
                <w:color w:val="auto"/>
              </w:rPr>
            </w:pPr>
            <w:r>
              <w:rPr>
                <w:rFonts w:ascii="Arial" w:cs="Arial" w:eastAsia="Arial" w:hAnsi="Arial"/>
                <w:sz w:val="18"/>
                <w:szCs w:val="18"/>
                <w:b w:val="1"/>
                <w:bCs w:val="1"/>
                <w:color w:val="auto"/>
                <w:w w:val="98"/>
              </w:rPr>
              <w:t>CONDENSED CONSOLIDATED STATEMENTS OF OPERATIONS AND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20" w:type="dxa"/>
            <w:vAlign w:val="bottom"/>
            <w:gridSpan w:val="6"/>
          </w:tcPr>
          <w:p>
            <w:pPr>
              <w:jc w:val="center"/>
              <w:ind w:left="1770"/>
              <w:spacing w:after="0"/>
              <w:rPr>
                <w:sz w:val="20"/>
                <w:szCs w:val="20"/>
                <w:color w:val="auto"/>
              </w:rPr>
            </w:pPr>
            <w:r>
              <w:rPr>
                <w:rFonts w:ascii="Arial" w:cs="Arial" w:eastAsia="Arial" w:hAnsi="Arial"/>
                <w:sz w:val="18"/>
                <w:szCs w:val="18"/>
                <w:b w:val="1"/>
                <w:bCs w:val="1"/>
                <w:color w:val="auto"/>
              </w:rPr>
              <w:t>COMPREHENSIVE LOSS (UNAUDITED)</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20" w:type="dxa"/>
            <w:vAlign w:val="bottom"/>
            <w:gridSpan w:val="6"/>
          </w:tcPr>
          <w:p>
            <w:pPr>
              <w:jc w:val="center"/>
              <w:ind w:left="1770"/>
              <w:spacing w:after="0"/>
              <w:rPr>
                <w:sz w:val="20"/>
                <w:szCs w:val="20"/>
                <w:color w:val="auto"/>
              </w:rPr>
            </w:pPr>
            <w:r>
              <w:rPr>
                <w:rFonts w:ascii="Arial" w:cs="Arial" w:eastAsia="Arial" w:hAnsi="Arial"/>
                <w:sz w:val="18"/>
                <w:szCs w:val="18"/>
                <w:b w:val="1"/>
                <w:bCs w:val="1"/>
                <w:color w:val="auto"/>
                <w:w w:val="88"/>
              </w:rPr>
              <w:t>(U.S. Dollars in Thousands, except share and per share amounts)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51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2EDF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405,110</w:t>
            </w:r>
          </w:p>
        </w:tc>
        <w:tc>
          <w:tcPr>
            <w:tcW w:w="540" w:type="dxa"/>
            <w:vAlign w:val="bottom"/>
            <w:gridSpan w:val="2"/>
            <w:shd w:val="clear" w:color="auto" w:fill="D2EDFE"/>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115,798</w:t>
            </w:r>
          </w:p>
        </w:tc>
        <w:tc>
          <w:tcPr>
            <w:tcW w:w="520" w:type="dxa"/>
            <w:vAlign w:val="bottom"/>
            <w:gridSpan w:val="2"/>
            <w:shd w:val="clear" w:color="auto" w:fill="D2EDFE"/>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614,564</w:t>
            </w:r>
          </w:p>
        </w:tc>
        <w:tc>
          <w:tcPr>
            <w:tcW w:w="560" w:type="dxa"/>
            <w:vAlign w:val="bottom"/>
            <w:gridSpan w:val="2"/>
            <w:shd w:val="clear" w:color="auto" w:fill="D2EDFE"/>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142,852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Revenue from related parties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293,076</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226,926</w:t>
            </w:r>
          </w:p>
        </w:tc>
        <w:tc>
          <w:tcPr>
            <w:tcW w:w="12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394,082</w:t>
            </w:r>
          </w:p>
        </w:tc>
        <w:tc>
          <w:tcPr>
            <w:tcW w:w="12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374,759</w:t>
            </w: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698,186</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342,724</w:t>
            </w: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1,008,646</w:t>
            </w:r>
          </w:p>
        </w:tc>
        <w:tc>
          <w:tcPr>
            <w:tcW w:w="12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517,611</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667,373</w:t>
            </w:r>
          </w:p>
        </w:tc>
        <w:tc>
          <w:tcPr>
            <w:tcW w:w="100" w:type="dxa"/>
            <w:vAlign w:val="bottom"/>
            <w:tcBorders>
              <w:bottom w:val="single" w:sz="8" w:color="D2EDF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357,472</w:t>
            </w:r>
          </w:p>
        </w:tc>
        <w:tc>
          <w:tcPr>
            <w:tcW w:w="120" w:type="dxa"/>
            <w:vAlign w:val="bottom"/>
            <w:tcBorders>
              <w:bottom w:val="single" w:sz="8" w:color="D2EDF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965,793</w:t>
            </w:r>
          </w:p>
        </w:tc>
        <w:tc>
          <w:tcPr>
            <w:tcW w:w="120" w:type="dxa"/>
            <w:vAlign w:val="bottom"/>
            <w:tcBorders>
              <w:bottom w:val="single" w:sz="8" w:color="D2EDF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585,508</w:t>
            </w: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Gross (loss) profit</w:t>
            </w:r>
          </w:p>
        </w:tc>
        <w:tc>
          <w:tcPr>
            <w:tcW w:w="30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30,813</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(14,748)</w:t>
            </w: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42,853</w:t>
            </w:r>
          </w:p>
        </w:tc>
        <w:tc>
          <w:tcPr>
            <w:tcW w:w="12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(67,897)</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D2EDFE"/>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D2EDFE"/>
          </w:tcPr>
          <w:p>
            <w:pPr>
              <w:spacing w:after="0"/>
              <w:rPr>
                <w:sz w:val="21"/>
                <w:szCs w:val="21"/>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22,551</w:t>
            </w:r>
          </w:p>
        </w:tc>
        <w:tc>
          <w:tcPr>
            <w:tcW w:w="100" w:type="dxa"/>
            <w:vAlign w:val="bottom"/>
            <w:shd w:val="clear" w:color="auto" w:fill="D2EDFE"/>
          </w:tcPr>
          <w:p>
            <w:pPr>
              <w:spacing w:after="0"/>
              <w:rPr>
                <w:sz w:val="21"/>
                <w:szCs w:val="21"/>
                <w:color w:val="auto"/>
              </w:rPr>
            </w:pPr>
          </w:p>
        </w:tc>
        <w:tc>
          <w:tcPr>
            <w:tcW w:w="440" w:type="dxa"/>
            <w:vAlign w:val="bottom"/>
            <w:shd w:val="clear" w:color="auto" w:fill="D2EDFE"/>
          </w:tcPr>
          <w:p>
            <w:pPr>
              <w:spacing w:after="0"/>
              <w:rPr>
                <w:sz w:val="21"/>
                <w:szCs w:val="21"/>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13,340</w:t>
            </w:r>
          </w:p>
        </w:tc>
        <w:tc>
          <w:tcPr>
            <w:tcW w:w="120" w:type="dxa"/>
            <w:vAlign w:val="bottom"/>
            <w:shd w:val="clear" w:color="auto" w:fill="D2EDFE"/>
          </w:tcPr>
          <w:p>
            <w:pPr>
              <w:spacing w:after="0"/>
              <w:rPr>
                <w:sz w:val="21"/>
                <w:szCs w:val="21"/>
                <w:color w:val="auto"/>
              </w:rPr>
            </w:pPr>
          </w:p>
        </w:tc>
        <w:tc>
          <w:tcPr>
            <w:tcW w:w="40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41,713</w:t>
            </w:r>
          </w:p>
        </w:tc>
        <w:tc>
          <w:tcPr>
            <w:tcW w:w="120" w:type="dxa"/>
            <w:vAlign w:val="bottom"/>
            <w:shd w:val="clear" w:color="auto" w:fill="D2EDFE"/>
          </w:tcPr>
          <w:p>
            <w:pPr>
              <w:spacing w:after="0"/>
              <w:rPr>
                <w:sz w:val="21"/>
                <w:szCs w:val="21"/>
                <w:color w:val="auto"/>
              </w:rPr>
            </w:pPr>
          </w:p>
        </w:tc>
        <w:tc>
          <w:tcPr>
            <w:tcW w:w="440" w:type="dxa"/>
            <w:vAlign w:val="bottom"/>
            <w:shd w:val="clear" w:color="auto" w:fill="D2EDFE"/>
          </w:tcPr>
          <w:p>
            <w:pPr>
              <w:spacing w:after="0"/>
              <w:rPr>
                <w:sz w:val="21"/>
                <w:szCs w:val="21"/>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19,250</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D2EDFE"/>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31,778</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25,237</w:t>
            </w: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63,045</w:t>
            </w:r>
          </w:p>
        </w:tc>
        <w:tc>
          <w:tcPr>
            <w:tcW w:w="12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56,438</w:t>
            </w:r>
          </w:p>
        </w:tc>
        <w:tc>
          <w:tcPr>
            <w:tcW w:w="0" w:type="dxa"/>
            <w:vAlign w:val="bottom"/>
          </w:tcPr>
          <w:p>
            <w:pPr>
              <w:spacing w:after="0"/>
              <w:rPr>
                <w:sz w:val="1"/>
                <w:szCs w:val="1"/>
                <w:color w:val="auto"/>
              </w:rPr>
            </w:pPr>
          </w:p>
        </w:tc>
      </w:tr>
      <w:tr>
        <w:trPr>
          <w:trHeight w:val="237"/>
        </w:trPr>
        <w:tc>
          <w:tcPr>
            <w:tcW w:w="510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36"/>
        </w:trPr>
        <w:tc>
          <w:tcPr>
            <w:tcW w:w="5100" w:type="dxa"/>
            <w:vAlign w:val="bottom"/>
            <w:gridSpan w:val="2"/>
            <w:shd w:val="clear" w:color="auto" w:fill="D2EDFE"/>
          </w:tcPr>
          <w:p>
            <w:pPr>
              <w:ind w:left="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D2EDFE"/>
          </w:tcPr>
          <w:p>
            <w:pPr>
              <w:spacing w:after="0"/>
              <w:rPr>
                <w:sz w:val="20"/>
                <w:szCs w:val="20"/>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D2EDFE"/>
          </w:tcPr>
          <w:p>
            <w:pPr>
              <w:spacing w:after="0"/>
              <w:rPr>
                <w:sz w:val="20"/>
                <w:szCs w:val="20"/>
                <w:color w:val="auto"/>
              </w:rPr>
            </w:pPr>
          </w:p>
        </w:tc>
        <w:tc>
          <w:tcPr>
            <w:tcW w:w="440" w:type="dxa"/>
            <w:vAlign w:val="bottom"/>
            <w:shd w:val="clear" w:color="auto" w:fill="D2EDFE"/>
          </w:tcPr>
          <w:p>
            <w:pPr>
              <w:spacing w:after="0"/>
              <w:rPr>
                <w:sz w:val="20"/>
                <w:szCs w:val="20"/>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D2EDFE"/>
          </w:tcPr>
          <w:p>
            <w:pPr>
              <w:spacing w:after="0"/>
              <w:rPr>
                <w:sz w:val="20"/>
                <w:szCs w:val="20"/>
                <w:color w:val="auto"/>
              </w:rPr>
            </w:pPr>
          </w:p>
        </w:tc>
        <w:tc>
          <w:tcPr>
            <w:tcW w:w="40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D2EDFE"/>
          </w:tcPr>
          <w:p>
            <w:pPr>
              <w:spacing w:after="0"/>
              <w:rPr>
                <w:sz w:val="20"/>
                <w:szCs w:val="20"/>
                <w:color w:val="auto"/>
              </w:rPr>
            </w:pPr>
          </w:p>
        </w:tc>
        <w:tc>
          <w:tcPr>
            <w:tcW w:w="440" w:type="dxa"/>
            <w:vAlign w:val="bottom"/>
            <w:shd w:val="clear" w:color="auto" w:fill="D2EDFE"/>
          </w:tcPr>
          <w:p>
            <w:pPr>
              <w:spacing w:after="0"/>
              <w:rPr>
                <w:sz w:val="20"/>
                <w:szCs w:val="20"/>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51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auto"/>
            </w:tcBorders>
            <w:shd w:val="clear" w:color="auto" w:fill="D2EDFE"/>
          </w:tcPr>
          <w:p>
            <w:pPr>
              <w:spacing w:after="0"/>
              <w:rPr>
                <w:sz w:val="20"/>
                <w:szCs w:val="20"/>
                <w:color w:val="auto"/>
              </w:rPr>
            </w:pP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(37,523)</w:t>
            </w:r>
          </w:p>
        </w:tc>
        <w:tc>
          <w:tcPr>
            <w:tcW w:w="100" w:type="dxa"/>
            <w:vAlign w:val="bottom"/>
            <w:shd w:val="clear" w:color="auto" w:fill="D2EDFE"/>
          </w:tcPr>
          <w:p>
            <w:pPr>
              <w:spacing w:after="0"/>
              <w:rPr>
                <w:sz w:val="20"/>
                <w:szCs w:val="20"/>
                <w:color w:val="auto"/>
              </w:rPr>
            </w:pPr>
          </w:p>
        </w:tc>
        <w:tc>
          <w:tcPr>
            <w:tcW w:w="440" w:type="dxa"/>
            <w:vAlign w:val="bottom"/>
            <w:tcBorders>
              <w:bottom w:val="single" w:sz="8" w:color="auto"/>
            </w:tcBorders>
            <w:shd w:val="clear" w:color="auto" w:fill="D2EDFE"/>
          </w:tcPr>
          <w:p>
            <w:pPr>
              <w:spacing w:after="0"/>
              <w:rPr>
                <w:sz w:val="20"/>
                <w:szCs w:val="20"/>
                <w:color w:val="auto"/>
              </w:rPr>
            </w:pP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(60,576)</w:t>
            </w:r>
          </w:p>
        </w:tc>
        <w:tc>
          <w:tcPr>
            <w:tcW w:w="120" w:type="dxa"/>
            <w:vAlign w:val="bottom"/>
            <w:shd w:val="clear" w:color="auto" w:fill="D2EDFE"/>
          </w:tcPr>
          <w:p>
            <w:pPr>
              <w:spacing w:after="0"/>
              <w:rPr>
                <w:sz w:val="20"/>
                <w:szCs w:val="20"/>
                <w:color w:val="auto"/>
              </w:rPr>
            </w:pPr>
          </w:p>
        </w:tc>
        <w:tc>
          <w:tcPr>
            <w:tcW w:w="400" w:type="dxa"/>
            <w:vAlign w:val="bottom"/>
            <w:tcBorders>
              <w:bottom w:val="single" w:sz="8" w:color="auto"/>
            </w:tcBorders>
            <w:shd w:val="clear" w:color="auto" w:fill="D2EDFE"/>
          </w:tcPr>
          <w:p>
            <w:pPr>
              <w:spacing w:after="0"/>
              <w:rPr>
                <w:sz w:val="20"/>
                <w:szCs w:val="20"/>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(75,330)</w:t>
            </w:r>
          </w:p>
        </w:tc>
        <w:tc>
          <w:tcPr>
            <w:tcW w:w="120" w:type="dxa"/>
            <w:vAlign w:val="bottom"/>
            <w:shd w:val="clear" w:color="auto" w:fill="D2EDFE"/>
          </w:tcPr>
          <w:p>
            <w:pPr>
              <w:spacing w:after="0"/>
              <w:rPr>
                <w:sz w:val="20"/>
                <w:szCs w:val="20"/>
                <w:color w:val="auto"/>
              </w:rPr>
            </w:pPr>
          </w:p>
        </w:tc>
        <w:tc>
          <w:tcPr>
            <w:tcW w:w="440" w:type="dxa"/>
            <w:vAlign w:val="bottom"/>
            <w:tcBorders>
              <w:bottom w:val="single" w:sz="8" w:color="auto"/>
            </w:tcBorders>
            <w:shd w:val="clear" w:color="auto" w:fill="D2EDFE"/>
          </w:tcPr>
          <w:p>
            <w:pPr>
              <w:spacing w:after="0"/>
              <w:rPr>
                <w:sz w:val="20"/>
                <w:szCs w:val="20"/>
                <w:color w:val="auto"/>
              </w:rPr>
            </w:pP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(171,678)</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(37,397)</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(60,704)</w:t>
            </w: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(74,590)</w:t>
            </w:r>
          </w:p>
        </w:tc>
        <w:tc>
          <w:tcPr>
            <w:tcW w:w="12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(172,164)</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00" w:type="dxa"/>
            <w:vAlign w:val="bottom"/>
            <w:tcBorders>
              <w:bottom w:val="single" w:sz="8" w:color="D2EDF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(41,519)</w:t>
            </w:r>
          </w:p>
        </w:tc>
        <w:tc>
          <w:tcPr>
            <w:tcW w:w="120" w:type="dxa"/>
            <w:vAlign w:val="bottom"/>
            <w:tcBorders>
              <w:bottom w:val="single" w:sz="8" w:color="D2EDF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(25,093)</w:t>
            </w:r>
          </w:p>
        </w:tc>
        <w:tc>
          <w:tcPr>
            <w:tcW w:w="120" w:type="dxa"/>
            <w:vAlign w:val="bottom"/>
            <w:tcBorders>
              <w:bottom w:val="single" w:sz="8" w:color="D2EDF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(124,174)</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D2EDFE"/>
            </w:tcBorders>
            <w:gridSpan w:val="2"/>
            <w:shd w:val="clear" w:color="auto" w:fill="D2EDFE"/>
          </w:tcPr>
          <w:p>
            <w:pPr>
              <w:ind w:left="20"/>
              <w:spacing w:after="0"/>
              <w:rPr>
                <w:sz w:val="20"/>
                <w:szCs w:val="20"/>
                <w:color w:val="auto"/>
              </w:rPr>
            </w:pPr>
            <w:r>
              <w:rPr>
                <w:rFonts w:ascii="Arial" w:cs="Arial" w:eastAsia="Arial" w:hAnsi="Arial"/>
                <w:sz w:val="18"/>
                <w:szCs w:val="18"/>
                <w:color w:val="auto"/>
              </w:rPr>
              <w:t>Net loss attributable to Fluence Energy, Inc.</w:t>
            </w:r>
          </w:p>
        </w:tc>
        <w:tc>
          <w:tcPr>
            <w:tcW w:w="300" w:type="dxa"/>
            <w:vAlign w:val="bottom"/>
            <w:tcBorders>
              <w:bottom w:val="single" w:sz="8" w:color="auto"/>
            </w:tcBorders>
            <w:shd w:val="clear" w:color="auto" w:fill="D2EDF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(24,855)</w:t>
            </w:r>
          </w:p>
        </w:tc>
        <w:tc>
          <w:tcPr>
            <w:tcW w:w="100" w:type="dxa"/>
            <w:vAlign w:val="bottom"/>
            <w:tcBorders>
              <w:bottom w:val="single" w:sz="8" w:color="D2EDFE"/>
            </w:tcBorders>
            <w:shd w:val="clear" w:color="auto" w:fill="D2EDFE"/>
          </w:tcPr>
          <w:p>
            <w:pPr>
              <w:spacing w:after="0"/>
              <w:rPr>
                <w:sz w:val="21"/>
                <w:szCs w:val="21"/>
                <w:color w:val="auto"/>
              </w:rPr>
            </w:pPr>
          </w:p>
        </w:tc>
        <w:tc>
          <w:tcPr>
            <w:tcW w:w="440" w:type="dxa"/>
            <w:vAlign w:val="bottom"/>
            <w:tcBorders>
              <w:bottom w:val="single" w:sz="8" w:color="auto"/>
            </w:tcBorders>
            <w:shd w:val="clear" w:color="auto" w:fill="D2EDFE"/>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(19,185)</w:t>
            </w:r>
          </w:p>
        </w:tc>
        <w:tc>
          <w:tcPr>
            <w:tcW w:w="120" w:type="dxa"/>
            <w:vAlign w:val="bottom"/>
            <w:tcBorders>
              <w:bottom w:val="single" w:sz="8" w:color="D2EDFE"/>
            </w:tcBorders>
            <w:shd w:val="clear" w:color="auto" w:fill="D2EDFE"/>
          </w:tcPr>
          <w:p>
            <w:pPr>
              <w:spacing w:after="0"/>
              <w:rPr>
                <w:sz w:val="21"/>
                <w:szCs w:val="21"/>
                <w:color w:val="auto"/>
              </w:rPr>
            </w:pPr>
          </w:p>
        </w:tc>
        <w:tc>
          <w:tcPr>
            <w:tcW w:w="400" w:type="dxa"/>
            <w:vAlign w:val="bottom"/>
            <w:tcBorders>
              <w:bottom w:val="single" w:sz="8" w:color="auto"/>
            </w:tcBorders>
            <w:shd w:val="clear" w:color="auto" w:fill="D2EDFE"/>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(49,497)</w:t>
            </w:r>
          </w:p>
        </w:tc>
        <w:tc>
          <w:tcPr>
            <w:tcW w:w="120" w:type="dxa"/>
            <w:vAlign w:val="bottom"/>
            <w:tcBorders>
              <w:bottom w:val="single" w:sz="8" w:color="D2EDFE"/>
            </w:tcBorders>
            <w:shd w:val="clear" w:color="auto" w:fill="D2EDFE"/>
          </w:tcPr>
          <w:p>
            <w:pPr>
              <w:spacing w:after="0"/>
              <w:rPr>
                <w:sz w:val="21"/>
                <w:szCs w:val="21"/>
                <w:color w:val="auto"/>
              </w:rPr>
            </w:pPr>
          </w:p>
        </w:tc>
        <w:tc>
          <w:tcPr>
            <w:tcW w:w="440" w:type="dxa"/>
            <w:vAlign w:val="bottom"/>
            <w:tcBorders>
              <w:bottom w:val="single" w:sz="8" w:color="auto"/>
            </w:tcBorders>
            <w:shd w:val="clear" w:color="auto" w:fill="D2EDFE"/>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(47,990)</w:t>
            </w:r>
          </w:p>
        </w:tc>
        <w:tc>
          <w:tcPr>
            <w:tcW w:w="0" w:type="dxa"/>
            <w:vAlign w:val="bottom"/>
          </w:tcPr>
          <w:p>
            <w:pPr>
              <w:spacing w:after="0"/>
              <w:rPr>
                <w:sz w:val="1"/>
                <w:szCs w:val="1"/>
                <w:color w:val="auto"/>
              </w:rPr>
            </w:pPr>
          </w:p>
        </w:tc>
      </w:tr>
      <w:tr>
        <w:trPr>
          <w:trHeight w:val="20"/>
        </w:trPr>
        <w:tc>
          <w:tcPr>
            <w:tcW w:w="5100" w:type="dxa"/>
            <w:vAlign w:val="bottom"/>
            <w:tcBorders>
              <w:top w:val="single" w:sz="8" w:color="D2EDFE"/>
            </w:tcBorders>
            <w:gridSpan w:val="2"/>
          </w:tcPr>
          <w:p>
            <w:pPr>
              <w:spacing w:after="0" w:line="20" w:lineRule="exact"/>
              <w:rPr>
                <w:sz w:val="1"/>
                <w:szCs w:val="1"/>
                <w:color w:val="auto"/>
              </w:rPr>
            </w:pPr>
          </w:p>
        </w:tc>
        <w:tc>
          <w:tcPr>
            <w:tcW w:w="300" w:type="dxa"/>
            <w:vAlign w:val="bottom"/>
            <w:tcBorders>
              <w:top w:val="single" w:sz="8" w:color="D2EDFE"/>
              <w:bottom w:val="single" w:sz="8" w:color="auto"/>
            </w:tcBorders>
          </w:tcPr>
          <w:p>
            <w:pPr>
              <w:spacing w:after="0" w:line="20" w:lineRule="exact"/>
              <w:rPr>
                <w:sz w:val="1"/>
                <w:szCs w:val="1"/>
                <w:color w:val="auto"/>
              </w:rPr>
            </w:pPr>
          </w:p>
        </w:tc>
        <w:tc>
          <w:tcPr>
            <w:tcW w:w="116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440" w:type="dxa"/>
            <w:vAlign w:val="bottom"/>
            <w:tcBorders>
              <w:top w:val="single" w:sz="8" w:color="D2EDFE"/>
              <w:bottom w:val="single" w:sz="8" w:color="auto"/>
            </w:tcBorders>
          </w:tcPr>
          <w:p>
            <w:pPr>
              <w:spacing w:after="0" w:line="20" w:lineRule="exact"/>
              <w:rPr>
                <w:sz w:val="1"/>
                <w:szCs w:val="1"/>
                <w:color w:val="auto"/>
              </w:rPr>
            </w:pPr>
          </w:p>
        </w:tc>
        <w:tc>
          <w:tcPr>
            <w:tcW w:w="1000" w:type="dxa"/>
            <w:vAlign w:val="bottom"/>
            <w:tcBorders>
              <w:top w:val="single" w:sz="8" w:color="D2EDFE"/>
              <w:bottom w:val="single" w:sz="8" w:color="auto"/>
            </w:tcBorders>
          </w:tcPr>
          <w:p>
            <w:pPr>
              <w:spacing w:after="0" w:line="20" w:lineRule="exact"/>
              <w:rPr>
                <w:sz w:val="1"/>
                <w:szCs w:val="1"/>
                <w:color w:val="auto"/>
              </w:rPr>
            </w:pPr>
          </w:p>
        </w:tc>
        <w:tc>
          <w:tcPr>
            <w:tcW w:w="120" w:type="dxa"/>
            <w:vAlign w:val="bottom"/>
            <w:tcBorders>
              <w:top w:val="single" w:sz="8" w:color="D2EDFE"/>
            </w:tcBorders>
          </w:tcPr>
          <w:p>
            <w:pPr>
              <w:spacing w:after="0" w:line="20" w:lineRule="exact"/>
              <w:rPr>
                <w:sz w:val="1"/>
                <w:szCs w:val="1"/>
                <w:color w:val="auto"/>
              </w:rPr>
            </w:pPr>
          </w:p>
        </w:tc>
        <w:tc>
          <w:tcPr>
            <w:tcW w:w="400" w:type="dxa"/>
            <w:vAlign w:val="bottom"/>
            <w:tcBorders>
              <w:top w:val="single" w:sz="8" w:color="D2EDFE"/>
              <w:bottom w:val="single" w:sz="8" w:color="auto"/>
            </w:tcBorders>
          </w:tcPr>
          <w:p>
            <w:pPr>
              <w:spacing w:after="0" w:line="20" w:lineRule="exact"/>
              <w:rPr>
                <w:sz w:val="1"/>
                <w:szCs w:val="1"/>
                <w:color w:val="auto"/>
              </w:rPr>
            </w:pPr>
          </w:p>
        </w:tc>
        <w:tc>
          <w:tcPr>
            <w:tcW w:w="1060" w:type="dxa"/>
            <w:vAlign w:val="bottom"/>
            <w:tcBorders>
              <w:top w:val="single" w:sz="8" w:color="D2EDFE"/>
              <w:bottom w:val="single" w:sz="8" w:color="auto"/>
            </w:tcBorders>
          </w:tcPr>
          <w:p>
            <w:pPr>
              <w:spacing w:after="0" w:line="20" w:lineRule="exact"/>
              <w:rPr>
                <w:sz w:val="1"/>
                <w:szCs w:val="1"/>
                <w:color w:val="auto"/>
              </w:rPr>
            </w:pPr>
          </w:p>
        </w:tc>
        <w:tc>
          <w:tcPr>
            <w:tcW w:w="120" w:type="dxa"/>
            <w:vAlign w:val="bottom"/>
            <w:tcBorders>
              <w:top w:val="single" w:sz="8" w:color="D2EDFE"/>
            </w:tcBorders>
          </w:tcPr>
          <w:p>
            <w:pPr>
              <w:spacing w:after="0" w:line="20" w:lineRule="exact"/>
              <w:rPr>
                <w:sz w:val="1"/>
                <w:szCs w:val="1"/>
                <w:color w:val="auto"/>
              </w:rPr>
            </w:pPr>
          </w:p>
        </w:tc>
        <w:tc>
          <w:tcPr>
            <w:tcW w:w="440" w:type="dxa"/>
            <w:vAlign w:val="bottom"/>
            <w:tcBorders>
              <w:top w:val="single" w:sz="8" w:color="D2EDFE"/>
              <w:bottom w:val="single" w:sz="8" w:color="auto"/>
            </w:tcBorders>
          </w:tcPr>
          <w:p>
            <w:pPr>
              <w:spacing w:after="0" w:line="20" w:lineRule="exact"/>
              <w:rPr>
                <w:sz w:val="1"/>
                <w:szCs w:val="1"/>
                <w:color w:val="auto"/>
              </w:rPr>
            </w:pPr>
          </w:p>
        </w:tc>
        <w:tc>
          <w:tcPr>
            <w:tcW w:w="100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w w:val="95"/>
              </w:rPr>
              <w:t>Weighted average number of Class A common shares outstanding</w:t>
            </w:r>
          </w:p>
        </w:tc>
        <w:tc>
          <w:tcPr>
            <w:tcW w:w="300" w:type="dxa"/>
            <w:vAlign w:val="bottom"/>
            <w:shd w:val="clear" w:color="auto" w:fill="D2EDFE"/>
          </w:tcPr>
          <w:p>
            <w:pPr>
              <w:spacing w:after="0"/>
              <w:rPr>
                <w:sz w:val="19"/>
                <w:szCs w:val="19"/>
                <w:color w:val="auto"/>
              </w:rPr>
            </w:pPr>
          </w:p>
        </w:tc>
        <w:tc>
          <w:tcPr>
            <w:tcW w:w="116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spacing w:after="0"/>
              <w:rPr>
                <w:sz w:val="19"/>
                <w:szCs w:val="19"/>
                <w:color w:val="auto"/>
              </w:rPr>
            </w:pP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spacing w:after="0"/>
              <w:rPr>
                <w:sz w:val="19"/>
                <w:szCs w:val="19"/>
                <w:color w:val="auto"/>
              </w:rPr>
            </w:pPr>
          </w:p>
        </w:tc>
        <w:tc>
          <w:tcPr>
            <w:tcW w:w="12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100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116,266,838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54,143,275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115,825,339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54,143,275</w:t>
            </w: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Loss per share of Class A common stock</w:t>
            </w:r>
          </w:p>
        </w:tc>
        <w:tc>
          <w:tcPr>
            <w:tcW w:w="300" w:type="dxa"/>
            <w:vAlign w:val="bottom"/>
            <w:shd w:val="clear" w:color="auto" w:fill="D2EDFE"/>
          </w:tcPr>
          <w:p>
            <w:pPr>
              <w:spacing w:after="0"/>
              <w:rPr>
                <w:sz w:val="21"/>
                <w:szCs w:val="21"/>
                <w:color w:val="auto"/>
              </w:rPr>
            </w:pPr>
          </w:p>
        </w:tc>
        <w:tc>
          <w:tcPr>
            <w:tcW w:w="116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440" w:type="dxa"/>
            <w:vAlign w:val="bottom"/>
            <w:shd w:val="clear" w:color="auto" w:fill="D2EDFE"/>
          </w:tcPr>
          <w:p>
            <w:pPr>
              <w:spacing w:after="0"/>
              <w:rPr>
                <w:sz w:val="21"/>
                <w:szCs w:val="21"/>
                <w:color w:val="auto"/>
              </w:rPr>
            </w:pPr>
          </w:p>
        </w:tc>
        <w:tc>
          <w:tcPr>
            <w:tcW w:w="1000" w:type="dxa"/>
            <w:vAlign w:val="bottom"/>
            <w:shd w:val="clear" w:color="auto" w:fill="D2EDFE"/>
          </w:tcPr>
          <w:p>
            <w:pPr>
              <w:spacing w:after="0"/>
              <w:rPr>
                <w:sz w:val="21"/>
                <w:szCs w:val="21"/>
                <w:color w:val="auto"/>
              </w:rPr>
            </w:pPr>
          </w:p>
        </w:tc>
        <w:tc>
          <w:tcPr>
            <w:tcW w:w="120" w:type="dxa"/>
            <w:vAlign w:val="bottom"/>
            <w:shd w:val="clear" w:color="auto" w:fill="D2EDFE"/>
          </w:tcPr>
          <w:p>
            <w:pPr>
              <w:spacing w:after="0"/>
              <w:rPr>
                <w:sz w:val="21"/>
                <w:szCs w:val="21"/>
                <w:color w:val="auto"/>
              </w:rPr>
            </w:pPr>
          </w:p>
        </w:tc>
        <w:tc>
          <w:tcPr>
            <w:tcW w:w="400" w:type="dxa"/>
            <w:vAlign w:val="bottom"/>
            <w:shd w:val="clear" w:color="auto" w:fill="D2EDFE"/>
          </w:tcPr>
          <w:p>
            <w:pPr>
              <w:spacing w:after="0"/>
              <w:rPr>
                <w:sz w:val="21"/>
                <w:szCs w:val="21"/>
                <w:color w:val="auto"/>
              </w:rPr>
            </w:pPr>
          </w:p>
        </w:tc>
        <w:tc>
          <w:tcPr>
            <w:tcW w:w="1060" w:type="dxa"/>
            <w:vAlign w:val="bottom"/>
            <w:shd w:val="clear" w:color="auto" w:fill="D2EDFE"/>
          </w:tcPr>
          <w:p>
            <w:pPr>
              <w:spacing w:after="0"/>
              <w:rPr>
                <w:sz w:val="21"/>
                <w:szCs w:val="21"/>
                <w:color w:val="auto"/>
              </w:rPr>
            </w:pPr>
          </w:p>
        </w:tc>
        <w:tc>
          <w:tcPr>
            <w:tcW w:w="120" w:type="dxa"/>
            <w:vAlign w:val="bottom"/>
            <w:shd w:val="clear" w:color="auto" w:fill="D2EDFE"/>
          </w:tcPr>
          <w:p>
            <w:pPr>
              <w:spacing w:after="0"/>
              <w:rPr>
                <w:sz w:val="21"/>
                <w:szCs w:val="21"/>
                <w:color w:val="auto"/>
              </w:rPr>
            </w:pPr>
          </w:p>
        </w:tc>
        <w:tc>
          <w:tcPr>
            <w:tcW w:w="440" w:type="dxa"/>
            <w:vAlign w:val="bottom"/>
            <w:shd w:val="clear" w:color="auto" w:fill="D2EDFE"/>
          </w:tcPr>
          <w:p>
            <w:pPr>
              <w:spacing w:after="0"/>
              <w:rPr>
                <w:sz w:val="21"/>
                <w:szCs w:val="21"/>
                <w:color w:val="auto"/>
              </w:rPr>
            </w:pPr>
          </w:p>
        </w:tc>
        <w:tc>
          <w:tcPr>
            <w:tcW w:w="1000" w:type="dxa"/>
            <w:vAlign w:val="bottom"/>
            <w:shd w:val="clear" w:color="auto" w:fill="D2EDF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D2EDFE"/>
          </w:tcPr>
          <w:p>
            <w:pPr>
              <w:spacing w:after="0"/>
              <w:rPr>
                <w:sz w:val="22"/>
                <w:szCs w:val="22"/>
                <w:color w:val="auto"/>
              </w:rPr>
            </w:pPr>
          </w:p>
        </w:tc>
        <w:tc>
          <w:tcPr>
            <w:tcW w:w="300" w:type="dxa"/>
            <w:vAlign w:val="bottom"/>
            <w:shd w:val="clear" w:color="auto" w:fill="D2EDFE"/>
          </w:tcPr>
          <w:p>
            <w:pPr>
              <w:spacing w:after="0"/>
              <w:rPr>
                <w:sz w:val="22"/>
                <w:szCs w:val="22"/>
                <w:color w:val="auto"/>
              </w:rPr>
            </w:pPr>
          </w:p>
        </w:tc>
        <w:tc>
          <w:tcPr>
            <w:tcW w:w="116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440" w:type="dxa"/>
            <w:vAlign w:val="bottom"/>
            <w:shd w:val="clear" w:color="auto" w:fill="D2EDFE"/>
          </w:tcPr>
          <w:p>
            <w:pPr>
              <w:spacing w:after="0"/>
              <w:rPr>
                <w:sz w:val="22"/>
                <w:szCs w:val="22"/>
                <w:color w:val="auto"/>
              </w:rPr>
            </w:pPr>
          </w:p>
        </w:tc>
        <w:tc>
          <w:tcPr>
            <w:tcW w:w="100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400" w:type="dxa"/>
            <w:vAlign w:val="bottom"/>
            <w:shd w:val="clear" w:color="auto" w:fill="D2EDFE"/>
          </w:tcPr>
          <w:p>
            <w:pPr>
              <w:spacing w:after="0"/>
              <w:rPr>
                <w:sz w:val="22"/>
                <w:szCs w:val="22"/>
                <w:color w:val="auto"/>
              </w:rPr>
            </w:pPr>
          </w:p>
        </w:tc>
        <w:tc>
          <w:tcPr>
            <w:tcW w:w="106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440" w:type="dxa"/>
            <w:vAlign w:val="bottom"/>
            <w:shd w:val="clear" w:color="auto" w:fill="D2EDFE"/>
          </w:tcPr>
          <w:p>
            <w:pPr>
              <w:spacing w:after="0"/>
              <w:rPr>
                <w:sz w:val="22"/>
                <w:szCs w:val="22"/>
                <w:color w:val="auto"/>
              </w:rPr>
            </w:pPr>
          </w:p>
        </w:tc>
        <w:tc>
          <w:tcPr>
            <w:tcW w:w="1000" w:type="dxa"/>
            <w:vAlign w:val="bottom"/>
            <w:shd w:val="clear" w:color="auto" w:fill="D2EDF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1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Foreign currency translation gain (loss), net of income tax expense of</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$0.1 million in the three months ended March 31, 2023,</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00" w:type="dxa"/>
            <w:vAlign w:val="bottom"/>
            <w:gridSpan w:val="2"/>
          </w:tcPr>
          <w:p>
            <w:pPr>
              <w:ind w:left="180"/>
              <w:spacing w:after="0" w:line="189" w:lineRule="exact"/>
              <w:rPr>
                <w:sz w:val="20"/>
                <w:szCs w:val="20"/>
                <w:color w:val="auto"/>
              </w:rPr>
            </w:pPr>
            <w:r>
              <w:rPr>
                <w:rFonts w:ascii="Arial" w:cs="Arial" w:eastAsia="Arial" w:hAnsi="Arial"/>
                <w:sz w:val="18"/>
                <w:szCs w:val="18"/>
                <w:color w:val="auto"/>
                <w:w w:val="92"/>
              </w:rPr>
              <w:t>$0.4 million in the six months ended March 31, 2023, and $0 in the</w:t>
            </w:r>
          </w:p>
        </w:tc>
        <w:tc>
          <w:tcPr>
            <w:tcW w:w="30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(5,054)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7"/>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three months and six months ended March 31, 2022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shd w:val="clear" w:color="auto" w:fill="D2EDF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(1,469)</w:t>
            </w:r>
          </w:p>
        </w:tc>
        <w:tc>
          <w:tcPr>
            <w:tcW w:w="540" w:type="dxa"/>
            <w:vAlign w:val="bottom"/>
            <w:gridSpan w:val="2"/>
            <w:shd w:val="clear" w:color="auto" w:fill="D2EDFE"/>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D2EDFE"/>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(5,054)</w:t>
            </w:r>
          </w:p>
        </w:tc>
        <w:tc>
          <w:tcPr>
            <w:tcW w:w="560" w:type="dxa"/>
            <w:vAlign w:val="bottom"/>
            <w:gridSpan w:val="2"/>
            <w:shd w:val="clear" w:color="auto" w:fill="D2EDFE"/>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(38,866)</w:t>
            </w:r>
          </w:p>
        </w:tc>
        <w:tc>
          <w:tcPr>
            <w:tcW w:w="100" w:type="dxa"/>
            <w:vAlign w:val="bottom"/>
            <w:tcBorders>
              <w:bottom w:val="single" w:sz="8" w:color="D2EDFE"/>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(60,724)</w:t>
            </w:r>
          </w:p>
        </w:tc>
        <w:tc>
          <w:tcPr>
            <w:tcW w:w="120" w:type="dxa"/>
            <w:vAlign w:val="bottom"/>
            <w:tcBorders>
              <w:bottom w:val="single" w:sz="8" w:color="D2EDFE"/>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(79,644)</w:t>
            </w:r>
          </w:p>
        </w:tc>
        <w:tc>
          <w:tcPr>
            <w:tcW w:w="120" w:type="dxa"/>
            <w:vAlign w:val="bottom"/>
            <w:tcBorders>
              <w:bottom w:val="single" w:sz="8" w:color="D2EDFE"/>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(171,885)</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D2EDFE"/>
            </w:tcBorders>
            <w:gridSpan w:val="2"/>
            <w:shd w:val="clear" w:color="auto" w:fill="D2EDFE"/>
          </w:tcPr>
          <w:p>
            <w:pPr>
              <w:ind w:left="20"/>
              <w:spacing w:after="0"/>
              <w:rPr>
                <w:sz w:val="20"/>
                <w:szCs w:val="20"/>
                <w:color w:val="auto"/>
              </w:rPr>
            </w:pPr>
            <w:r>
              <w:rPr>
                <w:rFonts w:ascii="Arial" w:cs="Arial" w:eastAsia="Arial" w:hAnsi="Arial"/>
                <w:sz w:val="18"/>
                <w:szCs w:val="18"/>
                <w:color w:val="auto"/>
              </w:rPr>
              <w:t>Comprehensive loss attributable to non-controlling interest</w:t>
            </w:r>
          </w:p>
        </w:tc>
        <w:tc>
          <w:tcPr>
            <w:tcW w:w="300" w:type="dxa"/>
            <w:vAlign w:val="bottom"/>
            <w:tcBorders>
              <w:bottom w:val="single" w:sz="8" w:color="auto"/>
            </w:tcBorders>
            <w:shd w:val="clear" w:color="auto" w:fill="D2EDFE"/>
          </w:tcPr>
          <w:p>
            <w:pPr>
              <w:spacing w:after="0"/>
              <w:rPr>
                <w:sz w:val="19"/>
                <w:szCs w:val="19"/>
                <w:color w:val="auto"/>
              </w:rPr>
            </w:pP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D2EDFE"/>
            </w:tcBorders>
            <w:shd w:val="clear" w:color="auto" w:fill="D2EDFE"/>
          </w:tcPr>
          <w:p>
            <w:pPr>
              <w:spacing w:after="0"/>
              <w:rPr>
                <w:sz w:val="19"/>
                <w:szCs w:val="19"/>
                <w:color w:val="auto"/>
              </w:rPr>
            </w:pPr>
          </w:p>
        </w:tc>
        <w:tc>
          <w:tcPr>
            <w:tcW w:w="440" w:type="dxa"/>
            <w:vAlign w:val="bottom"/>
            <w:tcBorders>
              <w:bottom w:val="single" w:sz="8" w:color="auto"/>
            </w:tcBorders>
            <w:shd w:val="clear" w:color="auto" w:fill="D2EDFE"/>
          </w:tcPr>
          <w:p>
            <w:pPr>
              <w:spacing w:after="0"/>
              <w:rPr>
                <w:sz w:val="19"/>
                <w:szCs w:val="19"/>
                <w:color w:val="auto"/>
              </w:rPr>
            </w:pP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(41,533)</w:t>
            </w:r>
          </w:p>
        </w:tc>
        <w:tc>
          <w:tcPr>
            <w:tcW w:w="120" w:type="dxa"/>
            <w:vAlign w:val="bottom"/>
            <w:tcBorders>
              <w:bottom w:val="single" w:sz="8" w:color="D2EDFE"/>
            </w:tcBorders>
            <w:shd w:val="clear" w:color="auto" w:fill="D2EDFE"/>
          </w:tcPr>
          <w:p>
            <w:pPr>
              <w:spacing w:after="0"/>
              <w:rPr>
                <w:sz w:val="19"/>
                <w:szCs w:val="19"/>
                <w:color w:val="auto"/>
              </w:rPr>
            </w:pPr>
          </w:p>
        </w:tc>
        <w:tc>
          <w:tcPr>
            <w:tcW w:w="400" w:type="dxa"/>
            <w:vAlign w:val="bottom"/>
            <w:tcBorders>
              <w:bottom w:val="single" w:sz="8" w:color="auto"/>
            </w:tcBorders>
            <w:shd w:val="clear" w:color="auto" w:fill="D2EDFE"/>
          </w:tcPr>
          <w:p>
            <w:pPr>
              <w:spacing w:after="0"/>
              <w:rPr>
                <w:sz w:val="19"/>
                <w:szCs w:val="19"/>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(26,798)</w:t>
            </w:r>
          </w:p>
        </w:tc>
        <w:tc>
          <w:tcPr>
            <w:tcW w:w="120" w:type="dxa"/>
            <w:vAlign w:val="bottom"/>
            <w:tcBorders>
              <w:bottom w:val="single" w:sz="8" w:color="D2EDFE"/>
            </w:tcBorders>
            <w:shd w:val="clear" w:color="auto" w:fill="D2EDFE"/>
          </w:tcPr>
          <w:p>
            <w:pPr>
              <w:spacing w:after="0"/>
              <w:rPr>
                <w:sz w:val="19"/>
                <w:szCs w:val="19"/>
                <w:color w:val="auto"/>
              </w:rPr>
            </w:pPr>
          </w:p>
        </w:tc>
        <w:tc>
          <w:tcPr>
            <w:tcW w:w="440" w:type="dxa"/>
            <w:vAlign w:val="bottom"/>
            <w:tcBorders>
              <w:bottom w:val="single" w:sz="8" w:color="auto"/>
            </w:tcBorders>
            <w:shd w:val="clear" w:color="auto" w:fill="D2EDFE"/>
          </w:tcPr>
          <w:p>
            <w:pPr>
              <w:spacing w:after="0"/>
              <w:rPr>
                <w:sz w:val="19"/>
                <w:szCs w:val="19"/>
                <w:color w:val="auto"/>
              </w:rPr>
            </w:pP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(124,103)</w:t>
            </w:r>
          </w:p>
        </w:tc>
        <w:tc>
          <w:tcPr>
            <w:tcW w:w="0" w:type="dxa"/>
            <w:vAlign w:val="bottom"/>
          </w:tcPr>
          <w:p>
            <w:pPr>
              <w:spacing w:after="0"/>
              <w:rPr>
                <w:sz w:val="1"/>
                <w:szCs w:val="1"/>
                <w:color w:val="auto"/>
              </w:rPr>
            </w:pP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Total comprehensive loss attributable to Fluence Energy, Inc.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(25,830)</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(19,191)</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(52,846)</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(47,782)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 MEMBERS’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EQUITY (DEFICIT), AND MEZZANINE EQUITY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in Thousands, except Shares/Units)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177165</wp:posOffset>
            </wp:positionV>
            <wp:extent cx="7063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060" w:type="dxa"/>
            <w:vAlign w:val="bottom"/>
          </w:tcPr>
          <w:p>
            <w:pPr>
              <w:jc w:val="center"/>
              <w:ind w:left="547"/>
              <w:spacing w:after="0"/>
              <w:rPr>
                <w:sz w:val="20"/>
                <w:szCs w:val="20"/>
                <w:color w:val="auto"/>
              </w:rPr>
            </w:pPr>
            <w:r>
              <w:rPr>
                <w:rFonts w:ascii="Arial" w:cs="Arial" w:eastAsia="Arial" w:hAnsi="Arial"/>
                <w:sz w:val="13"/>
                <w:szCs w:val="13"/>
                <w:b w:val="1"/>
                <w:bCs w:val="1"/>
                <w:color w:val="auto"/>
                <w:w w:val="83"/>
              </w:rPr>
              <w:t>Class A</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Class B-1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30"/>
              <w:spacing w:after="0"/>
              <w:rPr>
                <w:sz w:val="20"/>
                <w:szCs w:val="20"/>
                <w:color w:val="auto"/>
              </w:rPr>
            </w:pPr>
            <w:r>
              <w:rPr>
                <w:rFonts w:ascii="Arial" w:cs="Arial" w:eastAsia="Arial" w:hAnsi="Arial"/>
                <w:sz w:val="13"/>
                <w:szCs w:val="13"/>
                <w:b w:val="1"/>
                <w:bCs w:val="1"/>
                <w:color w:val="auto"/>
                <w:w w:val="88"/>
              </w:rPr>
              <w:t>Accumulated</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ind w:right="46"/>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72"/>
        </w:trPr>
        <w:tc>
          <w:tcPr>
            <w:tcW w:w="1620" w:type="dxa"/>
            <w:vAlign w:val="bottom"/>
          </w:tcPr>
          <w:p>
            <w:pPr>
              <w:spacing w:after="0"/>
              <w:rPr>
                <w:sz w:val="6"/>
                <w:szCs w:val="6"/>
                <w:color w:val="auto"/>
              </w:rPr>
            </w:pPr>
          </w:p>
        </w:tc>
        <w:tc>
          <w:tcPr>
            <w:tcW w:w="1360" w:type="dxa"/>
            <w:vAlign w:val="bottom"/>
            <w:gridSpan w:val="2"/>
            <w:vMerge w:val="restart"/>
          </w:tcPr>
          <w:p>
            <w:pPr>
              <w:jc w:val="center"/>
              <w:ind w:left="267"/>
              <w:spacing w:after="0"/>
              <w:rPr>
                <w:sz w:val="20"/>
                <w:szCs w:val="20"/>
                <w:color w:val="auto"/>
              </w:rPr>
            </w:pPr>
            <w:r>
              <w:rPr>
                <w:rFonts w:ascii="Arial" w:cs="Arial" w:eastAsia="Arial" w:hAnsi="Arial"/>
                <w:sz w:val="13"/>
                <w:szCs w:val="13"/>
                <w:b w:val="1"/>
                <w:bCs w:val="1"/>
                <w:color w:val="auto"/>
                <w:w w:val="85"/>
              </w:rPr>
              <w:t>Common Stock</w:t>
            </w:r>
          </w:p>
        </w:tc>
        <w:tc>
          <w:tcPr>
            <w:tcW w:w="400" w:type="dxa"/>
            <w:vAlign w:val="bottom"/>
          </w:tcPr>
          <w:p>
            <w:pPr>
              <w:spacing w:after="0"/>
              <w:rPr>
                <w:sz w:val="6"/>
                <w:szCs w:val="6"/>
                <w:color w:val="auto"/>
              </w:rPr>
            </w:pPr>
          </w:p>
        </w:tc>
        <w:tc>
          <w:tcPr>
            <w:tcW w:w="1540" w:type="dxa"/>
            <w:vAlign w:val="bottom"/>
            <w:gridSpan w:val="2"/>
            <w:vMerge w:val="restart"/>
          </w:tcPr>
          <w:p>
            <w:pPr>
              <w:jc w:val="right"/>
              <w:ind w:right="306"/>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600" w:type="dxa"/>
            <w:vAlign w:val="bottom"/>
            <w:gridSpan w:val="3"/>
            <w:vMerge w:val="restart"/>
          </w:tcPr>
          <w:p>
            <w:pPr>
              <w:jc w:val="right"/>
              <w:ind w:right="305"/>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620" w:type="dxa"/>
            <w:vAlign w:val="bottom"/>
          </w:tcPr>
          <w:p>
            <w:pPr>
              <w:spacing w:after="0"/>
              <w:rPr>
                <w:sz w:val="8"/>
                <w:szCs w:val="8"/>
                <w:color w:val="auto"/>
              </w:rPr>
            </w:pPr>
          </w:p>
        </w:tc>
        <w:tc>
          <w:tcPr>
            <w:tcW w:w="136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right"/>
              <w:ind w:right="7"/>
              <w:spacing w:after="0" w:line="102"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jc w:val="center"/>
              <w:ind w:right="30"/>
              <w:spacing w:after="0" w:line="102" w:lineRule="exact"/>
              <w:rPr>
                <w:sz w:val="20"/>
                <w:szCs w:val="20"/>
                <w:color w:val="auto"/>
              </w:rPr>
            </w:pPr>
            <w:r>
              <w:rPr>
                <w:rFonts w:ascii="Arial" w:cs="Arial" w:eastAsia="Arial" w:hAnsi="Arial"/>
                <w:sz w:val="10"/>
                <w:szCs w:val="10"/>
                <w:b w:val="1"/>
                <w:bCs w:val="1"/>
                <w:color w:val="auto"/>
              </w:rPr>
              <w:t>Other</w:t>
            </w:r>
          </w:p>
        </w:tc>
        <w:tc>
          <w:tcPr>
            <w:tcW w:w="1600" w:type="dxa"/>
            <w:vAlign w:val="bottom"/>
            <w:tcBorders>
              <w:bottom w:val="single" w:sz="8" w:color="auto"/>
            </w:tcBorders>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center"/>
              <w:ind w:right="67"/>
              <w:spacing w:after="0" w:line="102" w:lineRule="exact"/>
              <w:rPr>
                <w:sz w:val="20"/>
                <w:szCs w:val="20"/>
                <w:color w:val="auto"/>
              </w:rPr>
            </w:pPr>
            <w:r>
              <w:rPr>
                <w:rFonts w:ascii="Arial" w:cs="Arial" w:eastAsia="Arial" w:hAnsi="Arial"/>
                <w:sz w:val="10"/>
                <w:szCs w:val="10"/>
                <w:b w:val="1"/>
                <w:bCs w:val="1"/>
                <w:color w:val="auto"/>
              </w:rPr>
              <w:t>Non-</w:t>
            </w:r>
          </w:p>
        </w:tc>
        <w:tc>
          <w:tcPr>
            <w:tcW w:w="120" w:type="dxa"/>
            <w:vAlign w:val="bottom"/>
          </w:tcPr>
          <w:p>
            <w:pPr>
              <w:spacing w:after="0"/>
              <w:rPr>
                <w:sz w:val="8"/>
                <w:szCs w:val="8"/>
                <w:color w:val="auto"/>
              </w:rPr>
            </w:pPr>
          </w:p>
        </w:tc>
        <w:tc>
          <w:tcPr>
            <w:tcW w:w="880" w:type="dxa"/>
            <w:vAlign w:val="bottom"/>
          </w:tcPr>
          <w:p>
            <w:pPr>
              <w:jc w:val="center"/>
              <w:ind w:right="46"/>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30"/>
        </w:trPr>
        <w:tc>
          <w:tcPr>
            <w:tcW w:w="1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87"/>
              <w:spacing w:after="0" w:line="131"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820" w:type="dxa"/>
            <w:vAlign w:val="bottom"/>
          </w:tcPr>
          <w:p>
            <w:pPr>
              <w:jc w:val="right"/>
              <w:ind w:right="27"/>
              <w:spacing w:after="0" w:line="131"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1"/>
                <w:szCs w:val="11"/>
                <w:color w:val="auto"/>
              </w:rPr>
            </w:pPr>
          </w:p>
        </w:tc>
        <w:tc>
          <w:tcPr>
            <w:tcW w:w="980" w:type="dxa"/>
            <w:vAlign w:val="bottom"/>
          </w:tcPr>
          <w:p>
            <w:pPr>
              <w:jc w:val="center"/>
              <w:ind w:right="3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1"/>
                <w:szCs w:val="11"/>
                <w:color w:val="auto"/>
              </w:rPr>
            </w:pPr>
          </w:p>
        </w:tc>
        <w:tc>
          <w:tcPr>
            <w:tcW w:w="880" w:type="dxa"/>
            <w:vAlign w:val="bottom"/>
          </w:tcPr>
          <w:p>
            <w:pPr>
              <w:jc w:val="center"/>
              <w:ind w:right="46"/>
              <w:spacing w:after="0" w:line="131" w:lineRule="exact"/>
              <w:rPr>
                <w:sz w:val="20"/>
                <w:szCs w:val="20"/>
                <w:color w:val="auto"/>
              </w:rPr>
            </w:pPr>
            <w:r>
              <w:rPr>
                <w:rFonts w:ascii="Arial" w:cs="Arial" w:eastAsia="Arial" w:hAnsi="Arial"/>
                <w:sz w:val="13"/>
                <w:szCs w:val="13"/>
                <w:b w:val="1"/>
                <w:bCs w:val="1"/>
                <w:color w:val="auto"/>
                <w:w w:val="86"/>
              </w:rPr>
              <w:t>equity and</w:t>
            </w:r>
          </w:p>
        </w:tc>
        <w:tc>
          <w:tcPr>
            <w:tcW w:w="0" w:type="dxa"/>
            <w:vAlign w:val="bottom"/>
          </w:tcPr>
          <w:p>
            <w:pPr>
              <w:spacing w:after="0"/>
              <w:rPr>
                <w:sz w:val="1"/>
                <w:szCs w:val="1"/>
                <w:color w:val="auto"/>
              </w:rPr>
            </w:pPr>
          </w:p>
        </w:tc>
      </w:tr>
      <w:tr>
        <w:trPr>
          <w:trHeight w:val="174"/>
        </w:trPr>
        <w:tc>
          <w:tcPr>
            <w:tcW w:w="1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Shares</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7"/>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5"/>
              </w:rPr>
              <w:t>interest</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members’ deficit</w:t>
            </w:r>
          </w:p>
        </w:tc>
        <w:tc>
          <w:tcPr>
            <w:tcW w:w="0" w:type="dxa"/>
            <w:vAlign w:val="bottom"/>
          </w:tcPr>
          <w:p>
            <w:pPr>
              <w:spacing w:after="0"/>
              <w:rPr>
                <w:sz w:val="1"/>
                <w:szCs w:val="1"/>
                <w:color w:val="auto"/>
              </w:rPr>
            </w:pPr>
          </w:p>
        </w:tc>
      </w:tr>
      <w:tr>
        <w:trPr>
          <w:trHeight w:val="139"/>
        </w:trPr>
        <w:tc>
          <w:tcPr>
            <w:tcW w:w="1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w w:val="95"/>
              </w:rPr>
              <w:t>Balance at December 31,</w:t>
            </w:r>
          </w:p>
        </w:tc>
        <w:tc>
          <w:tcPr>
            <w:tcW w:w="1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116,072,991</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1</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58,586,695</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554,924</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(129,186)</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572,251</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(5,301)</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178,169</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599,017</w:t>
            </w:r>
          </w:p>
        </w:tc>
        <w:tc>
          <w:tcPr>
            <w:tcW w:w="0" w:type="dxa"/>
            <w:vAlign w:val="bottom"/>
          </w:tcPr>
          <w:p>
            <w:pPr>
              <w:spacing w:after="0"/>
              <w:rPr>
                <w:sz w:val="1"/>
                <w:szCs w:val="1"/>
                <w:color w:val="auto"/>
              </w:rPr>
            </w:pPr>
          </w:p>
        </w:tc>
      </w:tr>
      <w:tr>
        <w:trPr>
          <w:trHeight w:val="182"/>
        </w:trPr>
        <w:tc>
          <w:tcPr>
            <w:tcW w:w="1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(24,855)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(12,542)</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(37,397)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3"/>
              </w:rPr>
              <w:t>Stock-based compensation</w:t>
            </w:r>
          </w:p>
        </w:tc>
        <w:tc>
          <w:tcPr>
            <w:tcW w:w="1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expense and related</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127,576</w:t>
            </w:r>
          </w:p>
        </w:tc>
        <w:tc>
          <w:tcPr>
            <w:tcW w:w="3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7,286</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7,286</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w:t>
            </w: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0"/>
              <w:spacing w:after="0" w:line="143" w:lineRule="exact"/>
              <w:rPr>
                <w:sz w:val="20"/>
                <w:szCs w:val="20"/>
                <w:color w:val="auto"/>
              </w:rPr>
            </w:pPr>
            <w:r>
              <w:rPr>
                <w:rFonts w:ascii="Arial" w:cs="Arial" w:eastAsia="Arial" w:hAnsi="Arial"/>
                <w:sz w:val="14"/>
                <w:szCs w:val="14"/>
                <w:color w:val="auto"/>
                <w:w w:val="93"/>
              </w:rPr>
              <w:t>Effect of remeasurement of</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41" w:lineRule="exact"/>
              <w:rPr>
                <w:sz w:val="20"/>
                <w:szCs w:val="20"/>
                <w:color w:val="auto"/>
              </w:rPr>
            </w:pPr>
            <w:r>
              <w:rPr>
                <w:rFonts w:ascii="Arial" w:cs="Arial" w:eastAsia="Arial" w:hAnsi="Arial"/>
                <w:sz w:val="14"/>
                <w:szCs w:val="14"/>
                <w:color w:val="auto"/>
              </w:rPr>
              <w:t>non-controlling interest</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0"/>
              <w:spacing w:after="0" w:line="143" w:lineRule="exact"/>
              <w:rPr>
                <w:sz w:val="20"/>
                <w:szCs w:val="20"/>
                <w:color w:val="auto"/>
              </w:rPr>
            </w:pPr>
            <w:r>
              <w:rPr>
                <w:rFonts w:ascii="Arial" w:cs="Arial" w:eastAsia="Arial" w:hAnsi="Arial"/>
                <w:sz w:val="14"/>
                <w:szCs w:val="14"/>
                <w:color w:val="auto"/>
              </w:rPr>
              <w:t>due to other share</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Proceeds from exercise of</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285,893</w:t>
            </w:r>
          </w:p>
        </w:tc>
        <w:tc>
          <w:tcPr>
            <w:tcW w:w="30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41" w:lineRule="exact"/>
              <w:rPr>
                <w:sz w:val="20"/>
                <w:szCs w:val="20"/>
                <w:color w:val="auto"/>
              </w:rPr>
            </w:pPr>
            <w:r>
              <w:rPr>
                <w:rFonts w:ascii="Arial" w:cs="Arial" w:eastAsia="Arial" w:hAnsi="Arial"/>
                <w:sz w:val="14"/>
                <w:szCs w:val="14"/>
                <w:color w:val="auto"/>
              </w:rPr>
              <w:t>translation loss, net of</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0"/>
              <w:spacing w:after="0" w:line="143" w:lineRule="exact"/>
              <w:rPr>
                <w:sz w:val="20"/>
                <w:szCs w:val="20"/>
                <w:color w:val="auto"/>
              </w:rPr>
            </w:pPr>
            <w:r>
              <w:rPr>
                <w:rFonts w:ascii="Arial" w:cs="Arial" w:eastAsia="Arial" w:hAnsi="Arial"/>
                <w:sz w:val="14"/>
                <w:szCs w:val="14"/>
                <w:color w:val="auto"/>
                <w:w w:val="92"/>
              </w:rPr>
              <w:t>income tax expense of $0.1</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Pr>
          <w:p>
            <w:pPr>
              <w:ind w:left="20"/>
              <w:spacing w:after="0"/>
              <w:rPr>
                <w:sz w:val="20"/>
                <w:szCs w:val="20"/>
                <w:color w:val="auto"/>
              </w:rPr>
            </w:pPr>
            <w:r>
              <w:rPr>
                <w:rFonts w:ascii="Arial" w:cs="Arial" w:eastAsia="Arial" w:hAnsi="Arial"/>
                <w:sz w:val="14"/>
                <w:szCs w:val="14"/>
                <w:color w:val="auto"/>
              </w:rPr>
              <w:t>million</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(975)</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26"/>
        </w:trPr>
        <w:tc>
          <w:tcPr>
            <w:tcW w:w="1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Balance at March 31,</w:t>
            </w:r>
          </w:p>
        </w:tc>
        <w:tc>
          <w:tcPr>
            <w:tcW w:w="106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rPr>
              <w:t>116,486,460</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1</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6"/>
                <w:szCs w:val="16"/>
                <w:color w:val="auto"/>
              </w:rPr>
              <w:t>58,586,695</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563,222</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(154,041)</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572,251</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(5,301)</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164,679</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567,995</w:t>
            </w:r>
          </w:p>
        </w:tc>
        <w:tc>
          <w:tcPr>
            <w:tcW w:w="0" w:type="dxa"/>
            <w:vAlign w:val="bottom"/>
          </w:tcPr>
          <w:p>
            <w:pPr>
              <w:spacing w:after="0"/>
              <w:rPr>
                <w:sz w:val="1"/>
                <w:szCs w:val="1"/>
                <w:color w:val="auto"/>
              </w:rPr>
            </w:pPr>
          </w:p>
        </w:tc>
      </w:tr>
      <w:tr>
        <w:trPr>
          <w:trHeight w:val="220"/>
        </w:trPr>
        <w:tc>
          <w:tcPr>
            <w:tcW w:w="1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2023</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620" w:type="dxa"/>
            <w:vAlign w:val="bottom"/>
          </w:tcPr>
          <w:p>
            <w:pPr>
              <w:ind w:left="20"/>
              <w:spacing w:after="0" w:line="112" w:lineRule="exact"/>
              <w:rPr>
                <w:sz w:val="20"/>
                <w:szCs w:val="20"/>
                <w:color w:val="auto"/>
              </w:rPr>
            </w:pPr>
            <w:r>
              <w:rPr>
                <w:rFonts w:ascii="Arial" w:cs="Arial" w:eastAsia="Arial" w:hAnsi="Arial"/>
                <w:sz w:val="12"/>
                <w:szCs w:val="12"/>
                <w:b w:val="1"/>
                <w:bCs w:val="1"/>
                <w:color w:val="auto"/>
              </w:rPr>
              <w:t>Balance at September 30,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114,873,121</w:t>
            </w:r>
          </w:p>
        </w:tc>
        <w:tc>
          <w:tcPr>
            <w:tcW w:w="300" w:type="dxa"/>
            <w:vAlign w:val="bottom"/>
          </w:tcPr>
          <w:p>
            <w:pPr>
              <w:spacing w:after="0"/>
              <w:rPr>
                <w:sz w:val="9"/>
                <w:szCs w:val="9"/>
                <w:color w:val="auto"/>
              </w:rPr>
            </w:pPr>
          </w:p>
        </w:tc>
        <w:tc>
          <w:tcPr>
            <w:tcW w:w="400" w:type="dxa"/>
            <w:vAlign w:val="bottom"/>
            <w:vMerge w:val="restart"/>
          </w:tcPr>
          <w:p>
            <w:pPr>
              <w:jc w:val="right"/>
              <w:ind w:right="65"/>
              <w:spacing w:after="0"/>
              <w:rPr>
                <w:sz w:val="20"/>
                <w:szCs w:val="20"/>
                <w:color w:val="auto"/>
              </w:rPr>
            </w:pPr>
            <w:r>
              <w:rPr>
                <w:rFonts w:ascii="Arial" w:cs="Arial" w:eastAsia="Arial" w:hAnsi="Arial"/>
                <w:sz w:val="14"/>
                <w:szCs w:val="14"/>
                <w:color w:val="auto"/>
              </w:rPr>
              <w:t>1</w:t>
            </w: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58,586,695</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542,602</w:t>
            </w:r>
          </w:p>
        </w:tc>
        <w:tc>
          <w:tcPr>
            <w:tcW w:w="1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(104,544)</w:t>
            </w: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2,784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550,904</w:t>
            </w:r>
          </w:p>
        </w:tc>
        <w:tc>
          <w:tcPr>
            <w:tcW w:w="1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(5,013)</w:t>
            </w:r>
          </w:p>
        </w:tc>
        <w:tc>
          <w:tcPr>
            <w:tcW w:w="14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193,378</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629,208</w:t>
            </w:r>
          </w:p>
        </w:tc>
        <w:tc>
          <w:tcPr>
            <w:tcW w:w="0" w:type="dxa"/>
            <w:vAlign w:val="bottom"/>
          </w:tcPr>
          <w:p>
            <w:pPr>
              <w:spacing w:after="0"/>
              <w:rPr>
                <w:sz w:val="1"/>
                <w:szCs w:val="1"/>
                <w:color w:val="auto"/>
              </w:rPr>
            </w:pPr>
          </w:p>
        </w:tc>
      </w:tr>
      <w:tr>
        <w:trPr>
          <w:trHeight w:val="194"/>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(74,590)</w:t>
            </w:r>
          </w:p>
        </w:tc>
        <w:tc>
          <w:tcPr>
            <w:tcW w:w="0" w:type="dxa"/>
            <w:vAlign w:val="bottom"/>
          </w:tcPr>
          <w:p>
            <w:pPr>
              <w:spacing w:after="0"/>
              <w:rPr>
                <w:sz w:val="1"/>
                <w:szCs w:val="1"/>
                <w:color w:val="auto"/>
              </w:rPr>
            </w:pPr>
          </w:p>
        </w:tc>
      </w:tr>
      <w:tr>
        <w:trPr>
          <w:trHeight w:val="143"/>
        </w:trPr>
        <w:tc>
          <w:tcPr>
            <w:tcW w:w="1620" w:type="dxa"/>
            <w:vAlign w:val="bottom"/>
          </w:tcPr>
          <w:p>
            <w:pPr>
              <w:ind w:left="20"/>
              <w:spacing w:after="0" w:line="143" w:lineRule="exact"/>
              <w:rPr>
                <w:sz w:val="20"/>
                <w:szCs w:val="20"/>
                <w:color w:val="auto"/>
              </w:rPr>
            </w:pPr>
            <w:r>
              <w:rPr>
                <w:rFonts w:ascii="Arial" w:cs="Arial" w:eastAsia="Arial" w:hAnsi="Arial"/>
                <w:sz w:val="14"/>
                <w:szCs w:val="14"/>
                <w:color w:val="auto"/>
                <w:w w:val="93"/>
              </w:rPr>
              <w:t>Stock-based compensation</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41" w:lineRule="exact"/>
              <w:rPr>
                <w:sz w:val="20"/>
                <w:szCs w:val="20"/>
                <w:color w:val="auto"/>
              </w:rPr>
            </w:pPr>
            <w:r>
              <w:rPr>
                <w:rFonts w:ascii="Arial" w:cs="Arial" w:eastAsia="Arial" w:hAnsi="Arial"/>
                <w:sz w:val="14"/>
                <w:szCs w:val="14"/>
                <w:color w:val="auto"/>
              </w:rPr>
              <w:t>expense and related</w:t>
            </w:r>
          </w:p>
        </w:tc>
        <w:tc>
          <w:tcPr>
            <w:tcW w:w="1060" w:type="dxa"/>
            <w:vAlign w:val="bottom"/>
            <w:vMerge w:val="restart"/>
          </w:tcPr>
          <w:p>
            <w:pPr>
              <w:jc w:val="right"/>
              <w:ind w:right="7"/>
              <w:spacing w:after="0"/>
              <w:rPr>
                <w:sz w:val="20"/>
                <w:szCs w:val="20"/>
                <w:color w:val="auto"/>
              </w:rPr>
            </w:pPr>
            <w:r>
              <w:rPr>
                <w:rFonts w:ascii="Arial" w:cs="Arial" w:eastAsia="Arial" w:hAnsi="Arial"/>
                <w:sz w:val="16"/>
                <w:szCs w:val="16"/>
                <w:color w:val="auto"/>
              </w:rPr>
              <w:t>308,260</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15,763</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6"/>
                <w:szCs w:val="16"/>
                <w:color w:val="auto"/>
              </w:rPr>
              <w:t>15,763</w:t>
            </w:r>
          </w:p>
        </w:tc>
        <w:tc>
          <w:tcPr>
            <w:tcW w:w="0" w:type="dxa"/>
            <w:vAlign w:val="bottom"/>
          </w:tcPr>
          <w:p>
            <w:pPr>
              <w:spacing w:after="0"/>
              <w:rPr>
                <w:sz w:val="1"/>
                <w:szCs w:val="1"/>
                <w:color w:val="auto"/>
              </w:rPr>
            </w:pPr>
          </w:p>
        </w:tc>
      </w:tr>
      <w:tr>
        <w:trPr>
          <w:trHeight w:val="200"/>
        </w:trPr>
        <w:tc>
          <w:tcPr>
            <w:tcW w:w="1620" w:type="dxa"/>
            <w:vAlign w:val="bottom"/>
          </w:tcPr>
          <w:p>
            <w:pPr>
              <w:ind w:left="20"/>
              <w:spacing w:after="0"/>
              <w:rPr>
                <w:sz w:val="20"/>
                <w:szCs w:val="20"/>
                <w:color w:val="auto"/>
              </w:rPr>
            </w:pPr>
            <w:r>
              <w:rPr>
                <w:rFonts w:ascii="Arial" w:cs="Arial" w:eastAsia="Arial" w:hAnsi="Arial"/>
                <w:sz w:val="14"/>
                <w:szCs w:val="14"/>
                <w:color w:val="auto"/>
              </w:rPr>
              <w:t>vesting</w:t>
            </w:r>
          </w:p>
        </w:tc>
        <w:tc>
          <w:tcPr>
            <w:tcW w:w="1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Repurchase of Common</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(21,347)</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21,347</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194"/>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Stock placed into Treasury</w:t>
            </w:r>
          </w:p>
        </w:tc>
        <w:tc>
          <w:tcPr>
            <w:tcW w:w="10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0"/>
              <w:spacing w:after="0" w:line="143" w:lineRule="exact"/>
              <w:rPr>
                <w:sz w:val="20"/>
                <w:szCs w:val="20"/>
                <w:color w:val="auto"/>
              </w:rPr>
            </w:pPr>
            <w:r>
              <w:rPr>
                <w:rFonts w:ascii="Arial" w:cs="Arial" w:eastAsia="Arial" w:hAnsi="Arial"/>
                <w:sz w:val="14"/>
                <w:szCs w:val="14"/>
                <w:color w:val="auto"/>
                <w:w w:val="93"/>
              </w:rPr>
              <w:t>Effect of remeasurement of</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line="149" w:lineRule="exact"/>
              <w:rPr>
                <w:sz w:val="20"/>
                <w:szCs w:val="20"/>
                <w:color w:val="auto"/>
              </w:rPr>
            </w:pPr>
            <w:r>
              <w:rPr>
                <w:rFonts w:ascii="Arial" w:cs="Arial" w:eastAsia="Arial" w:hAnsi="Arial"/>
                <w:sz w:val="14"/>
                <w:szCs w:val="14"/>
                <w:color w:val="auto"/>
              </w:rPr>
              <w:t>non-controlling interest</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41" w:lineRule="exact"/>
              <w:rPr>
                <w:sz w:val="20"/>
                <w:szCs w:val="20"/>
                <w:color w:val="auto"/>
              </w:rPr>
            </w:pPr>
            <w:r>
              <w:rPr>
                <w:rFonts w:ascii="Arial" w:cs="Arial" w:eastAsia="Arial" w:hAnsi="Arial"/>
                <w:sz w:val="14"/>
                <w:szCs w:val="14"/>
                <w:color w:val="auto"/>
              </w:rPr>
              <w:t>due to other share</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12"/>
                <w:szCs w:val="12"/>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62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7"/>
              </w:rPr>
              <w:t>Proceeds from exercise of</w:t>
            </w:r>
          </w:p>
        </w:tc>
        <w:tc>
          <w:tcPr>
            <w:tcW w:w="106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rPr>
              <w:t>1,326,426</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194"/>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0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0"/>
              <w:spacing w:after="0" w:line="149" w:lineRule="exact"/>
              <w:rPr>
                <w:sz w:val="20"/>
                <w:szCs w:val="20"/>
                <w:color w:val="auto"/>
              </w:rPr>
            </w:pPr>
            <w:r>
              <w:rPr>
                <w:rFonts w:ascii="Arial" w:cs="Arial" w:eastAsia="Arial" w:hAnsi="Arial"/>
                <w:sz w:val="14"/>
                <w:szCs w:val="14"/>
                <w:color w:val="auto"/>
              </w:rPr>
              <w:t>translation loss, net of</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41" w:lineRule="exact"/>
              <w:rPr>
                <w:sz w:val="20"/>
                <w:szCs w:val="20"/>
                <w:color w:val="auto"/>
              </w:rPr>
            </w:pPr>
            <w:r>
              <w:rPr>
                <w:rFonts w:ascii="Arial" w:cs="Arial" w:eastAsia="Arial" w:hAnsi="Arial"/>
                <w:sz w:val="14"/>
                <w:szCs w:val="14"/>
                <w:color w:val="auto"/>
              </w:rPr>
              <w:t>income tax expense of</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(3,349)</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(5,054)</w:t>
            </w:r>
          </w:p>
        </w:tc>
        <w:tc>
          <w:tcPr>
            <w:tcW w:w="0" w:type="dxa"/>
            <w:vAlign w:val="bottom"/>
          </w:tcPr>
          <w:p>
            <w:pPr>
              <w:spacing w:after="0"/>
              <w:rPr>
                <w:sz w:val="1"/>
                <w:szCs w:val="1"/>
                <w:color w:val="auto"/>
              </w:rPr>
            </w:pPr>
          </w:p>
        </w:tc>
      </w:tr>
      <w:tr>
        <w:trPr>
          <w:trHeight w:val="200"/>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$0.4 million</w:t>
            </w:r>
          </w:p>
        </w:tc>
        <w:tc>
          <w:tcPr>
            <w:tcW w:w="1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b w:val="1"/>
                <w:bCs w:val="1"/>
                <w:color w:val="auto"/>
              </w:rPr>
              <w:t>Balance at March 31,</w:t>
            </w:r>
          </w:p>
        </w:tc>
        <w:tc>
          <w:tcPr>
            <w:tcW w:w="106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rPr>
              <w:t>116,486,460</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1</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6"/>
                <w:szCs w:val="16"/>
                <w:color w:val="auto"/>
              </w:rPr>
              <w:t>58,586,695</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563,222</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(154,041)</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572,251</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(5,301)</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164,679</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567,995</w:t>
            </w:r>
          </w:p>
        </w:tc>
        <w:tc>
          <w:tcPr>
            <w:tcW w:w="0" w:type="dxa"/>
            <w:vAlign w:val="bottom"/>
          </w:tcPr>
          <w:p>
            <w:pPr>
              <w:spacing w:after="0"/>
              <w:rPr>
                <w:sz w:val="1"/>
                <w:szCs w:val="1"/>
                <w:color w:val="auto"/>
              </w:rPr>
            </w:pPr>
          </w:p>
        </w:tc>
      </w:tr>
      <w:tr>
        <w:trPr>
          <w:trHeight w:val="215"/>
        </w:trPr>
        <w:tc>
          <w:tcPr>
            <w:tcW w:w="1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2023</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13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Members’</w:t>
            </w:r>
          </w:p>
        </w:tc>
        <w:tc>
          <w:tcPr>
            <w:tcW w:w="1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1680" w:type="dxa"/>
            <w:vAlign w:val="bottom"/>
            <w:gridSpan w:val="3"/>
          </w:tcPr>
          <w:p>
            <w:pPr>
              <w:jc w:val="right"/>
              <w:ind w:right="510"/>
              <w:spacing w:after="0" w:line="135" w:lineRule="exact"/>
              <w:rPr>
                <w:sz w:val="20"/>
                <w:szCs w:val="20"/>
                <w:color w:val="auto"/>
              </w:rPr>
            </w:pPr>
            <w:r>
              <w:rPr>
                <w:rFonts w:ascii="Arial" w:cs="Arial" w:eastAsia="Arial" w:hAnsi="Arial"/>
                <w:sz w:val="13"/>
                <w:szCs w:val="13"/>
                <w:b w:val="1"/>
                <w:bCs w:val="1"/>
                <w:color w:val="auto"/>
              </w:rPr>
              <w:t>Class B-1</w:t>
            </w:r>
          </w:p>
        </w:tc>
        <w:tc>
          <w:tcPr>
            <w:tcW w:w="88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6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5"/>
              </w:rPr>
              <w:t>Common Stock</w:t>
            </w:r>
          </w:p>
        </w:tc>
        <w:tc>
          <w:tcPr>
            <w:tcW w:w="1680" w:type="dxa"/>
            <w:vAlign w:val="bottom"/>
            <w:gridSpan w:val="3"/>
          </w:tcPr>
          <w:p>
            <w:pPr>
              <w:jc w:val="right"/>
              <w:ind w:right="350"/>
              <w:spacing w:after="0" w:line="122" w:lineRule="exact"/>
              <w:rPr>
                <w:sz w:val="20"/>
                <w:szCs w:val="20"/>
                <w:color w:val="auto"/>
              </w:rPr>
            </w:pPr>
            <w:r>
              <w:rPr>
                <w:rFonts w:ascii="Arial" w:cs="Arial" w:eastAsia="Arial" w:hAnsi="Arial"/>
                <w:sz w:val="13"/>
                <w:szCs w:val="13"/>
                <w:b w:val="1"/>
                <w:bCs w:val="1"/>
                <w:color w:val="auto"/>
              </w:rPr>
              <w:t>Common Stock</w:t>
            </w: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10"/>
              <w:spacing w:after="0" w:line="122" w:lineRule="exact"/>
              <w:rPr>
                <w:sz w:val="20"/>
                <w:szCs w:val="20"/>
                <w:color w:val="auto"/>
              </w:rPr>
            </w:pPr>
            <w:r>
              <w:rPr>
                <w:rFonts w:ascii="Arial" w:cs="Arial" w:eastAsia="Arial" w:hAnsi="Arial"/>
                <w:sz w:val="13"/>
                <w:szCs w:val="13"/>
                <w:b w:val="1"/>
                <w:bCs w:val="1"/>
                <w:color w:val="auto"/>
                <w:w w:val="86"/>
              </w:rPr>
              <w:t>equity and</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840" w:type="dxa"/>
            <w:vAlign w:val="bottom"/>
            <w:vMerge w:val="restart"/>
          </w:tcPr>
          <w:p>
            <w:pPr>
              <w:jc w:val="right"/>
              <w:ind w:right="111"/>
              <w:spacing w:after="0" w:line="122" w:lineRule="exact"/>
              <w:rPr>
                <w:sz w:val="20"/>
                <w:szCs w:val="20"/>
                <w:color w:val="auto"/>
              </w:rPr>
            </w:pPr>
            <w:r>
              <w:rPr>
                <w:rFonts w:ascii="Arial" w:cs="Arial" w:eastAsia="Arial" w:hAnsi="Arial"/>
                <w:sz w:val="13"/>
                <w:szCs w:val="13"/>
                <w:b w:val="1"/>
                <w:bCs w:val="1"/>
                <w:color w:val="auto"/>
                <w:w w:val="98"/>
              </w:rPr>
              <w:t>Mezzanine</w:t>
            </w:r>
          </w:p>
        </w:tc>
        <w:tc>
          <w:tcPr>
            <w:tcW w:w="90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7"/>
              </w:rPr>
              <w:t>capital</w:t>
            </w: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80" w:type="dxa"/>
            <w:vAlign w:val="bottom"/>
            <w:vMerge w:val="restart"/>
          </w:tcPr>
          <w:p>
            <w:pPr>
              <w:jc w:val="right"/>
              <w:ind w:right="170"/>
              <w:spacing w:after="0" w:line="122"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4"/>
                <w:szCs w:val="4"/>
                <w:color w:val="auto"/>
              </w:rPr>
            </w:pPr>
          </w:p>
        </w:tc>
        <w:tc>
          <w:tcPr>
            <w:tcW w:w="820" w:type="dxa"/>
            <w:vAlign w:val="bottom"/>
            <w:vMerge w:val="restart"/>
          </w:tcPr>
          <w:p>
            <w:pPr>
              <w:jc w:val="right"/>
              <w:ind w:right="30"/>
              <w:spacing w:after="0" w:line="122" w:lineRule="exact"/>
              <w:rPr>
                <w:sz w:val="20"/>
                <w:szCs w:val="20"/>
                <w:color w:val="auto"/>
              </w:rPr>
            </w:pPr>
            <w:r>
              <w:rPr>
                <w:rFonts w:ascii="Arial" w:cs="Arial" w:eastAsia="Arial" w:hAnsi="Arial"/>
                <w:sz w:val="13"/>
                <w:szCs w:val="13"/>
                <w:b w:val="1"/>
                <w:bCs w:val="1"/>
                <w:color w:val="auto"/>
                <w:w w:val="85"/>
              </w:rPr>
              <w:t>Accumulated</w:t>
            </w:r>
          </w:p>
        </w:tc>
        <w:tc>
          <w:tcPr>
            <w:tcW w:w="1000" w:type="dxa"/>
            <w:vAlign w:val="bottom"/>
            <w:gridSpan w:val="2"/>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2"/>
            <w:vMerge w:val="restart"/>
          </w:tcPr>
          <w:p>
            <w:pPr>
              <w:ind w:left="20"/>
              <w:spacing w:after="0" w:line="122"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4"/>
                <w:szCs w:val="4"/>
                <w:color w:val="auto"/>
              </w:rPr>
            </w:pPr>
          </w:p>
        </w:tc>
        <w:tc>
          <w:tcPr>
            <w:tcW w:w="84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7"/>
              </w:rPr>
              <w:t>members’</w:t>
            </w: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88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Shares</w:t>
            </w:r>
          </w:p>
        </w:tc>
        <w:tc>
          <w:tcPr>
            <w:tcW w:w="74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Amount</w:t>
            </w:r>
          </w:p>
        </w:tc>
        <w:tc>
          <w:tcPr>
            <w:tcW w:w="840" w:type="dxa"/>
            <w:vAlign w:val="bottom"/>
            <w:vMerge w:val="restart"/>
          </w:tcPr>
          <w:p>
            <w:pPr>
              <w:jc w:val="right"/>
              <w:ind w:right="152"/>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4"/>
                <w:szCs w:val="4"/>
                <w:color w:val="auto"/>
              </w:rPr>
            </w:pPr>
          </w:p>
        </w:tc>
        <w:tc>
          <w:tcPr>
            <w:tcW w:w="68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w w:val="97"/>
              </w:rPr>
              <w:t>Amount</w:t>
            </w: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840" w:type="dxa"/>
            <w:vAlign w:val="bottom"/>
          </w:tcPr>
          <w:p>
            <w:pPr>
              <w:jc w:val="right"/>
              <w:ind w:right="211"/>
              <w:spacing w:after="0"/>
              <w:rPr>
                <w:sz w:val="20"/>
                <w:szCs w:val="20"/>
                <w:color w:val="auto"/>
              </w:rPr>
            </w:pPr>
            <w:r>
              <w:rPr>
                <w:rFonts w:ascii="Arial" w:cs="Arial" w:eastAsia="Arial" w:hAnsi="Arial"/>
                <w:sz w:val="13"/>
                <w:szCs w:val="13"/>
                <w:b w:val="1"/>
                <w:bCs w:val="1"/>
                <w:color w:val="auto"/>
              </w:rPr>
              <w:t>Equity</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6"/>
              </w:rPr>
              <w:t>contributions</w:t>
            </w: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80" w:type="dxa"/>
            <w:vAlign w:val="bottom"/>
          </w:tcPr>
          <w:p>
            <w:pPr>
              <w:jc w:val="right"/>
              <w:ind w:right="17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20" w:type="dxa"/>
            <w:vAlign w:val="bottom"/>
          </w:tcPr>
          <w:p>
            <w:pPr>
              <w:jc w:val="right"/>
              <w:ind w:right="21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Arial" w:cs="Arial" w:eastAsia="Arial" w:hAnsi="Arial"/>
                <w:sz w:val="13"/>
                <w:szCs w:val="13"/>
                <w:b w:val="1"/>
                <w:bCs w:val="1"/>
                <w:color w:val="auto"/>
                <w:w w:val="86"/>
              </w:rPr>
              <w:t>Income (Loss)</w:t>
            </w:r>
          </w:p>
        </w:tc>
        <w:tc>
          <w:tcPr>
            <w:tcW w:w="180" w:type="dxa"/>
            <w:vAlign w:val="bottom"/>
          </w:tcPr>
          <w:p>
            <w:pPr>
              <w:spacing w:after="0"/>
              <w:rPr>
                <w:sz w:val="14"/>
                <w:szCs w:val="14"/>
                <w:color w:val="auto"/>
              </w:rPr>
            </w:pPr>
          </w:p>
        </w:tc>
        <w:tc>
          <w:tcPr>
            <w:tcW w:w="740" w:type="dxa"/>
            <w:vAlign w:val="bottom"/>
          </w:tcPr>
          <w:p>
            <w:pPr>
              <w:jc w:val="right"/>
              <w:ind w:right="189"/>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4"/>
                <w:szCs w:val="14"/>
                <w:color w:val="auto"/>
              </w:rPr>
            </w:pPr>
          </w:p>
        </w:tc>
        <w:tc>
          <w:tcPr>
            <w:tcW w:w="840" w:type="dxa"/>
            <w:vAlign w:val="bottom"/>
          </w:tcPr>
          <w:p>
            <w:pPr>
              <w:jc w:val="center"/>
              <w:ind w:right="30"/>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25"/>
        </w:trPr>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3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Balance at</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54,143,275</w:t>
            </w:r>
          </w:p>
        </w:tc>
        <w:tc>
          <w:tcPr>
            <w:tcW w:w="7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117,173,390</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281,347</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(28,805)</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525,553</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778,100</w:t>
            </w:r>
          </w:p>
        </w:tc>
        <w:tc>
          <w:tcPr>
            <w:tcW w:w="0" w:type="dxa"/>
            <w:vAlign w:val="bottom"/>
          </w:tcPr>
          <w:p>
            <w:pPr>
              <w:spacing w:after="0"/>
              <w:rPr>
                <w:sz w:val="1"/>
                <w:szCs w:val="1"/>
                <w:color w:val="auto"/>
              </w:rPr>
            </w:pPr>
          </w:p>
        </w:tc>
      </w:tr>
      <w:tr>
        <w:trPr>
          <w:trHeight w:val="194"/>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(19,185)</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(41,519)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(60,704)</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Other comprehensive</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0"/>
              <w:spacing w:after="0" w:line="143" w:lineRule="exact"/>
              <w:rPr>
                <w:sz w:val="20"/>
                <w:szCs w:val="20"/>
                <w:color w:val="auto"/>
              </w:rPr>
            </w:pPr>
            <w:r>
              <w:rPr>
                <w:rFonts w:ascii="Arial" w:cs="Arial" w:eastAsia="Arial" w:hAnsi="Arial"/>
                <w:sz w:val="14"/>
                <w:szCs w:val="14"/>
                <w:color w:val="auto"/>
              </w:rPr>
              <w:t>loss, net of income</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20"/>
              <w:spacing w:after="0"/>
              <w:rPr>
                <w:sz w:val="20"/>
                <w:szCs w:val="20"/>
                <w:color w:val="auto"/>
              </w:rPr>
            </w:pPr>
            <w:r>
              <w:rPr>
                <w:rFonts w:ascii="Arial" w:cs="Arial" w:eastAsia="Arial" w:hAnsi="Arial"/>
                <w:sz w:val="14"/>
                <w:szCs w:val="14"/>
                <w:color w:val="auto"/>
              </w:rPr>
              <w:t>tax benefit of $0</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Activity under stock-</w:t>
            </w: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based compensation</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8,081</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8,081</w:t>
            </w:r>
          </w:p>
        </w:tc>
        <w:tc>
          <w:tcPr>
            <w:tcW w:w="0" w:type="dxa"/>
            <w:vAlign w:val="bottom"/>
          </w:tcPr>
          <w:p>
            <w:pPr>
              <w:spacing w:after="0"/>
              <w:rPr>
                <w:sz w:val="1"/>
                <w:szCs w:val="1"/>
                <w:color w:val="auto"/>
              </w:rPr>
            </w:pPr>
          </w:p>
        </w:tc>
      </w:tr>
      <w:tr>
        <w:trPr>
          <w:trHeight w:val="128"/>
        </w:trPr>
        <w:tc>
          <w:tcPr>
            <w:tcW w:w="138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Balance at March</w:t>
            </w:r>
          </w:p>
        </w:tc>
        <w:tc>
          <w:tcPr>
            <w:tcW w:w="8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54,143,275</w:t>
            </w:r>
          </w:p>
        </w:tc>
        <w:tc>
          <w:tcPr>
            <w:tcW w:w="740" w:type="dxa"/>
            <w:vAlign w:val="bottom"/>
            <w:tcBorders>
              <w:top w:val="single" w:sz="8" w:color="auto"/>
            </w:tcBorders>
            <w:vMerge w:val="restart"/>
          </w:tcPr>
          <w:p>
            <w:pPr>
              <w:ind w:left="5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117,173,390</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289,428</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(47,990)</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484,020</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725,457</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31, 2022</w:t>
            </w:r>
          </w:p>
        </w:tc>
        <w:tc>
          <w:tcPr>
            <w:tcW w:w="8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Balance at</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2021</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117,235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106,152</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(279,301)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(173,434)</w:t>
            </w:r>
          </w:p>
        </w:tc>
        <w:tc>
          <w:tcPr>
            <w:tcW w:w="0" w:type="dxa"/>
            <w:vAlign w:val="bottom"/>
          </w:tcPr>
          <w:p>
            <w:pPr>
              <w:spacing w:after="0"/>
              <w:rPr>
                <w:sz w:val="1"/>
                <w:szCs w:val="1"/>
                <w:color w:val="auto"/>
              </w:rPr>
            </w:pPr>
          </w:p>
        </w:tc>
      </w:tr>
      <w:tr>
        <w:trPr>
          <w:trHeight w:val="143"/>
        </w:trPr>
        <w:tc>
          <w:tcPr>
            <w:tcW w:w="1380" w:type="dxa"/>
            <w:vAlign w:val="bottom"/>
          </w:tcPr>
          <w:p>
            <w:pPr>
              <w:ind w:left="20"/>
              <w:spacing w:after="0" w:line="143" w:lineRule="exact"/>
              <w:rPr>
                <w:sz w:val="20"/>
                <w:szCs w:val="20"/>
                <w:color w:val="auto"/>
              </w:rPr>
            </w:pPr>
            <w:r>
              <w:rPr>
                <w:rFonts w:ascii="Arial" w:cs="Arial" w:eastAsia="Arial" w:hAnsi="Arial"/>
                <w:sz w:val="14"/>
                <w:szCs w:val="14"/>
                <w:color w:val="auto"/>
              </w:rPr>
              <w:t>Net loss prior to the</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(20,317)</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(20,317)</w:t>
            </w: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gain prior to the</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Transactions, net of</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income tax benefit of</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Effect of the</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0"/>
              <w:spacing w:after="0" w:line="143" w:lineRule="exact"/>
              <w:rPr>
                <w:sz w:val="20"/>
                <w:szCs w:val="20"/>
                <w:color w:val="auto"/>
              </w:rPr>
            </w:pPr>
            <w:r>
              <w:rPr>
                <w:rFonts w:ascii="Arial" w:cs="Arial" w:eastAsia="Arial" w:hAnsi="Arial"/>
                <w:sz w:val="14"/>
                <w:szCs w:val="14"/>
                <w:color w:val="auto"/>
              </w:rPr>
              <w:t>Transactions related</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20"/>
              <w:spacing w:after="0"/>
              <w:rPr>
                <w:sz w:val="20"/>
                <w:szCs w:val="20"/>
                <w:color w:val="auto"/>
              </w:rPr>
            </w:pPr>
            <w:r>
              <w:rPr>
                <w:rFonts w:ascii="Arial" w:cs="Arial" w:eastAsia="Arial" w:hAnsi="Arial"/>
                <w:sz w:val="14"/>
                <w:szCs w:val="14"/>
                <w:color w:val="auto"/>
              </w:rPr>
              <w:t>to the IPO</w:t>
            </w:r>
          </w:p>
        </w:tc>
        <w:tc>
          <w:tcPr>
            <w:tcW w:w="840" w:type="dxa"/>
            <w:vAlign w:val="bottom"/>
          </w:tcPr>
          <w:p>
            <w:pPr>
              <w:jc w:val="right"/>
              <w:spacing w:after="0"/>
              <w:rPr>
                <w:sz w:val="20"/>
                <w:szCs w:val="20"/>
                <w:color w:val="auto"/>
              </w:rPr>
            </w:pPr>
            <w:r>
              <w:rPr>
                <w:rFonts w:ascii="Arial" w:cs="Arial" w:eastAsia="Arial" w:hAnsi="Arial"/>
                <w:sz w:val="14"/>
                <w:szCs w:val="14"/>
                <w:color w:val="auto"/>
              </w:rPr>
              <w:t>(117,235)</w:t>
            </w:r>
          </w:p>
        </w:tc>
        <w:tc>
          <w:tcPr>
            <w:tcW w:w="900" w:type="dxa"/>
            <w:vAlign w:val="bottom"/>
          </w:tcPr>
          <w:p>
            <w:pPr>
              <w:jc w:val="right"/>
              <w:spacing w:after="0"/>
              <w:rPr>
                <w:sz w:val="20"/>
                <w:szCs w:val="20"/>
                <w:color w:val="auto"/>
              </w:rPr>
            </w:pPr>
            <w:r>
              <w:rPr>
                <w:rFonts w:ascii="Arial" w:cs="Arial" w:eastAsia="Arial" w:hAnsi="Arial"/>
                <w:sz w:val="14"/>
                <w:szCs w:val="14"/>
                <w:color w:val="auto"/>
              </w:rPr>
              <w:t>(106,152)</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18,493,275</w:t>
            </w:r>
          </w:p>
        </w:tc>
        <w:tc>
          <w:tcPr>
            <w:tcW w:w="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117,173,390</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880" w:type="dxa"/>
            <w:vAlign w:val="bottom"/>
          </w:tcPr>
          <w:p>
            <w:pPr>
              <w:jc w:val="right"/>
              <w:spacing w:after="0"/>
              <w:rPr>
                <w:sz w:val="20"/>
                <w:szCs w:val="20"/>
                <w:color w:val="auto"/>
              </w:rPr>
            </w:pPr>
            <w:r>
              <w:rPr>
                <w:rFonts w:ascii="Arial" w:cs="Arial" w:eastAsia="Arial" w:hAnsi="Arial"/>
                <w:sz w:val="14"/>
                <w:szCs w:val="14"/>
                <w:color w:val="auto"/>
              </w:rPr>
              <w:t>(24,091)</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279,301</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(31,899)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117,235</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class A</w:t>
            </w: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common stock in</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IPO, net of issuance</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w:t>
            </w:r>
          </w:p>
        </w:tc>
        <w:tc>
          <w:tcPr>
            <w:tcW w:w="8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35,650,000</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295,740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640,022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935,762</w:t>
            </w:r>
          </w:p>
        </w:tc>
        <w:tc>
          <w:tcPr>
            <w:tcW w:w="0" w:type="dxa"/>
            <w:vAlign w:val="bottom"/>
          </w:tcPr>
          <w:p>
            <w:pPr>
              <w:spacing w:after="0"/>
              <w:rPr>
                <w:sz w:val="1"/>
                <w:szCs w:val="1"/>
                <w:color w:val="auto"/>
              </w:rPr>
            </w:pPr>
          </w:p>
        </w:tc>
      </w:tr>
      <w:tr>
        <w:trPr>
          <w:trHeight w:val="143"/>
        </w:trPr>
        <w:tc>
          <w:tcPr>
            <w:tcW w:w="1380" w:type="dxa"/>
            <w:vAlign w:val="bottom"/>
          </w:tcPr>
          <w:p>
            <w:pPr>
              <w:ind w:left="20"/>
              <w:spacing w:after="0" w:line="143" w:lineRule="exact"/>
              <w:rPr>
                <w:sz w:val="20"/>
                <w:szCs w:val="20"/>
                <w:color w:val="auto"/>
              </w:rPr>
            </w:pPr>
            <w:r>
              <w:rPr>
                <w:rFonts w:ascii="Arial" w:cs="Arial" w:eastAsia="Arial" w:hAnsi="Arial"/>
                <w:sz w:val="14"/>
                <w:szCs w:val="14"/>
                <w:color w:val="auto"/>
              </w:rPr>
              <w:t>Net loss subsequent</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20"/>
              <w:spacing w:after="0"/>
              <w:rPr>
                <w:sz w:val="20"/>
                <w:szCs w:val="20"/>
                <w:color w:val="auto"/>
              </w:rPr>
            </w:pPr>
            <w:r>
              <w:rPr>
                <w:rFonts w:ascii="Arial" w:cs="Arial" w:eastAsia="Arial" w:hAnsi="Arial"/>
                <w:sz w:val="14"/>
                <w:szCs w:val="14"/>
                <w:color w:val="auto"/>
              </w:rPr>
              <w:t>to the Transactions</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(47,990)</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(103,857)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(151,847)</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Activity under stock</w:t>
            </w: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based compensation</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17,779</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17,779</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Other comprehensive</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0"/>
              <w:spacing w:after="0" w:line="143" w:lineRule="exact"/>
              <w:rPr>
                <w:sz w:val="20"/>
                <w:szCs w:val="20"/>
                <w:color w:val="auto"/>
              </w:rPr>
            </w:pPr>
            <w:r>
              <w:rPr>
                <w:rFonts w:ascii="Arial" w:cs="Arial" w:eastAsia="Arial" w:hAnsi="Arial"/>
                <w:sz w:val="14"/>
                <w:szCs w:val="14"/>
                <w:color w:val="auto"/>
                <w:w w:val="94"/>
              </w:rPr>
              <w:t>gain subsequent to the</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4"/>
                <w:szCs w:val="14"/>
                <w:color w:val="auto"/>
              </w:rPr>
              <w:t>Transactions, net of</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80" w:type="dxa"/>
            <w:vAlign w:val="bottom"/>
          </w:tcPr>
          <w:p>
            <w:pPr>
              <w:ind w:left="20"/>
              <w:spacing w:after="0" w:line="141" w:lineRule="exact"/>
              <w:rPr>
                <w:sz w:val="20"/>
                <w:szCs w:val="20"/>
                <w:color w:val="auto"/>
              </w:rPr>
            </w:pPr>
            <w:r>
              <w:rPr>
                <w:rFonts w:ascii="Arial" w:cs="Arial" w:eastAsia="Arial" w:hAnsi="Arial"/>
                <w:sz w:val="14"/>
                <w:szCs w:val="14"/>
                <w:color w:val="auto"/>
              </w:rPr>
              <w:t>income tax expense</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2"/>
        </w:trPr>
        <w:tc>
          <w:tcPr>
            <w:tcW w:w="1380" w:type="dxa"/>
            <w:vAlign w:val="bottom"/>
          </w:tcPr>
          <w:p>
            <w:pPr>
              <w:ind w:left="20"/>
              <w:spacing w:after="0"/>
              <w:rPr>
                <w:sz w:val="20"/>
                <w:szCs w:val="20"/>
                <w:color w:val="auto"/>
              </w:rPr>
            </w:pPr>
            <w:r>
              <w:rPr>
                <w:rFonts w:ascii="Arial" w:cs="Arial" w:eastAsia="Arial" w:hAnsi="Arial"/>
                <w:sz w:val="14"/>
                <w:szCs w:val="14"/>
                <w:color w:val="auto"/>
              </w:rPr>
              <w:t>of $0</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 at March</w:t>
            </w: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31, 2022</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54,143,275</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117,173,390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289,428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725,457</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6"/>
                <w:szCs w:val="16"/>
                <w:b w:val="1"/>
                <w:bCs w:val="1"/>
                <w:color w:val="auto"/>
                <w:w w:val="99"/>
              </w:rPr>
              <w:t>Six Months Ended March 31,</w:t>
            </w:r>
          </w:p>
        </w:tc>
      </w:tr>
      <w:tr>
        <w:trPr>
          <w:trHeight w:val="210"/>
        </w:trPr>
        <w:tc>
          <w:tcPr>
            <w:tcW w:w="8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r>
      <w:tr>
        <w:trPr>
          <w:trHeight w:val="226"/>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spacing w:after="0"/>
              <w:rPr>
                <w:sz w:val="19"/>
                <w:szCs w:val="19"/>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(74,590)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(172,164)</w:t>
            </w:r>
          </w:p>
        </w:tc>
      </w:tr>
      <w:tr>
        <w:trPr>
          <w:trHeight w:val="230"/>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spacing w:after="0"/>
              <w:rPr>
                <w:sz w:val="19"/>
                <w:szCs w:val="19"/>
                <w:color w:val="auto"/>
              </w:rPr>
            </w:pPr>
          </w:p>
        </w:tc>
      </w:tr>
      <w:tr>
        <w:trPr>
          <w:trHeight w:val="237"/>
        </w:trPr>
        <w:tc>
          <w:tcPr>
            <w:tcW w:w="8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2,920</w:t>
            </w:r>
          </w:p>
        </w:tc>
      </w:tr>
      <w:tr>
        <w:trPr>
          <w:trHeight w:val="236"/>
        </w:trPr>
        <w:tc>
          <w:tcPr>
            <w:tcW w:w="8400" w:type="dxa"/>
            <w:vAlign w:val="bottom"/>
            <w:shd w:val="clear" w:color="auto" w:fill="D2EDFE"/>
          </w:tcPr>
          <w:p>
            <w:pPr>
              <w:ind w:left="2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8400" w:type="dxa"/>
            <w:vAlign w:val="bottom"/>
          </w:tcPr>
          <w:p>
            <w:pPr>
              <w:ind w:left="240"/>
              <w:spacing w:after="0"/>
              <w:rPr>
                <w:sz w:val="20"/>
                <w:szCs w:val="20"/>
                <w:color w:val="auto"/>
              </w:rPr>
            </w:pPr>
            <w:r>
              <w:rPr>
                <w:rFonts w:ascii="Arial" w:cs="Arial" w:eastAsia="Arial" w:hAnsi="Arial"/>
                <w:sz w:val="18"/>
                <w:szCs w:val="18"/>
                <w:color w:val="auto"/>
              </w:rPr>
              <w:t>Inventory (benefit) provision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shd w:val="clear" w:color="auto" w:fill="D2EDFE"/>
          </w:tcPr>
          <w:p>
            <w:pPr>
              <w:ind w:left="2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15,763</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21,874</w:t>
            </w:r>
          </w:p>
        </w:tc>
      </w:tr>
      <w:tr>
        <w:trPr>
          <w:trHeight w:val="229"/>
        </w:trPr>
        <w:tc>
          <w:tcPr>
            <w:tcW w:w="840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D2EDFE"/>
          </w:tcPr>
          <w:p>
            <w:pPr>
              <w:ind w:left="240"/>
              <w:spacing w:after="0"/>
              <w:rPr>
                <w:sz w:val="20"/>
                <w:szCs w:val="20"/>
                <w:color w:val="auto"/>
              </w:rPr>
            </w:pPr>
            <w:r>
              <w:rPr>
                <w:rFonts w:ascii="Arial" w:cs="Arial" w:eastAsia="Arial" w:hAnsi="Arial"/>
                <w:sz w:val="18"/>
                <w:szCs w:val="18"/>
                <w:color w:val="auto"/>
              </w:rPr>
              <w:t>Benefit on loss contracts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(6,261)</w:t>
            </w:r>
          </w:p>
        </w:tc>
      </w:tr>
      <w:tr>
        <w:trPr>
          <w:trHeight w:val="237"/>
        </w:trPr>
        <w:tc>
          <w:tcPr>
            <w:tcW w:w="84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Trade receivables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(244,433)</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(79,570)</w:t>
            </w:r>
          </w:p>
        </w:tc>
      </w:tr>
      <w:tr>
        <w:trPr>
          <w:trHeight w:val="230"/>
        </w:trPr>
        <w:tc>
          <w:tcPr>
            <w:tcW w:w="8400" w:type="dxa"/>
            <w:vAlign w:val="bottom"/>
          </w:tcPr>
          <w:p>
            <w:pPr>
              <w:ind w:left="46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20,675</w:t>
            </w:r>
          </w:p>
        </w:tc>
      </w:tr>
      <w:tr>
        <w:trPr>
          <w:trHeight w:val="243"/>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Receivables from related parties</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23,683</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(3,672)</w:t>
            </w:r>
          </w:p>
        </w:tc>
      </w:tr>
      <w:tr>
        <w:trPr>
          <w:trHeight w:val="230"/>
        </w:trPr>
        <w:tc>
          <w:tcPr>
            <w:tcW w:w="8400" w:type="dxa"/>
            <w:vAlign w:val="bottom"/>
          </w:tcPr>
          <w:p>
            <w:pPr>
              <w:ind w:left="460"/>
              <w:spacing w:after="0"/>
              <w:rPr>
                <w:sz w:val="20"/>
                <w:szCs w:val="20"/>
                <w:color w:val="auto"/>
              </w:rPr>
            </w:pPr>
            <w:r>
              <w:rPr>
                <w:rFonts w:ascii="Arial" w:cs="Arial" w:eastAsia="Arial" w:hAnsi="Arial"/>
                <w:sz w:val="18"/>
                <w:szCs w:val="18"/>
                <w:color w:val="auto"/>
              </w:rPr>
              <w:t>Advances to suppliers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(65,779)</w:t>
            </w:r>
          </w:p>
        </w:tc>
      </w:tr>
      <w:tr>
        <w:trPr>
          <w:trHeight w:val="229"/>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Inventory, net</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(103,464)</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37,802</w:t>
            </w:r>
          </w:p>
        </w:tc>
      </w:tr>
      <w:tr>
        <w:trPr>
          <w:trHeight w:val="237"/>
        </w:trPr>
        <w:tc>
          <w:tcPr>
            <w:tcW w:w="840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(7,391)</w:t>
            </w:r>
          </w:p>
        </w:tc>
      </w:tr>
      <w:tr>
        <w:trPr>
          <w:trHeight w:val="236"/>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4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(30,426)</w:t>
            </w:r>
          </w:p>
        </w:tc>
      </w:tr>
      <w:tr>
        <w:trPr>
          <w:trHeight w:val="243"/>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Payables and deferred revenue with related parties</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(112,586)</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(51,252)</w:t>
            </w:r>
          </w:p>
        </w:tc>
      </w:tr>
      <w:tr>
        <w:trPr>
          <w:trHeight w:val="230"/>
        </w:trPr>
        <w:tc>
          <w:tcPr>
            <w:tcW w:w="840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151,450</w:t>
            </w:r>
          </w:p>
        </w:tc>
      </w:tr>
      <w:tr>
        <w:trPr>
          <w:trHeight w:val="229"/>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Current accruals and provisions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(75,708)</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37,243</w:t>
            </w:r>
          </w:p>
        </w:tc>
      </w:tr>
      <w:tr>
        <w:trPr>
          <w:trHeight w:val="237"/>
        </w:trPr>
        <w:tc>
          <w:tcPr>
            <w:tcW w:w="8400" w:type="dxa"/>
            <w:vAlign w:val="bottom"/>
          </w:tcPr>
          <w:p>
            <w:pPr>
              <w:ind w:left="46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4,383</w:t>
            </w:r>
          </w:p>
        </w:tc>
      </w:tr>
      <w:tr>
        <w:trPr>
          <w:trHeight w:val="236"/>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10,511</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8400" w:type="dxa"/>
            <w:vAlign w:val="bottom"/>
            <w:tcBorders>
              <w:bottom w:val="single" w:sz="8" w:color="D2EDFE"/>
            </w:tcBorders>
          </w:tcPr>
          <w:p>
            <w:pPr>
              <w:ind w:left="46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r>
      <w:tr>
        <w:trPr>
          <w:trHeight w:val="223"/>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(163,411)</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(140,996)</w:t>
            </w:r>
          </w:p>
        </w:tc>
      </w:tr>
      <w:tr>
        <w:trPr>
          <w:trHeight w:val="239"/>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4"/>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Purchase of equity securities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Proceeds from maturities of short-term investments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Payments for purchase of investment in joint venture</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r>
      <w:tr>
        <w:trPr>
          <w:trHeight w:val="223"/>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60" w:type="dxa"/>
            <w:vAlign w:val="bottom"/>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35,503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(2,395)</w:t>
            </w:r>
          </w:p>
        </w:tc>
      </w:tr>
      <w:tr>
        <w:trPr>
          <w:trHeight w:val="239"/>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4"/>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w w:val="92"/>
              </w:rPr>
              <w:t>Proceeds from issuance of Class A common stock sold in an IPO, net of underwriting discounts and commissions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947,991</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Payment of IPO costs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(10,330)</w:t>
            </w:r>
          </w:p>
        </w:tc>
      </w:tr>
      <w:tr>
        <w:trPr>
          <w:trHeight w:val="229"/>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 of transaction cost related to issuance of Class B membership units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(6,320)</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(3,297)</w:t>
            </w:r>
          </w:p>
        </w:tc>
      </w:tr>
      <w:tr>
        <w:trPr>
          <w:trHeight w:val="236"/>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Repurchase of class A common stock placed into treasury</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Repayment of promissory notes – related parties</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Repayment of line of credit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840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Proceeds from borrowing against note receivable - pledged as collateral</w:t>
            </w:r>
          </w:p>
        </w:tc>
        <w:tc>
          <w:tcPr>
            <w:tcW w:w="260" w:type="dxa"/>
            <w:vAlign w:val="bottom"/>
            <w:tcBorders>
              <w:bottom w:val="single" w:sz="8" w:color="auto"/>
            </w:tcBorders>
            <w:shd w:val="clear" w:color="auto" w:fill="D2EDFE"/>
          </w:tcPr>
          <w:p>
            <w:pPr>
              <w:spacing w:after="0"/>
              <w:rPr>
                <w:sz w:val="19"/>
                <w:szCs w:val="19"/>
                <w:color w:val="auto"/>
              </w:rPr>
            </w:pPr>
          </w:p>
        </w:tc>
        <w:tc>
          <w:tcPr>
            <w:tcW w:w="11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tcBorders>
              <w:bottom w:val="single" w:sz="8" w:color="D2EDFE"/>
            </w:tcBorders>
            <w:shd w:val="clear" w:color="auto" w:fill="D2EDFE"/>
          </w:tcPr>
          <w:p>
            <w:pPr>
              <w:spacing w:after="0"/>
              <w:rPr>
                <w:sz w:val="19"/>
                <w:szCs w:val="19"/>
                <w:color w:val="auto"/>
              </w:rPr>
            </w:pPr>
          </w:p>
        </w:tc>
        <w:tc>
          <w:tcPr>
            <w:tcW w:w="320" w:type="dxa"/>
            <w:vAlign w:val="bottom"/>
            <w:tcBorders>
              <w:bottom w:val="single" w:sz="8" w:color="auto"/>
            </w:tcBorders>
            <w:shd w:val="clear" w:color="auto" w:fill="D2EDFE"/>
          </w:tcPr>
          <w:p>
            <w:pPr>
              <w:spacing w:after="0"/>
              <w:rPr>
                <w:sz w:val="19"/>
                <w:szCs w:val="19"/>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23,810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828,044</w:t>
            </w:r>
          </w:p>
        </w:tc>
      </w:tr>
      <w:tr>
        <w:trPr>
          <w:trHeight w:val="223"/>
        </w:trPr>
        <w:tc>
          <w:tcPr>
            <w:tcW w:w="8400" w:type="dxa"/>
            <w:vAlign w:val="bottom"/>
            <w:tcBorders>
              <w:top w:val="single" w:sz="8" w:color="D2EDFE"/>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bottom w:val="single" w:sz="8" w:color="auto"/>
            </w:tcBorders>
            <w:shd w:val="clear" w:color="auto" w:fill="D2EDFE"/>
          </w:tcPr>
          <w:p>
            <w:pPr>
              <w:spacing w:after="0"/>
              <w:rPr>
                <w:sz w:val="19"/>
                <w:szCs w:val="19"/>
                <w:color w:val="auto"/>
              </w:rPr>
            </w:pPr>
          </w:p>
        </w:tc>
        <w:tc>
          <w:tcPr>
            <w:tcW w:w="11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tcBorders>
              <w:top w:val="single" w:sz="8" w:color="D2EDFE"/>
              <w:bottom w:val="single" w:sz="8" w:color="D2EDFE"/>
            </w:tcBorders>
            <w:shd w:val="clear" w:color="auto" w:fill="D2EDFE"/>
          </w:tcPr>
          <w:p>
            <w:pPr>
              <w:spacing w:after="0"/>
              <w:rPr>
                <w:sz w:val="19"/>
                <w:szCs w:val="19"/>
                <w:color w:val="auto"/>
              </w:rPr>
            </w:pPr>
          </w:p>
        </w:tc>
        <w:tc>
          <w:tcPr>
            <w:tcW w:w="320" w:type="dxa"/>
            <w:vAlign w:val="bottom"/>
            <w:tcBorders>
              <w:top w:val="single" w:sz="8" w:color="auto"/>
              <w:bottom w:val="single" w:sz="8" w:color="auto"/>
            </w:tcBorders>
            <w:shd w:val="clear" w:color="auto" w:fill="D2EDFE"/>
          </w:tcPr>
          <w:p>
            <w:pPr>
              <w:spacing w:after="0"/>
              <w:rPr>
                <w:sz w:val="19"/>
                <w:szCs w:val="19"/>
                <w:color w:val="auto"/>
              </w:rPr>
            </w:pPr>
          </w:p>
        </w:tc>
        <w:tc>
          <w:tcPr>
            <w:tcW w:w="106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684,619</w:t>
            </w:r>
          </w:p>
        </w:tc>
      </w:tr>
      <w:tr>
        <w:trPr>
          <w:trHeight w:val="243"/>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Cash, cash equivalents, and restricted cash as of the beginning of the period</w:t>
            </w:r>
          </w:p>
        </w:tc>
        <w:tc>
          <w:tcPr>
            <w:tcW w:w="260" w:type="dxa"/>
            <w:vAlign w:val="bottom"/>
            <w:tcBorders>
              <w:bottom w:val="single" w:sz="8" w:color="auto"/>
            </w:tcBorders>
            <w:shd w:val="clear" w:color="auto" w:fill="D2EDFE"/>
          </w:tcPr>
          <w:p>
            <w:pPr>
              <w:spacing w:after="0"/>
              <w:rPr>
                <w:sz w:val="21"/>
                <w:szCs w:val="21"/>
                <w:color w:val="auto"/>
              </w:rPr>
            </w:pPr>
          </w:p>
        </w:tc>
        <w:tc>
          <w:tcPr>
            <w:tcW w:w="11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429,721</w:t>
            </w:r>
          </w:p>
        </w:tc>
        <w:tc>
          <w:tcPr>
            <w:tcW w:w="100" w:type="dxa"/>
            <w:vAlign w:val="bottom"/>
            <w:shd w:val="clear" w:color="auto" w:fill="D2EDFE"/>
          </w:tcPr>
          <w:p>
            <w:pPr>
              <w:spacing w:after="0"/>
              <w:rPr>
                <w:sz w:val="21"/>
                <w:szCs w:val="21"/>
                <w:color w:val="auto"/>
              </w:rPr>
            </w:pPr>
          </w:p>
        </w:tc>
        <w:tc>
          <w:tcPr>
            <w:tcW w:w="320" w:type="dxa"/>
            <w:vAlign w:val="bottom"/>
            <w:tcBorders>
              <w:bottom w:val="single" w:sz="8" w:color="auto"/>
            </w:tcBorders>
            <w:shd w:val="clear" w:color="auto" w:fill="D2EDFE"/>
          </w:tcPr>
          <w:p>
            <w:pPr>
              <w:spacing w:after="0"/>
              <w:rPr>
                <w:sz w:val="21"/>
                <w:szCs w:val="21"/>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38,069</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of the end of the period</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312,581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722,688</w:t>
            </w:r>
          </w:p>
        </w:tc>
      </w:tr>
      <w:tr>
        <w:trPr>
          <w:trHeight w:val="20"/>
        </w:trPr>
        <w:tc>
          <w:tcPr>
            <w:tcW w:w="8400" w:type="dxa"/>
            <w:vAlign w:val="bottom"/>
            <w:tcBorders>
              <w:bottom w:val="single" w:sz="8" w:color="D2EDF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DFE"/>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400" w:type="dxa"/>
            <w:vAlign w:val="bottom"/>
            <w:shd w:val="clear" w:color="auto" w:fill="D2EDFE"/>
          </w:tcPr>
          <w:p>
            <w:pPr>
              <w:ind w:left="20"/>
              <w:spacing w:after="0" w:line="196" w:lineRule="exact"/>
              <w:rPr>
                <w:sz w:val="20"/>
                <w:szCs w:val="20"/>
                <w:color w:val="auto"/>
              </w:rPr>
            </w:pPr>
            <w:r>
              <w:rPr>
                <w:rFonts w:ascii="Arial" w:cs="Arial" w:eastAsia="Arial" w:hAnsi="Arial"/>
                <w:sz w:val="18"/>
                <w:szCs w:val="18"/>
                <w:b w:val="1"/>
                <w:bCs w:val="1"/>
                <w:color w:val="auto"/>
              </w:rPr>
              <w:t>Supplemental Cash Flows Information</w:t>
            </w:r>
          </w:p>
        </w:tc>
        <w:tc>
          <w:tcPr>
            <w:tcW w:w="260" w:type="dxa"/>
            <w:vAlign w:val="bottom"/>
            <w:shd w:val="clear" w:color="auto" w:fill="D2EDFE"/>
          </w:tcPr>
          <w:p>
            <w:pPr>
              <w:spacing w:after="0"/>
              <w:rPr>
                <w:sz w:val="17"/>
                <w:szCs w:val="17"/>
                <w:color w:val="auto"/>
              </w:rPr>
            </w:pPr>
          </w:p>
        </w:tc>
        <w:tc>
          <w:tcPr>
            <w:tcW w:w="1100" w:type="dxa"/>
            <w:vAlign w:val="bottom"/>
            <w:shd w:val="clear" w:color="auto" w:fill="D2EDFE"/>
          </w:tcPr>
          <w:p>
            <w:pPr>
              <w:spacing w:after="0"/>
              <w:rPr>
                <w:sz w:val="17"/>
                <w:szCs w:val="17"/>
                <w:color w:val="auto"/>
              </w:rPr>
            </w:pPr>
          </w:p>
        </w:tc>
        <w:tc>
          <w:tcPr>
            <w:tcW w:w="100" w:type="dxa"/>
            <w:vAlign w:val="bottom"/>
            <w:shd w:val="clear" w:color="auto" w:fill="D2EDFE"/>
          </w:tcPr>
          <w:p>
            <w:pPr>
              <w:spacing w:after="0"/>
              <w:rPr>
                <w:sz w:val="17"/>
                <w:szCs w:val="17"/>
                <w:color w:val="auto"/>
              </w:rPr>
            </w:pPr>
          </w:p>
        </w:tc>
        <w:tc>
          <w:tcPr>
            <w:tcW w:w="320" w:type="dxa"/>
            <w:vAlign w:val="bottom"/>
            <w:shd w:val="clear" w:color="auto" w:fill="D2EDFE"/>
          </w:tcPr>
          <w:p>
            <w:pPr>
              <w:spacing w:after="0"/>
              <w:rPr>
                <w:sz w:val="17"/>
                <w:szCs w:val="17"/>
                <w:color w:val="auto"/>
              </w:rPr>
            </w:pPr>
          </w:p>
        </w:tc>
        <w:tc>
          <w:tcPr>
            <w:tcW w:w="1060" w:type="dxa"/>
            <w:vAlign w:val="bottom"/>
            <w:shd w:val="clear" w:color="auto" w:fill="D2EDFE"/>
          </w:tcPr>
          <w:p>
            <w:pPr>
              <w:spacing w:after="0"/>
              <w:rPr>
                <w:sz w:val="17"/>
                <w:szCs w:val="17"/>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98"/>
        </w:trPr>
        <w:tc>
          <w:tcPr>
            <w:tcW w:w="1280" w:type="dxa"/>
            <w:vAlign w:val="bottom"/>
            <w:tcBorders>
              <w:top w:val="single" w:sz="8" w:color="0000FF"/>
            </w:tcBorders>
          </w:tcPr>
          <w:p>
            <w:pPr>
              <w:spacing w:after="0"/>
              <w:rPr>
                <w:sz w:val="24"/>
                <w:szCs w:val="24"/>
                <w:color w:val="auto"/>
              </w:rPr>
            </w:pPr>
          </w:p>
        </w:tc>
        <w:tc>
          <w:tcPr>
            <w:tcW w:w="5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674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Cash paid for income taxes</w:t>
            </w:r>
          </w:p>
        </w:tc>
        <w:tc>
          <w:tcPr>
            <w:tcW w:w="2220" w:type="dxa"/>
            <w:vAlign w:val="bottom"/>
            <w:shd w:val="clear" w:color="auto" w:fill="D2EDFE"/>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shd w:val="clear" w:color="auto" w:fill="D2EDFE"/>
          </w:tcPr>
          <w:p>
            <w:pPr>
              <w:jc w:val="right"/>
              <w:ind w:right="10"/>
              <w:spacing w:after="0"/>
              <w:rPr>
                <w:sz w:val="20"/>
                <w:szCs w:val="20"/>
                <w:color w:val="auto"/>
              </w:rPr>
            </w:pPr>
            <w:r>
              <w:rPr>
                <w:rFonts w:ascii="Arial" w:cs="Arial" w:eastAsia="Arial" w:hAnsi="Arial"/>
                <w:sz w:val="18"/>
                <w:szCs w:val="18"/>
                <w:color w:val="auto"/>
              </w:rPr>
              <w:t>585</w:t>
            </w:r>
          </w:p>
        </w:tc>
        <w:tc>
          <w:tcPr>
            <w:tcW w:w="560" w:type="dxa"/>
            <w:vAlign w:val="bottom"/>
            <w:shd w:val="clear" w:color="auto" w:fill="D2EDFE"/>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614</w:t>
            </w:r>
          </w:p>
        </w:tc>
      </w:tr>
      <w:tr>
        <w:trPr>
          <w:trHeight w:val="239"/>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2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4"/>
        </w:trPr>
        <w:tc>
          <w:tcPr>
            <w:tcW w:w="674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Reclassification of deferred offering costs to additional paid-in capital</w:t>
            </w:r>
          </w:p>
        </w:tc>
        <w:tc>
          <w:tcPr>
            <w:tcW w:w="2220" w:type="dxa"/>
            <w:vAlign w:val="bottom"/>
            <w:shd w:val="clear" w:color="auto" w:fill="D2EDFE"/>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shd w:val="clear" w:color="auto" w:fill="D2EDFE"/>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D2EDFE"/>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1,899</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Operations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(this “Report”).</w:t>
      </w:r>
    </w:p>
    <w:p>
      <w:pPr>
        <w:spacing w:after="0" w:line="1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the completion of our initial public offering (“IPO”) on November 1, 2021, Fluence Energy, Inc. became a holding company whose sole material assets are the limited liability company interests (the “LLC Interests”) in Fluence Energy, LLC. All of our business is conducted through Fluence Energy, LLC, together with its subsidiaries, and the financial results of Fluence Energy, LLC will be consolidated in our financial statements. Fluence Energy, LLC is taxed as a partnership for federal income tax purposes and, as a result, its members, including Fluence Energy, Inc. will pay income taxes with respect to their allocable shares of its net taxable income. As of March 31, 2023, Fluence Energy, LLC had subsidiaries operating in Germany, Australia, Philippines, Chile, the Netherlands, the United States, India, Singapore, United Kingdom, and Switzerland. Except where the context clearly indicates otherwise, “Fluence,” “we,” “us,” “our” or the “Company” refers to Fluence Energy, Inc. and all of its direct and indirect subsidiaries, including Fluence Energy, LLC. When used in a historical context that is prior to the completion of the IPO, “we,” “us,” “our” or “the Company” refers to Fluence Energy, LLC and its subsidiaries.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fiscal year begins on October 1 and ends on September 30. References to “fiscal year 2021” and “fiscal year 2022” refer to the fiscal years ended September 30, 2021 and September 30, 2022, respectively.</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chief operating decision maker (“CODM”) is its Chief Executive Officer. The Company’s CODM reviews financial information on a condensed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Accounting and Consolidation</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accompanying condensed consolidated financial statements are prepared in accordance with U.S. generally accepted accounting principles (“U.S. GAAP”) and under the rules of the U.S. Securities and Exchange Commission (the “SEC”). The accompanying condensed consolidated financial statements include the accounts of Fluence Energy, Inc. and its subsidiaries. All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Fluence Energy, Inc. beneficially owns a 66.54% interest as of March 31, 2023. For accounting purposes, Fluence Energy, Inc. is considered the primary beneficiary and therefore consolidates the results of Fluence Energy, LLC and its direct and indirect subsidiaries. Prior to the IPO, Fluence Energy, Inc. had no operations and had no assets or liabilities. Accordingly, financial results, balances, and other information included herein for periods prior to the IPO are reflective of Fluence Energy, LLC. The table below summarizes the ownership structure at end of each respective period:</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4860" w:type="dxa"/>
            <w:vAlign w:val="bottom"/>
            <w:tcBorders>
              <w:top w:val="single" w:sz="8" w:color="auto"/>
              <w:bottom w:val="single" w:sz="8" w:color="auto"/>
            </w:tcBorders>
          </w:tcPr>
          <w:p>
            <w:pPr>
              <w:spacing w:after="0"/>
              <w:rPr>
                <w:sz w:val="21"/>
                <w:szCs w:val="21"/>
                <w:color w:val="auto"/>
              </w:rPr>
            </w:pPr>
          </w:p>
        </w:tc>
        <w:tc>
          <w:tcPr>
            <w:tcW w:w="37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March 31, 2023</w:t>
            </w:r>
          </w:p>
        </w:tc>
        <w:tc>
          <w:tcPr>
            <w:tcW w:w="22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September 30, 2022</w:t>
            </w: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 Ownership</w:t>
            </w:r>
          </w:p>
        </w:tc>
        <w:tc>
          <w:tcPr>
            <w:tcW w:w="3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66.54 %</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66.22 %</w:t>
            </w:r>
          </w:p>
        </w:tc>
      </w:tr>
      <w:tr>
        <w:trPr>
          <w:trHeight w:val="23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 Ownership (AES)</w:t>
            </w:r>
          </w:p>
        </w:tc>
        <w:tc>
          <w:tcPr>
            <w:tcW w:w="3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33.46 %</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as of March 31, 2023, and for the three and six months ended March 31, 2023 and 2022 are unaudited. These financial statements should be read in conjunction with the Company’s audited financial statements included in our 2022 Annual Report. In our opinion, such unaudited financial statements reflect all adjustments, including normal recurring items, that are necessary for the fair statement of the Company’s financial position as of March 31, 2023, the results of its operations for the three and six months ended March 31, 2023 and 2022, and its cash flows for the six months ended March 31, 2023 and 2022. The financial data and other information disclosed in these notes related to the three and six months ended March 31, 2023 and 2022 are also unaudited. The results for the three and six months ended March 31, 2023 and 2022 are not necessarily indicative of results for the full year ending September 30, 2023 and 2022, any other interim periods, or any future year or period. The balance sheet as of September 30, 2022 included herein was derived from the audited financial statements as of that date. Certain disclosures have been condensed or omitted from the interim financial statements.</w:t>
      </w:r>
    </w:p>
    <w:p>
      <w:pPr>
        <w:spacing w:after="0" w:line="1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For a complete description of our significant accounting policies, refer to Note 2 - </w:t>
      </w:r>
      <w:r>
        <w:rPr>
          <w:rFonts w:ascii="Arial" w:cs="Arial" w:eastAsia="Arial" w:hAnsi="Arial"/>
          <w:sz w:val="17"/>
          <w:szCs w:val="17"/>
          <w:i w:val="1"/>
          <w:iCs w:val="1"/>
          <w:color w:val="auto"/>
        </w:rPr>
        <w:t>Summary of Significant Accounting Policies and Estimates</w:t>
      </w:r>
      <w:r>
        <w:rPr>
          <w:rFonts w:ascii="Arial" w:cs="Arial" w:eastAsia="Arial" w:hAnsi="Arial"/>
          <w:sz w:val="17"/>
          <w:szCs w:val="17"/>
          <w:color w:val="auto"/>
        </w:rPr>
        <w:t xml:space="preserve"> the audited consolidated financial statements included in our 2022 Annual Report. We include herein certain updates to those policies.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relative fair value allocations to contingencies with multiple elements, the carrying amount and estimated useful lives of long-lived assets; impairment of goodwill, intangible assets, and long-lived assets; valuation allowances for inventories; deferred tax assets; revenue recognized under the percentage-of-completion method; accrued bonuses; and various project-related provisions including but not limited to estimated losses, warranty obligations, and liquidated damages.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include cash on-hand and highly liquid investments readily convertible to cash, with an original maturity of 90 days or less when purchased.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as a separate line item on the Company’s consolidated balance sheets.</w:t>
      </w:r>
    </w:p>
    <w:p>
      <w:pPr>
        <w:spacing w:after="0" w:line="9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The Company typically retains cash for operations within one or more bank accounts. These accounts may hold cash in excess of the FDIC limit of $250,000. As a result, we are subject to concentration risk associated with the underlying custodial banks with whom deposits of cash and cash equivalents in excess of the FDIC limits are held. If access to these accounts is delayed or suspended indefinitely, it could have a material adverse impact on the Company’s ability to meet its financial obligations required for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shown in the Company’s condensed consolidated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2022</w:t>
            </w:r>
          </w:p>
        </w:tc>
      </w:tr>
      <w:tr>
        <w:trPr>
          <w:trHeight w:val="237"/>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357,296</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5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108,224</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62,425</w:t>
            </w: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429,721</w:t>
            </w:r>
          </w:p>
        </w:tc>
      </w:tr>
      <w:tr>
        <w:trPr>
          <w:trHeight w:val="27"/>
        </w:trPr>
        <w:tc>
          <w:tcPr>
            <w:tcW w:w="6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439"/>
        </w:trPr>
        <w:tc>
          <w:tcPr>
            <w:tcW w:w="6300" w:type="dxa"/>
            <w:vAlign w:val="bottom"/>
          </w:tcPr>
          <w:p>
            <w:pPr>
              <w:ind w:left="340"/>
              <w:spacing w:after="0"/>
              <w:rPr>
                <w:sz w:val="20"/>
                <w:szCs w:val="20"/>
                <w:color w:val="auto"/>
              </w:rPr>
            </w:pPr>
            <w:r>
              <w:rPr>
                <w:rFonts w:ascii="Arial" w:cs="Arial" w:eastAsia="Arial" w:hAnsi="Arial"/>
                <w:sz w:val="18"/>
                <w:szCs w:val="18"/>
                <w:color w:val="auto"/>
              </w:rPr>
              <w:t>Restricted cash consisted of the following:</w:t>
            </w: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3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2022</w:t>
            </w:r>
          </w:p>
        </w:tc>
      </w:tr>
      <w:tr>
        <w:trPr>
          <w:trHeight w:val="378"/>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credit card program</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Collateral for outstanding bank guarantees</w:t>
            </w:r>
          </w:p>
        </w:tc>
        <w:tc>
          <w:tcPr>
            <w:tcW w:w="15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105,869</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60,845</w:t>
            </w:r>
          </w:p>
        </w:tc>
      </w:tr>
      <w:tr>
        <w:trPr>
          <w:trHeight w:val="230"/>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Collateral for surety program included in “Other non-current assets”</w:t>
            </w:r>
          </w:p>
        </w:tc>
        <w:tc>
          <w:tcPr>
            <w:tcW w:w="15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restricted cash</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72,425</w:t>
            </w:r>
          </w:p>
        </w:tc>
      </w:tr>
      <w:tr>
        <w:trPr>
          <w:trHeight w:val="27"/>
        </w:trPr>
        <w:tc>
          <w:tcPr>
            <w:tcW w:w="6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revenue recognition policy included herein is based on the application of Accounting Standards Codification - Revenue from Contracts with Customers (ASC 606). As of March 31, 2023, the Company’s revenue was generated primarily from the sale of energy storage products and solutions, providing operational services, and digital applications and solutions.</w:t>
      </w:r>
    </w:p>
    <w:p>
      <w:pPr>
        <w:spacing w:after="0" w:line="1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Revenue from Energy Storage Products and Solutions: </w:t>
      </w:r>
      <w:r>
        <w:rPr>
          <w:rFonts w:ascii="Arial" w:cs="Arial" w:eastAsia="Arial" w:hAnsi="Arial"/>
          <w:sz w:val="17"/>
          <w:szCs w:val="17"/>
          <w:color w:val="auto"/>
        </w:rPr>
        <w:t>The Company enters into contracts with utility companies, developers, and commercial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industrial customers to design, advise on, and build battery-based energy storage products and solutions. Each energy storage product and/or solution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energy storage products and solutions are determined to have one performance obligation. The Company believes that the prices negotiated with each individual customer are representative of the stand-alone selling price of the product.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revenue over time as a result of the continuous transfer of control of our product to the customer. This continuous transfer of control to the customer is supported by clauses in the underlying contracts that provide enforceable rights to payment of the transaction price associated with work performed to date for products that do not have an alternative use to the Company and/or the project is built on a customer’s land that is under the customer’s control.</w:t>
      </w:r>
    </w:p>
    <w:p>
      <w:pPr>
        <w:spacing w:after="0" w:line="11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Revenue for these performance obligations is recognized using the percentage-of-completion method based on cost incurred as a percentage of total estimated contract costs. Standard inventory materials that could be used interchangeably on other projects are included in our measure of progress when they are integrated into, or restricted to, the production of the customer’s project.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 Refer to </w:t>
      </w:r>
      <w:r>
        <w:rPr>
          <w:rFonts w:ascii="Arial" w:cs="Arial" w:eastAsia="Arial" w:hAnsi="Arial"/>
          <w:sz w:val="16"/>
          <w:szCs w:val="16"/>
          <w:i w:val="1"/>
          <w:iCs w:val="1"/>
          <w:color w:val="auto"/>
        </w:rPr>
        <w:t>“Loss Contracts”</w:t>
      </w:r>
      <w:r>
        <w:rPr>
          <w:rFonts w:ascii="Arial" w:cs="Arial" w:eastAsia="Arial" w:hAnsi="Arial"/>
          <w:sz w:val="16"/>
          <w:szCs w:val="16"/>
          <w:color w:val="auto"/>
        </w:rPr>
        <w:t xml:space="preserve"> below for further discussion.</w:t>
      </w:r>
    </w:p>
    <w:p>
      <w:pPr>
        <w:spacing w:after="0" w:line="9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contracts generally provide our customers the right to liquidated damages (“LDs”) against Fluence in the event specified milestones are not met on time or equipment is not delivered according to contract specifications. LDs are accounted for as variable consideration, and the contract price is reduced by the expected penalty or LD amount when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recognizing revenue.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w:t>
      </w:r>
    </w:p>
    <w:p>
      <w:pPr>
        <w:spacing w:after="0" w:line="8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At times Fluence will incur additional costs to execute on the performance of a contract. When this happens, we typically attempt to recover the revenue associated with these costs via a negotiated claim or change order with the customer. When this fact pattern occurs, it will create a timing difference between when we have incurred the cost versus when we record the revenue as costs are recognized immediately when incurred and the revenue from the change order is recognized as an increase to contract price when it is legally enforceable, which is usually upon signing a respective change order or equivalent document confirming the claim acceptance by customer. For the three and six-months ended March 31, 2023, we recognized revenue of approximately $12.8 million and $24.3 million, respectively, on price increase change orders during the period in which the performance obligations were substantially satisfied in previous periods.</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i w:val="1"/>
          <w:iCs w:val="1"/>
          <w:color w:val="auto"/>
        </w:rPr>
        <w:t xml:space="preserve">Revenue from Services: </w:t>
      </w:r>
      <w:r>
        <w:rPr>
          <w:rFonts w:ascii="Arial" w:cs="Arial" w:eastAsia="Arial" w:hAnsi="Arial"/>
          <w:sz w:val="17"/>
          <w:szCs w:val="17"/>
          <w:color w:val="auto"/>
        </w:rPr>
        <w:t>The Company also enters into long-term service agreements with customers to provide operational services related to battery-based energy storage products and solutions. The services include maintenance, monitoring, and other minor services. The Company accounts for the services as a single performance obligation as the services are substantially the same and have the same pattern of transfer to the customers. We recognize revenue over time using a straight-line recognition method for these types of services. The Company believes using a time-based method to measure progress is appropriate as the performance obligations are satisfied evenly over time based on the fact that customers receive the services evenly. Revenue is recognized by dividing the total transaction price over the service period.</w:t>
      </w:r>
    </w:p>
    <w:p>
      <w:pPr>
        <w:spacing w:after="0" w:line="9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 for a given term are considered service-type warranties. These represent a stand-ready obligation in which the customer benefits evenly over time, and we thus recognize revenue for these arrangements using a straight-line recognition method. Alternatively, augmentation arrangements that require us to perform a fixed number of augmentations over a contract term follow the percentage-of-completion revenue recognition method. Since these arrangements require a fixed number of augmentations be performed, we use the pattern of cost as a proxy to identify when our obligations are satisfied and to recognize revenue.</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Revenue from Digital Applications and Solutions: </w:t>
      </w:r>
      <w:r>
        <w:rPr>
          <w:rFonts w:ascii="Arial" w:cs="Arial" w:eastAsia="Arial" w:hAnsi="Arial"/>
          <w:sz w:val="18"/>
          <w:szCs w:val="18"/>
          <w:color w:val="auto"/>
        </w:rPr>
        <w:t>In October 2020, Fluence Energy, LLC acquired the Advanced Microgrid Solutions (“AMS”)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and digital intelligence platform, which became the Fluence Trading Platform. In April 2022, the Company acquired Nispera AG, a Zurich based provider of artificial intelligence (AI) and machine learning-enabled Software-as-a-Service (SaaS) targeting the renewable energy sector. Contracts involving the Fluence Trading Platform are generally entered into with commercial entities that control utility-scale storage and renewable generation assets. Fluence Trading Platform arrangements consist of a promise to provide access to proprietary cloud-based Software-as-a-Service to promote enhanced financial returns on the utility-scale storage and renewable generation assets. The Fluence Trading Platform is a hosted service that delivers automated, market-compliant bids to local electricity market operators. Customers do not receive legal title or ownership of the software as a result of these arrangements.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Fluence Trading Platform is technology and vendor-agnostic (i.e., it can be utilized for wind and solar assets as well as non-Fluence systems). The Fluence Trading Platform is separately identifiable from other services that the Company offers to its customers (i.e., it is not highly interrelated or integrated with other solutions). As such, we determined that the Fluence Trading Platform is accounted for as a separate performance obligation. Revenue from the Fluence Trading Platform includes an integration fee and a monthly subscription fee. We consider the access to the Fluence Trading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sale of energy storage products, services, and digital applications and solutions contracts where there are multiple performance obligations in a single contract, the Company allocates the consideration to the various obligations in the contract based on the relative standalone selling price method. Standalone selling prices are estimated based on estimated costs plus margin. Revenue is recorded net of any taxes assessed on and collected from customers, which are remitted to the governmental authorities.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Cost of Goods and Services: </w:t>
      </w:r>
      <w:r>
        <w:rPr>
          <w:rFonts w:ascii="Arial" w:cs="Arial" w:eastAsia="Arial" w:hAnsi="Arial"/>
          <w:sz w:val="17"/>
          <w:szCs w:val="17"/>
          <w:color w:val="auto"/>
        </w:rPr>
        <w:t>Cost of goods and services consists primarily of product costs, including purchased materials and supplies,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which is generally based upon International Commercial Terms (commonly referred to as ‘‘incoterms’’) stated in corresponding supply agreements or purchase orders. Standard inventory materials that could be used interchangeably on other projects are included in cost of goods sold when they are integrated into, or restricted to, the production of the customer’s project.</w:t>
      </w:r>
    </w:p>
    <w:p>
      <w:pPr>
        <w:spacing w:after="0" w:line="1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Deferred Revenue: </w:t>
      </w:r>
      <w:r>
        <w:rPr>
          <w:rFonts w:ascii="Arial" w:cs="Arial" w:eastAsia="Arial" w:hAnsi="Arial"/>
          <w:sz w:val="17"/>
          <w:szCs w:val="17"/>
          <w:color w:val="auto"/>
        </w:rPr>
        <w:t>Deferred revenue represents the excess billings to date over the amount of revenue recognized to date. Contract advances represent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received by the Company upon signing of the related contracts with customers. The advances are offset proportionately against progress billings. Any outstanding portion is included in deferred revenue on the accompanying consolidated balance sheets.</w:t>
      </w:r>
    </w:p>
    <w:p>
      <w:pPr>
        <w:spacing w:after="0" w:line="12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7"/>
          <w:szCs w:val="17"/>
          <w:b w:val="1"/>
          <w:bCs w:val="1"/>
          <w:i w:val="1"/>
          <w:iCs w:val="1"/>
          <w:color w:val="auto"/>
        </w:rPr>
        <w:t xml:space="preserve">Loss Contracts: </w:t>
      </w:r>
      <w:r>
        <w:rPr>
          <w:rFonts w:ascii="Arial" w:cs="Arial" w:eastAsia="Arial" w:hAnsi="Arial"/>
          <w:sz w:val="17"/>
          <w:szCs w:val="17"/>
          <w:color w:val="auto"/>
        </w:rPr>
        <w:t>A contract becomes a loss contract when its estimated total costs are expected to exceed its total revenue. The Company accrues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full loss expected in the period a loss contract is identified in “Current liabilities — Accruals and provisions” and “Cost of goods and services” on the Company’s consolidated balance sheets and consolidated statements of operations and comprehensive loss,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Net</w:t>
      </w:r>
    </w:p>
    <w:p>
      <w:pPr>
        <w:spacing w:after="0" w:line="1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Inventory consists of batteries and equipment, cases,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market conditions.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is used to classify assets and liabilities based on the observable inputs and unobservable inputs used to value the assets and liabilities: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equivalents include term deposits with original maturity of less than 90 days and are recorded at amortized cost. Fair value of cash equivalents approximates the carrying amount. The carrying amounts of trade receivables, accounts payable and short-term debt obligations approximate fair values due to their short maturities.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Short-term Investments and Marketable Securities: We obtain pricing from Level 1 inputs which includes information from quoted market prices, pricing vendors or quotes from brokers/dealers. We conduct reviews of our primary pricing vendors to determine whether the inputs used in the vendor’s pricing processes are deemed to be observable. The fair value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of U.S. Treasury securities and government-related securities, corporate bonds and notes and common stock is generally determined using standard observable inputs, including reported trades, quoted market prices, matrix pricing, benchmark yields, broker/dealer quotes, issuer spreads, two-sided markets and/or benchmark securities. Marketable securities are presented on the balance sheets at fair value at the end of each reporting period. Gains and losses resulting from the change in fair value of these securities is included in “</w:t>
      </w:r>
      <w:r>
        <w:rPr>
          <w:rFonts w:ascii="Arial" w:cs="Arial" w:eastAsia="Arial" w:hAnsi="Arial"/>
          <w:sz w:val="16"/>
          <w:szCs w:val="16"/>
          <w:i w:val="1"/>
          <w:iCs w:val="1"/>
          <w:color w:val="auto"/>
        </w:rPr>
        <w:t>Other Income</w:t>
      </w:r>
      <w:r>
        <w:rPr>
          <w:rFonts w:ascii="Arial" w:cs="Arial" w:eastAsia="Arial" w:hAnsi="Arial"/>
          <w:sz w:val="16"/>
          <w:szCs w:val="16"/>
          <w:color w:val="auto"/>
        </w:rPr>
        <w:t>” in the accompanying statements of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40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jc w:val="right"/>
              <w:ind w:right="393"/>
              <w:spacing w:after="0" w:line="175"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jc w:val="right"/>
              <w:ind w:right="453"/>
              <w:spacing w:after="0" w:line="175"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March 31, 2023</w:t>
            </w: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March 31, 2023</w:t>
            </w: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109,862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110,355</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Contributions / (withdrawals)</w:t>
            </w:r>
          </w:p>
        </w:tc>
        <w:tc>
          <w:tcPr>
            <w:tcW w:w="2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(40,425)</w:t>
            </w: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(41,603)</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Changes in fair market value</w:t>
            </w:r>
          </w:p>
        </w:tc>
        <w:tc>
          <w:tcPr>
            <w:tcW w:w="2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586</w:t>
            </w:r>
          </w:p>
        </w:tc>
        <w:tc>
          <w:tcPr>
            <w:tcW w:w="3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70,023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(“SCF Bank”). This program allows us to seek extended payment terms with our suppliers and allows our suppliers to monetize their receivables prior to the payment due date, subject to a discount. Once a supplier elects to participate in the program and reaches an agreement with SCF Bank, the supplier chooses which individual invoices to sell to the SCF Bank. We then pay SCF Bank on the invoice due date. We have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As of March 31, 2023, AES and Siemens issued guarantees of $50 million each, for a total of $100 million, to SCF Bank on our behalf.</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2023, three suppliers were actively participating in the supply chain financing program, and we had $96.2 million of payables outstanding subject to the program. All outstanding payments owed under the program are recorded within “Accounts payable”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2023, the Company’s amended and restated certificate of incorporation authorizes three classes of common stock: Class A, Class B-1 and Class B-2. Loss per share is calculated and reported under the “two-class” method. The “two-class” method is an earnings allocation method under which earnings (loss) per share is calculated for each class of common stock considering both distributions declared or accumulated and participation rights in undistributed earnings as if all such loss had been distributed during the period.</w:t>
      </w:r>
    </w:p>
    <w:p>
      <w:pPr>
        <w:spacing w:after="0" w:line="10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Basic net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 average shares of Class A common stock outstanding to give effect to potentially dilutive securities. Shares of our Class B-1 and Class B-2 common stock are not entitled to receive any distributions or dividends. When a common unit of Fluence Energy, LLC is redeemed, at the Company’s election, for cash or Class A common stock by a Founder who holds shares of our Class B-1 or Class B-2 common stock, as applicable,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potentially dilutive securities that were excluded from the computation of diluted loss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top w:val="single" w:sz="8" w:color="auto"/>
            </w:tcBorders>
          </w:tcPr>
          <w:p>
            <w:pPr>
              <w:spacing w:after="0"/>
              <w:rPr>
                <w:sz w:val="20"/>
                <w:szCs w:val="20"/>
                <w:color w:val="auto"/>
              </w:rPr>
            </w:pPr>
          </w:p>
        </w:tc>
        <w:tc>
          <w:tcPr>
            <w:tcW w:w="406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Three Months Ended March 31,</w:t>
            </w:r>
          </w:p>
        </w:tc>
        <w:tc>
          <w:tcPr>
            <w:tcW w:w="3260" w:type="dxa"/>
            <w:vAlign w:val="bottom"/>
            <w:tcBorders>
              <w:top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Six Months Ended March 31,</w:t>
            </w:r>
          </w:p>
        </w:tc>
      </w:tr>
      <w:tr>
        <w:trPr>
          <w:trHeight w:val="234"/>
        </w:trPr>
        <w:tc>
          <w:tcPr>
            <w:tcW w:w="39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2023</w:t>
            </w:r>
          </w:p>
        </w:tc>
        <w:tc>
          <w:tcPr>
            <w:tcW w:w="1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2022</w:t>
            </w:r>
          </w:p>
        </w:tc>
        <w:tc>
          <w:tcPr>
            <w:tcW w:w="18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3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B-1 common stock</w:t>
            </w:r>
          </w:p>
        </w:tc>
        <w:tc>
          <w:tcPr>
            <w:tcW w:w="2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58,586,695</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117,173,390</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58,586,695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117,173,390</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7,377,287</w:t>
            </w:r>
          </w:p>
        </w:tc>
        <w:tc>
          <w:tcPr>
            <w:tcW w:w="1760" w:type="dxa"/>
            <w:vAlign w:val="bottom"/>
          </w:tcPr>
          <w:p>
            <w:pPr>
              <w:jc w:val="right"/>
              <w:ind w:right="310"/>
              <w:spacing w:after="0"/>
              <w:rPr>
                <w:sz w:val="20"/>
                <w:szCs w:val="20"/>
                <w:color w:val="auto"/>
              </w:rPr>
            </w:pPr>
            <w:r>
              <w:rPr>
                <w:rFonts w:ascii="Arial" w:cs="Arial" w:eastAsia="Arial" w:hAnsi="Arial"/>
                <w:sz w:val="18"/>
                <w:szCs w:val="18"/>
                <w:color w:val="auto"/>
              </w:rPr>
              <w:t>11,286,991</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7,377,287</w:t>
            </w:r>
          </w:p>
        </w:tc>
        <w:tc>
          <w:tcPr>
            <w:tcW w:w="1440" w:type="dxa"/>
            <w:vAlign w:val="bottom"/>
          </w:tcPr>
          <w:p>
            <w:pPr>
              <w:jc w:val="right"/>
              <w:spacing w:after="0"/>
              <w:rPr>
                <w:sz w:val="20"/>
                <w:szCs w:val="20"/>
                <w:color w:val="auto"/>
              </w:rPr>
            </w:pPr>
            <w:r>
              <w:rPr>
                <w:rFonts w:ascii="Arial" w:cs="Arial" w:eastAsia="Arial" w:hAnsi="Arial"/>
                <w:sz w:val="18"/>
                <w:szCs w:val="18"/>
                <w:color w:val="auto"/>
              </w:rPr>
              <w:t>11,286,991</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phantom units</w:t>
            </w:r>
          </w:p>
        </w:tc>
        <w:tc>
          <w:tcPr>
            <w:tcW w:w="2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513,865</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2,167,290</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513,865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2,167,290</w:t>
            </w:r>
          </w:p>
        </w:tc>
      </w:tr>
      <w:tr>
        <w:trPr>
          <w:trHeight w:val="237"/>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restricted stock units (“RSUs”)</w:t>
            </w:r>
          </w:p>
        </w:tc>
        <w:tc>
          <w:tcPr>
            <w:tcW w:w="2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2,041,431</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979,608</w:t>
            </w: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2,041,431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979,608</w:t>
            </w: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2021, the existing limited liability company agreement of Fluence Energy, LLC was amended and restated which recapitalized all existing interests in the Company on the basis of a 14.79-for-1 split. All shares and per share information has been retroactively adjusted to give effect to the recapitalization for all periods presented, unless otherwise indicated.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earnings prior to and up to November 1, 2021, the date of completion of the IPO, were entirely allocable to non-controlling interest and, as a result, loss per share information is not applicable for reporting periods prior to this date. Consequently, only the net loss allocable to Fluence Energy, Inc. from the period subsequent to November 1, 2021 is included in the net loss attributable to the stockholders of Class A common stock for six months ended March 31, 2023 and 2022. Basic and diluted net loss per share of Class A common stock for the three and six months ended March 31, 2023 and 2022, respectively, have been computed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120" w:type="dxa"/>
            <w:vAlign w:val="bottom"/>
            <w:tcBorders>
              <w:top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8"/>
              </w:rPr>
              <w:t>Three Months Ended March 31,</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9"/>
              </w:rPr>
              <w:t>Six Months Ended March 31,</w:t>
            </w:r>
          </w:p>
        </w:tc>
      </w:tr>
      <w:tr>
        <w:trPr>
          <w:trHeight w:val="23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In thousands, except share and per share amounts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(172,164)</w:t>
            </w:r>
          </w:p>
        </w:tc>
      </w:tr>
      <w:tr>
        <w:trPr>
          <w:trHeight w:val="237"/>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Less: Net loss attributable to the non-controlling interest</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(25,093)</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(124,174)</w:t>
            </w:r>
          </w:p>
        </w:tc>
      </w:tr>
      <w:tr>
        <w:trPr>
          <w:trHeight w:val="229"/>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Fluence Energy, Inc.</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(24,855)</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(47,990)</w:t>
            </w:r>
          </w:p>
        </w:tc>
      </w:tr>
      <w:tr>
        <w:trPr>
          <w:trHeight w:val="250"/>
        </w:trPr>
        <w:tc>
          <w:tcPr>
            <w:tcW w:w="4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188"/>
        </w:trPr>
        <w:tc>
          <w:tcPr>
            <w:tcW w:w="4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0"/>
              </w:rPr>
              <w:t>Weighted average number of Class A common stock - basic</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116,266,838</w:t>
            </w: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54,143,275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115,825,339</w:t>
            </w: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54,143,275</w:t>
            </w:r>
          </w:p>
        </w:tc>
      </w:t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0"/>
              </w:rPr>
              <w:t>Loss per share of Class A common stock - basic and diluted</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new accounting standards were adopted during the six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Not Yet Adopted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accounting standards not yet adopted: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320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34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Required date of adoption</w:t>
            </w:r>
          </w:p>
        </w:tc>
        <w:tc>
          <w:tcPr>
            <w:tcW w:w="25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w w:val="97"/>
              </w:rPr>
              <w:t>Effect on the financial statements and</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other significant matters</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Accounting Standards Update (“ASU”)</w:t>
            </w:r>
          </w:p>
        </w:tc>
        <w:tc>
          <w:tcPr>
            <w:tcW w:w="5540" w:type="dxa"/>
            <w:vAlign w:val="bottom"/>
            <w:gridSpan w:val="2"/>
            <w:shd w:val="clear" w:color="auto" w:fill="CCEEFF"/>
          </w:tcPr>
          <w:p>
            <w:pPr>
              <w:ind w:left="80"/>
              <w:spacing w:after="0" w:line="188" w:lineRule="exact"/>
              <w:rPr>
                <w:sz w:val="20"/>
                <w:szCs w:val="20"/>
                <w:color w:val="auto"/>
              </w:rPr>
            </w:pPr>
            <w:r>
              <w:rPr>
                <w:rFonts w:ascii="Arial" w:cs="Arial" w:eastAsia="Arial" w:hAnsi="Arial"/>
                <w:sz w:val="18"/>
                <w:szCs w:val="18"/>
                <w:color w:val="auto"/>
                <w:w w:val="95"/>
              </w:rPr>
              <w:t>In September 2022, the Financial ASU No. ASU 2022-04 is effective for</w:t>
            </w:r>
          </w:p>
        </w:tc>
        <w:tc>
          <w:tcPr>
            <w:tcW w:w="2540" w:type="dxa"/>
            <w:vAlign w:val="bottom"/>
            <w:shd w:val="clear" w:color="auto" w:fill="CCEEFF"/>
          </w:tcPr>
          <w:p>
            <w:pPr>
              <w:ind w:left="60"/>
              <w:spacing w:after="0" w:line="188" w:lineRule="exact"/>
              <w:rPr>
                <w:sz w:val="20"/>
                <w:szCs w:val="20"/>
                <w:color w:val="auto"/>
              </w:rPr>
            </w:pPr>
            <w:r>
              <w:rPr>
                <w:rFonts w:ascii="Arial" w:cs="Arial" w:eastAsia="Arial" w:hAnsi="Arial"/>
                <w:sz w:val="18"/>
                <w:szCs w:val="18"/>
                <w:color w:val="auto"/>
                <w:w w:val="99"/>
              </w:rPr>
              <w:t>The Company is evaluating the</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No. 2022-04: Liabilities-Supplier Finance</w:t>
            </w: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6"/>
              </w:rPr>
              <w:t>2022-04, "Disclosure of Supplier Finance</w:t>
            </w:r>
          </w:p>
        </w:tc>
        <w:tc>
          <w:tcPr>
            <w:tcW w:w="2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8"/>
              </w:rPr>
              <w:t>the Company beginning in its</w:t>
            </w:r>
          </w:p>
        </w:tc>
        <w:tc>
          <w:tcPr>
            <w:tcW w:w="25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impact that this guidance will</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Programs (Subtopic 405-50): Disclosure of</w:t>
            </w: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Program Obligations" ("ASU 2022-04").</w:t>
            </w:r>
          </w:p>
        </w:tc>
        <w:tc>
          <w:tcPr>
            <w:tcW w:w="2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fiscal year ending - September</w:t>
            </w:r>
          </w:p>
        </w:tc>
        <w:tc>
          <w:tcPr>
            <w:tcW w:w="25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have on disclosures related to its</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Supplier Finance Program Obligations</w:t>
            </w:r>
          </w:p>
        </w:tc>
        <w:tc>
          <w:tcPr>
            <w:tcW w:w="32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5"/>
              </w:rPr>
              <w:t>ASU 2022-04 requires entities to disclose</w:t>
            </w:r>
          </w:p>
        </w:tc>
        <w:tc>
          <w:tcPr>
            <w:tcW w:w="2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30, 2024 ("Fiscal 2024") and is</w:t>
            </w:r>
          </w:p>
        </w:tc>
        <w:tc>
          <w:tcPr>
            <w:tcW w:w="25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supplier finance program</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2"/>
              </w:rPr>
              <w:t>the key terms of supplier finance programs</w:t>
            </w:r>
          </w:p>
        </w:tc>
        <w:tc>
          <w:tcPr>
            <w:tcW w:w="2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to be applied retrospectively to</w:t>
            </w:r>
          </w:p>
        </w:tc>
        <w:tc>
          <w:tcPr>
            <w:tcW w:w="25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obligations.</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0"/>
              </w:rPr>
              <w:t>they use in connection with the purchase of</w:t>
            </w:r>
          </w:p>
        </w:tc>
        <w:tc>
          <w:tcPr>
            <w:tcW w:w="2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6"/>
              </w:rPr>
              <w:t>all periods in which a balance</w:t>
            </w:r>
          </w:p>
        </w:tc>
        <w:tc>
          <w:tcPr>
            <w:tcW w:w="2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16"/>
                <w:szCs w:val="16"/>
                <w:color w:val="auto"/>
              </w:rPr>
            </w:pPr>
          </w:p>
        </w:tc>
        <w:tc>
          <w:tcPr>
            <w:tcW w:w="32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goods and services, along with the amount</w:t>
            </w:r>
          </w:p>
        </w:tc>
        <w:tc>
          <w:tcPr>
            <w:tcW w:w="2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sheet is presented. The annual</w:t>
            </w:r>
          </w:p>
        </w:tc>
        <w:tc>
          <w:tcPr>
            <w:tcW w:w="2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of obligations outstanding at the end of</w:t>
            </w:r>
          </w:p>
        </w:tc>
        <w:tc>
          <w:tcPr>
            <w:tcW w:w="2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rollforward disclosure is not</w:t>
            </w:r>
          </w:p>
        </w:tc>
        <w:tc>
          <w:tcPr>
            <w:tcW w:w="2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each period and an annual rollforward of</w:t>
            </w:r>
          </w:p>
        </w:tc>
        <w:tc>
          <w:tcPr>
            <w:tcW w:w="2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required to be made until its</w:t>
            </w:r>
          </w:p>
        </w:tc>
        <w:tc>
          <w:tcPr>
            <w:tcW w:w="2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16"/>
                <w:szCs w:val="16"/>
                <w:color w:val="auto"/>
              </w:rPr>
            </w:pPr>
          </w:p>
        </w:tc>
        <w:tc>
          <w:tcPr>
            <w:tcW w:w="32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such obligations. This standard does not</w:t>
            </w:r>
          </w:p>
        </w:tc>
        <w:tc>
          <w:tcPr>
            <w:tcW w:w="2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fiscal year ending September</w:t>
            </w:r>
          </w:p>
        </w:tc>
        <w:tc>
          <w:tcPr>
            <w:tcW w:w="2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affect the recognition, measurement, or</w:t>
            </w:r>
          </w:p>
        </w:tc>
        <w:tc>
          <w:tcPr>
            <w:tcW w:w="2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30, 2025 ("Fiscal 2025") and is</w:t>
            </w:r>
          </w:p>
        </w:tc>
        <w:tc>
          <w:tcPr>
            <w:tcW w:w="2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1"/>
              </w:rPr>
              <w:t>financial statement presentation of supplier</w:t>
            </w:r>
          </w:p>
        </w:tc>
        <w:tc>
          <w:tcPr>
            <w:tcW w:w="2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to be applied prospectively.</w:t>
            </w:r>
          </w:p>
        </w:tc>
        <w:tc>
          <w:tcPr>
            <w:tcW w:w="2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program obligations.</w:t>
            </w:r>
          </w:p>
        </w:tc>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Early adoption is permitted.</w:t>
            </w:r>
          </w:p>
        </w:tc>
        <w:tc>
          <w:tcPr>
            <w:tcW w:w="2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91"/>
        </w:trPr>
        <w:tc>
          <w:tcPr>
            <w:tcW w:w="3160" w:type="dxa"/>
            <w:vAlign w:val="bottom"/>
          </w:tcPr>
          <w:p>
            <w:pPr>
              <w:spacing w:after="0"/>
              <w:rPr>
                <w:sz w:val="24"/>
                <w:szCs w:val="24"/>
                <w:color w:val="auto"/>
              </w:rPr>
            </w:pPr>
          </w:p>
        </w:tc>
        <w:tc>
          <w:tcPr>
            <w:tcW w:w="3200" w:type="dxa"/>
            <w:vAlign w:val="bottom"/>
          </w:tcPr>
          <w:p>
            <w:pPr>
              <w:ind w:left="2380"/>
              <w:spacing w:after="0"/>
              <w:rPr>
                <w:sz w:val="20"/>
                <w:szCs w:val="20"/>
                <w:color w:val="auto"/>
              </w:rPr>
            </w:pPr>
            <w:r>
              <w:rPr>
                <w:rFonts w:ascii="Arial" w:cs="Arial" w:eastAsia="Arial" w:hAnsi="Arial"/>
                <w:sz w:val="18"/>
                <w:szCs w:val="18"/>
                <w:color w:val="auto"/>
              </w:rPr>
              <w:t>18</w:t>
            </w:r>
          </w:p>
        </w:tc>
        <w:tc>
          <w:tcPr>
            <w:tcW w:w="2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 is primarily derived from sales of our energy storage products and solutions. The following table presents the Company’s revenue disaggregated by revenue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 March 31,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9"/>
              </w:rPr>
              <w:t>Six Months Ended March 31,</w:t>
            </w:r>
          </w:p>
        </w:tc>
      </w:tr>
      <w:tr>
        <w:trPr>
          <w:trHeight w:val="29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energy storage products and solutions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693,695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999,498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507,426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9,552</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digital applications and solutions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2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698,186</w:t>
            </w:r>
          </w:p>
        </w:tc>
        <w:tc>
          <w:tcPr>
            <w:tcW w:w="4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342,724</w:t>
            </w:r>
          </w:p>
        </w:tc>
        <w:tc>
          <w:tcPr>
            <w:tcW w:w="4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1,008,646</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517,611</w:t>
            </w: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Company’s revenue disaggregated by geographical region. Revenues are attributed to regions based on location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8"/>
              </w:rPr>
              <w:t>Three Months Ended March 31,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8"/>
              </w:rPr>
              <w:t>Six Months Ended March 31,</w:t>
            </w:r>
          </w:p>
        </w:tc>
      </w:tr>
      <w:tr>
        <w:trPr>
          <w:trHeight w:val="28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(North, Central and South America)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557,197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733,668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399,325</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APAC (Asia Pacific)</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73,637</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93,197</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38,059</w:t>
            </w:r>
          </w:p>
        </w:tc>
      </w:tr>
      <w:tr>
        <w:trPr>
          <w:trHeight w:val="237"/>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EMEA (Europe, Middle-East and Africa)</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67,352</w:t>
            </w:r>
          </w:p>
        </w:tc>
        <w:tc>
          <w:tcPr>
            <w:tcW w:w="4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63,982</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181,781</w:t>
            </w: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80,227</w:t>
            </w:r>
          </w:p>
        </w:tc>
      </w:tr>
      <w:tr>
        <w:trPr>
          <w:trHeight w:val="22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698,186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342,724</w:t>
            </w:r>
          </w:p>
        </w:tc>
        <w:tc>
          <w:tcPr>
            <w:tcW w:w="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1,008,646</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517,611</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March 31, 2023, our top three customers, in the aggregate, accounted for approximately 58% of total revenue.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March 31, 2022, the Company had one customer that accounted for 70% of total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represents the excess billings over the amount of revenue recognized to date. Deferred revenue from related parties is included in payables and deferred revenue with related parties on the Company’s condensed consolidated balance sheets. The following table provides information about deferred revenue from contracts with customers: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Six Months Ended March 31,</w:t>
            </w:r>
          </w:p>
        </w:tc>
      </w:tr>
      <w:tr>
        <w:trPr>
          <w:trHeight w:val="23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2"/>
              </w:rPr>
              <w:t>469,098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145,765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273,073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71,365</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1400" w:type="dxa"/>
            <w:vAlign w:val="bottom"/>
          </w:tcPr>
          <w:p>
            <w:pPr>
              <w:jc w:val="center"/>
              <w:ind w:left="470"/>
              <w:spacing w:after="0"/>
              <w:rPr>
                <w:sz w:val="20"/>
                <w:szCs w:val="20"/>
                <w:color w:val="auto"/>
              </w:rPr>
            </w:pPr>
            <w:r>
              <w:rPr>
                <w:rFonts w:ascii="Arial" w:cs="Arial" w:eastAsia="Arial" w:hAnsi="Arial"/>
                <w:sz w:val="18"/>
                <w:szCs w:val="18"/>
                <w:color w:val="auto"/>
                <w:w w:val="92"/>
              </w:rPr>
              <w:t>261,903</w:t>
            </w:r>
          </w:p>
        </w:tc>
        <w:tc>
          <w:tcPr>
            <w:tcW w:w="400" w:type="dxa"/>
            <w:vAlign w:val="bottom"/>
          </w:tcPr>
          <w:p>
            <w:pPr>
              <w:spacing w:after="0"/>
              <w:rPr>
                <w:sz w:val="18"/>
                <w:szCs w:val="18"/>
                <w:color w:val="auto"/>
              </w:rPr>
            </w:pPr>
          </w:p>
        </w:tc>
        <w:tc>
          <w:tcPr>
            <w:tcW w:w="1240" w:type="dxa"/>
            <w:vAlign w:val="bottom"/>
          </w:tcPr>
          <w:p>
            <w:pPr>
              <w:ind w:left="580"/>
              <w:spacing w:after="0"/>
              <w:rPr>
                <w:sz w:val="20"/>
                <w:szCs w:val="20"/>
                <w:color w:val="auto"/>
              </w:rPr>
            </w:pPr>
            <w:r>
              <w:rPr>
                <w:rFonts w:ascii="Arial" w:cs="Arial" w:eastAsia="Arial" w:hAnsi="Arial"/>
                <w:sz w:val="18"/>
                <w:szCs w:val="18"/>
                <w:color w:val="auto"/>
                <w:w w:val="98"/>
              </w:rPr>
              <w:t>138,135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left="390"/>
              <w:spacing w:after="0"/>
              <w:rPr>
                <w:sz w:val="20"/>
                <w:szCs w:val="20"/>
                <w:color w:val="auto"/>
              </w:rPr>
            </w:pPr>
            <w:r>
              <w:rPr>
                <w:rFonts w:ascii="Arial" w:cs="Arial" w:eastAsia="Arial" w:hAnsi="Arial"/>
                <w:sz w:val="18"/>
                <w:szCs w:val="18"/>
                <w:color w:val="auto"/>
                <w:w w:val="89"/>
              </w:rPr>
              <w:t>549,743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191,562</w:t>
            </w:r>
          </w:p>
        </w:tc>
      </w:tr>
      <w:tr>
        <w:trPr>
          <w:trHeight w:val="202"/>
        </w:trPr>
        <w:tc>
          <w:tcPr>
            <w:tcW w:w="4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Revenue recognized related to amounts that were included in</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7"/>
        </w:trPr>
        <w:tc>
          <w:tcPr>
            <w:tcW w:w="4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balance of deferred revenue</w:t>
            </w: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0"/>
              </w:rPr>
              <w:t>(146,576)</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2"/>
              </w:rPr>
              <w:t>(61,085)</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3"/>
              </w:rPr>
              <w:t>(238,391)</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(40,112)</w:t>
            </w:r>
          </w:p>
        </w:tc>
      </w:tr>
      <w:tr>
        <w:trPr>
          <w:trHeight w:val="21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revenue,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2"/>
              </w:rPr>
              <w:t>584,425</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8"/>
              </w:rPr>
              <w:t>222,815</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584,425</w:t>
            </w:r>
          </w:p>
        </w:tc>
        <w:tc>
          <w:tcPr>
            <w:tcW w:w="4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222,815</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23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7"/>
              </w:rPr>
              <w:t>Six Months Ended March 31,</w:t>
            </w:r>
          </w:p>
        </w:tc>
      </w:tr>
      <w:tr>
        <w:trPr>
          <w:trHeight w:val="23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from related parties,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350,895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200,085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2"/>
              </w:rPr>
              <w:t>300,697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220,122</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51,860</w:t>
            </w:r>
          </w:p>
        </w:tc>
        <w:tc>
          <w:tcPr>
            <w:tcW w:w="400" w:type="dxa"/>
            <w:vAlign w:val="bottom"/>
          </w:tcPr>
          <w:p>
            <w:pPr>
              <w:spacing w:after="0"/>
              <w:rPr>
                <w:sz w:val="18"/>
                <w:szCs w:val="18"/>
                <w:color w:val="auto"/>
              </w:rPr>
            </w:pPr>
          </w:p>
        </w:tc>
        <w:tc>
          <w:tcPr>
            <w:tcW w:w="1220" w:type="dxa"/>
            <w:vAlign w:val="bottom"/>
          </w:tcPr>
          <w:p>
            <w:pPr>
              <w:jc w:val="center"/>
              <w:ind w:left="430"/>
              <w:spacing w:after="0"/>
              <w:rPr>
                <w:sz w:val="20"/>
                <w:szCs w:val="20"/>
                <w:color w:val="auto"/>
              </w:rPr>
            </w:pPr>
            <w:r>
              <w:rPr>
                <w:rFonts w:ascii="Arial" w:cs="Arial" w:eastAsia="Arial" w:hAnsi="Arial"/>
                <w:sz w:val="18"/>
                <w:szCs w:val="18"/>
                <w:color w:val="auto"/>
                <w:w w:val="89"/>
              </w:rPr>
              <w:t>120,097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center"/>
              <w:ind w:left="370"/>
              <w:spacing w:after="0"/>
              <w:rPr>
                <w:sz w:val="20"/>
                <w:szCs w:val="20"/>
                <w:color w:val="auto"/>
              </w:rPr>
            </w:pPr>
            <w:r>
              <w:rPr>
                <w:rFonts w:ascii="Arial" w:cs="Arial" w:eastAsia="Arial" w:hAnsi="Arial"/>
                <w:sz w:val="18"/>
                <w:szCs w:val="18"/>
                <w:color w:val="auto"/>
                <w:w w:val="92"/>
              </w:rPr>
              <w:t>140,390</w:t>
            </w:r>
          </w:p>
        </w:tc>
        <w:tc>
          <w:tcPr>
            <w:tcW w:w="400" w:type="dxa"/>
            <w:vAlign w:val="bottom"/>
          </w:tcPr>
          <w:p>
            <w:pPr>
              <w:spacing w:after="0"/>
              <w:rPr>
                <w:sz w:val="18"/>
                <w:szCs w:val="18"/>
                <w:color w:val="auto"/>
              </w:rPr>
            </w:pPr>
          </w:p>
        </w:tc>
        <w:tc>
          <w:tcPr>
            <w:tcW w:w="1160" w:type="dxa"/>
            <w:vAlign w:val="bottom"/>
          </w:tcPr>
          <w:p>
            <w:pPr>
              <w:jc w:val="center"/>
              <w:ind w:left="330"/>
              <w:spacing w:after="0"/>
              <w:rPr>
                <w:sz w:val="20"/>
                <w:szCs w:val="20"/>
                <w:color w:val="auto"/>
              </w:rPr>
            </w:pPr>
            <w:r>
              <w:rPr>
                <w:rFonts w:ascii="Arial" w:cs="Arial" w:eastAsia="Arial" w:hAnsi="Arial"/>
                <w:sz w:val="18"/>
                <w:szCs w:val="18"/>
                <w:color w:val="auto"/>
                <w:w w:val="89"/>
              </w:rPr>
              <w:t>153,078</w:t>
            </w:r>
          </w:p>
        </w:tc>
      </w:tr>
      <w:tr>
        <w:trPr>
          <w:trHeight w:val="202"/>
        </w:trPr>
        <w:tc>
          <w:tcPr>
            <w:tcW w:w="4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Revenue recognized related to amounts that were included in</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7"/>
        </w:trPr>
        <w:tc>
          <w:tcPr>
            <w:tcW w:w="4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balance of deferred revenue</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(215,798)</w:t>
            </w:r>
          </w:p>
        </w:tc>
        <w:tc>
          <w:tcPr>
            <w:tcW w:w="4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0"/>
              </w:rPr>
              <w:t>(148,716)</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0"/>
              </w:rPr>
              <w:t>(254,130)</w:t>
            </w:r>
          </w:p>
        </w:tc>
        <w:tc>
          <w:tcPr>
            <w:tcW w:w="4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3"/>
              </w:rPr>
              <w:t>(201,734)</w:t>
            </w:r>
          </w:p>
        </w:tc>
      </w:tr>
      <w:tr>
        <w:trPr>
          <w:trHeight w:val="21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revenue from related parties,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186,957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171,466</w:t>
            </w:r>
          </w:p>
        </w:tc>
        <w:tc>
          <w:tcPr>
            <w:tcW w:w="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2"/>
              </w:rPr>
              <w:t>186,957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9"/>
              </w:rPr>
              <w:t>171,466</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under certain circumstances, the Company’s customers have the right to terminate contracts or defer the timing of its services and their payments to the Company.</w:t>
      </w:r>
    </w:p>
    <w:p>
      <w:pPr>
        <w:spacing w:after="0" w:line="7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As of March 31, 2023, the Company had $2.8 billion of remaining performance obligations related to our contractual commitments, of which we expect to recognize approximately 80% in revenue in the next 6 to 30 months and the remainder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2023 and September 30, 2022, our transaction prices have been reduced to reflect variable consideration of $65.7 million and $75.5 million, respectively. Variable consideration primarily relates to our customers’ rights to liquidated damages in the event a specified milestone has not been met or equipment is not delivered according to contract specifications. Variable consideration is estimated using the expected-value method which computes a weighted average amount based on a range of potential outcomes. For contracts in which a significant reversal may occur we constrain the amount of revenue to be recognized.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March 31, 2023</w:t>
            </w:r>
          </w:p>
        </w:tc>
        <w:tc>
          <w:tcPr>
            <w:tcW w:w="3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1"/>
              </w:rPr>
              <w:t>September 30, 2022</w:t>
            </w:r>
          </w:p>
        </w:tc>
        <w:tc>
          <w:tcPr>
            <w:tcW w:w="920" w:type="dxa"/>
            <w:vAlign w:val="bottom"/>
            <w:tcBorders>
              <w:top w:val="single" w:sz="8" w:color="auto"/>
              <w:bottom w:val="single" w:sz="8" w:color="auto"/>
            </w:tcBorders>
          </w:tcPr>
          <w:p>
            <w:pPr>
              <w:spacing w:after="0"/>
              <w:rPr>
                <w:sz w:val="21"/>
                <w:szCs w:val="2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Provision</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Provision</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Net</w:t>
            </w:r>
          </w:p>
        </w:tc>
      </w:tr>
      <w:tr>
        <w:trPr>
          <w:trHeight w:val="23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Cubes, batteries, and other equipment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764,089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763,205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651,765</w:t>
            </w: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Shipping containers and spare parts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48"/>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764,099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763,215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654,041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652,735</w:t>
            </w:r>
          </w:p>
        </w:tc>
      </w:tr>
      <w:tr>
        <w:trPr>
          <w:trHeight w:val="20"/>
        </w:trPr>
        <w:tc>
          <w:tcPr>
            <w:tcW w:w="3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March 31, 2023</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September 30, 2022</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recoverable</w:t>
            </w:r>
          </w:p>
        </w:tc>
        <w:tc>
          <w:tcPr>
            <w:tcW w:w="2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29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1,049</w:t>
            </w:r>
          </w:p>
        </w:tc>
        <w:tc>
          <w:tcPr>
            <w:tcW w:w="3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3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9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32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9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5,585</w:t>
            </w: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43"/>
        </w:trPr>
        <w:tc>
          <w:tcPr>
            <w:tcW w:w="41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3"/>
                <w:szCs w:val="23"/>
                <w:i w:val="1"/>
                <w:iCs w:val="1"/>
                <w:color w:val="auto"/>
                <w:vertAlign w:val="superscript"/>
              </w:rPr>
              <w:t>(a)</w:t>
            </w:r>
          </w:p>
        </w:tc>
        <w:tc>
          <w:tcPr>
            <w:tcW w:w="29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r>
      <w:tr>
        <w:trPr>
          <w:trHeight w:val="22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r>
      <w:tr>
        <w:trPr>
          <w:trHeight w:val="235"/>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40" w:firstLine="8"/>
        <w:spacing w:after="0" w:line="293" w:lineRule="auto"/>
        <w:tabs>
          <w:tab w:leader="none" w:pos="204"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Derivative assets represent forward contracts which are used predominantly to mitigate foreign exchange rate exposure on costs incurred on customer projects, Gains and losses on forward contracts are recorded to cost of goods and services.</w:t>
      </w:r>
    </w:p>
    <w:p>
      <w:pPr>
        <w:spacing w:after="0" w:line="17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are stated at amortized cost and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March 31, 2023</w:t>
            </w: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September 30, 2022</w:t>
            </w:r>
          </w:p>
        </w:tc>
        <w:tc>
          <w:tcPr>
            <w:tcW w:w="2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5"/>
                <w:szCs w:val="15"/>
                <w:color w:val="auto"/>
              </w:rPr>
            </w:pPr>
          </w:p>
        </w:tc>
        <w:tc>
          <w:tcPr>
            <w:tcW w:w="9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5"/>
                <w:szCs w:val="15"/>
                <w:color w:val="auto"/>
              </w:rPr>
            </w:pPr>
          </w:p>
        </w:tc>
        <w:tc>
          <w:tcPr>
            <w:tcW w:w="136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w w:val="93"/>
              </w:rPr>
              <w:t>Accumulated</w:t>
            </w:r>
          </w:p>
        </w:tc>
        <w:tc>
          <w:tcPr>
            <w:tcW w:w="300" w:type="dxa"/>
            <w:vAlign w:val="bottom"/>
          </w:tcPr>
          <w:p>
            <w:pPr>
              <w:spacing w:after="0"/>
              <w:rPr>
                <w:sz w:val="15"/>
                <w:szCs w:val="15"/>
                <w:color w:val="auto"/>
              </w:rPr>
            </w:pPr>
          </w:p>
        </w:tc>
        <w:tc>
          <w:tcPr>
            <w:tcW w:w="7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15"/>
                <w:szCs w:val="15"/>
                <w:color w:val="auto"/>
              </w:rPr>
            </w:pPr>
          </w:p>
        </w:tc>
        <w:tc>
          <w:tcPr>
            <w:tcW w:w="136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5"/>
                <w:szCs w:val="15"/>
                <w:color w:val="auto"/>
              </w:rPr>
            </w:pPr>
          </w:p>
        </w:tc>
        <w:tc>
          <w:tcPr>
            <w:tcW w:w="7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Amortization</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licenses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28,558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29,384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28,347</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25,627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4,292</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Tradenames /Trademarks</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5,263</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(3,021)</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5,216</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(2,679)</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49,676</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51,696</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Intangible assets are amortized over their estimated useful lives on a straight-line basis. Total amortization expense for the three months ended March 31, 2023 and 2022 was $1.4 million and $0.9 million, respectively. Total amortization expense for the six months ended March 31, 2023 and 2022 was $2.9 million and $1.8 million, respectively.</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Goodwill</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impairment was recognized for the six months ended March 31, 2023 and 2022, respectively. The following table presents the goodwill activity for the six months ended March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Six months ended</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32"/>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 2023</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March 31, 2022</w:t>
            </w:r>
          </w:p>
        </w:tc>
      </w:tr>
      <w:tr>
        <w:trPr>
          <w:trHeight w:val="22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the period</w:t>
            </w:r>
          </w:p>
        </w:tc>
        <w:tc>
          <w:tcPr>
            <w:tcW w:w="202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24,851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r>
      <w:tr>
        <w:trPr>
          <w:trHeight w:val="230"/>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adjustment</w:t>
            </w:r>
          </w:p>
        </w:tc>
        <w:tc>
          <w:tcPr>
            <w:tcW w:w="2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End of the period</w:t>
            </w:r>
          </w:p>
        </w:tc>
        <w:tc>
          <w:tcPr>
            <w:tcW w:w="2020" w:type="dxa"/>
            <w:vAlign w:val="bottom"/>
            <w:tcBorders>
              <w:bottom w:val="single" w:sz="8" w:color="auto"/>
            </w:tcBorders>
            <w:shd w:val="clear" w:color="auto" w:fill="CCEEFF"/>
          </w:tcPr>
          <w:p>
            <w:pPr>
              <w:jc w:val="right"/>
              <w:ind w:right="1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25,944</w:t>
            </w:r>
          </w:p>
        </w:tc>
        <w:tc>
          <w:tcPr>
            <w:tcW w:w="4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Current Accruals and Provisions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Accruals mainly represent milestones not yet invoiced for inventory such as batteries, cubes, and inverters. According to master supply agreements between the Company and suppliers of our inventory, vendor bills are issued according to contracted billing schedules with certain milestones invoiced after delivery, upon full installation and commissioning of the equipment at substantial completion and final completion project stages. Current accruals and provisions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March 31, 2023</w:t>
            </w:r>
          </w:p>
        </w:tc>
        <w:tc>
          <w:tcPr>
            <w:tcW w:w="2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2022</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152,996</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Provisions for expected project losses</w:t>
            </w:r>
          </w:p>
        </w:tc>
        <w:tc>
          <w:tcPr>
            <w:tcW w:w="240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9,790</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30,032</w:t>
            </w:r>
          </w:p>
        </w:tc>
      </w:tr>
      <w:tr>
        <w:trPr>
          <w:trHeight w:val="236"/>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Warranty accrual</w:t>
            </w:r>
          </w:p>
        </w:tc>
        <w:tc>
          <w:tcPr>
            <w:tcW w:w="24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12,262</w:t>
            </w:r>
          </w:p>
        </w:tc>
        <w:tc>
          <w:tcPr>
            <w:tcW w:w="24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23"/>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114,126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184,653</w:t>
            </w:r>
          </w:p>
        </w:tc>
      </w:tr>
      <w:tr>
        <w:trPr>
          <w:trHeight w:val="237"/>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non-current portion</w:t>
            </w:r>
          </w:p>
        </w:tc>
        <w:tc>
          <w:tcPr>
            <w:tcW w:w="24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24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23"/>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106,447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183,814</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November 1, 2021, we entered into a credit agreement for a revolving credit facility (the “Revolver”), by and among Fluence Energy, LLC, as the borrower, Fluence Energy, Inc., as a parent guarantor, the subsidiary guarantors party thereto, the lenders party thereto and JP Morgan Chase Bank, N.A., as administrative agent and collateral agent (the “Credit Agreement”).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with the addition of UBS AG, Stamford Branch as an additional lender under the Revolver. The maturity date of the Revolver is November 1, 2025.</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The Revolver bears interest at (i) with respect to Term Benchmark Loans (as defined in the Credit Agreement), the Adjusted LIBO Rate, the Adjusted EURIBOR Rate or the AUD Rate (each as defined in the Credit Agreement), as applicable, plus 3.0%, (ii) with respect to ABR Loans (as defined in the Credit Agreement) the Alternate Base Rate (as defined in the Credit Agreement) plus 2.0%, or (iii) with respect to RFR Loans (as defined in the Credit Agreement), at a rate per annum equal to the applicable Daily Simple RFR (as defined under the Credit Agreement) plus 3.1193% (subject to customary LIBOR replacement provisions and alternative benchmark rates including customary spread adjustments with respect to borrowings in foreign currency). Fluence Energy, LLC is required to pay to the lenders a commitment fee of 0.55% per annum on the average daily unused portion of the revolving commitments through maturity, which will be the four-year anniversary of the closing date of the Revolver.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Credit Agreement limits our ability to make certain payments, including dividends and distributions on Fluence Energy, LLC’s equity, Fluence Energy, Inc.’s equity and other restricted payments. Under the terms of the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 (b) 1.5% of the consolidated assets of Fluence Energy, Inc. and its subsidiaries, and (ii) the ability to issue dividends and make other Restricted Payments (as defined in the Credit Agreement) (a) if after giving pro forma effect to such dividend or other Restricted Payment the Total Liquidity (as defined in the Credit Agreement) of Fluence Energy, Inc. and its subsidiaries party to the Credit Agreement is at least $600,000,000, or (b) such dividend or other Restricted Payment is made to reimburse Fluence Energy, Inc. for certain tax distributions under the Third Amended and Restated Limited Liability Company Agreement of Fluence Energy, LLC (the “LLC Agreement”) and certain payments under the Tax Receivable Agreement, dated as of November 1, 2021, entered into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connection with the IPO, by and among Fluence Energy, Inc., Fluence Energy, LLC and the Founders (the “Tax Receivable Agreement”) and certain operational expenses incurred in connection with the ownership and management of Fluence Energy, LLC</w:t>
      </w:r>
      <w:r>
        <w:rPr>
          <w:rFonts w:ascii="Arial" w:cs="Arial" w:eastAsia="Arial" w:hAnsi="Arial"/>
          <w:sz w:val="21"/>
          <w:szCs w:val="21"/>
          <w:color w:val="auto"/>
        </w:rPr>
        <w:t>.</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As of March 31, 2023, we were in compliance with all such covenants or maintained availability above such covenant triggers.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2023, we had no borrowings under the Revolver and availability under the facility of $152.5 million, net of letters of credit issued of $47.5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IPO, the Company had an Uncommitted Line of Credit Agreement (“Line of Credit’) with Citibank, N.A. (“Citibank”) which allowed us to borrow an amount in aggregate not to exceed $50.0 million, with the expiration date on March 31, 2023. Outstanding borrowings from the Line of Credit were $50.0 million as of September 30, 2021. The weighted-average annual interest rate of the borrowing was 2.83%. On November 1, 2021, the $50.0 million outstanding borrowings from the Line of Credit was paid off using the proceeds from our IPO and the Line of Credit was canceled shortly thereafter.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Against Note Receivable - Pledged as Collateral</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six-months ended March 31, 2023, we transferred $24.3 million in customer receivables to Standard Charter Bank (“SCB”) in the Philippines for proceeds of $21.1 million. The receivables all related to our largest customer in that country. The underlying receivables transferred were previously aggregated into a long term note, with interest, and had a maturity date of September 30, 2024 and was previously classified under “</w:t>
      </w:r>
      <w:r>
        <w:rPr>
          <w:rFonts w:ascii="Arial" w:cs="Arial" w:eastAsia="Arial" w:hAnsi="Arial"/>
          <w:sz w:val="17"/>
          <w:szCs w:val="17"/>
          <w:i w:val="1"/>
          <w:iCs w:val="1"/>
          <w:color w:val="auto"/>
        </w:rPr>
        <w:t xml:space="preserve">Other non-current assets” </w:t>
      </w:r>
      <w:r>
        <w:rPr>
          <w:rFonts w:ascii="Arial" w:cs="Arial" w:eastAsia="Arial" w:hAnsi="Arial"/>
          <w:sz w:val="17"/>
          <w:szCs w:val="17"/>
          <w:color w:val="auto"/>
        </w:rPr>
        <w:t>on our condensed consolidated balance sheet. The transaction is treated as a secured borrowing as we did not transfer the entire note</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due from the customer to SCB. We continue to receive quarterly interest income from the customer, while SCB is responsible for collecting payments on the principal which represents the initial receivable balance from the customer. We have no other continuing involvement or exposure related to underlying receivables. We will record aggregate interest expense of $3.2 million to SCB over the 24 month period beginning September 30, 2022 until the note receivable is fully due from the customer.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12 —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for details regarding borrowings from related parties.</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provision for income taxes is based on the estimated annual effective tax rate, plus discrete items.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(benefit) was $(0.1) million and $0.1 million for the three months ended March 31, 2023 and 2022, respectively. The effective tax rate for the three months ended March 31, 2023 and 2022 was 0.3% and (0.2)%, respectively. For the three months ended March 31, 2023, the Company’s effective tax rate differs from the U.S. statutory tax rate of 21% primarily due to flow-through losses attributable to the Founder, AES Grid Stability, valuation allowances and foreign exchange gains. For the three months ended March 31, 2022, the Company’s effective tax rate differs from the U.S. statutory tax rate of 21% primarily due to flow-through losses attributable to the Founders, AES Grid Stability and Siemens Industry, and valuation allowances.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(benefit) was $(0.7) million and $0.5 million for the six months ended March 31, 2023 and 2022, respectively. The effective tax rate for the six months ended March 31, 2023 and 2022 was 1.0% and (0.3)%, respectively. For the six months ended March 31, 2023, the Company’s effective tax rate differs from the U.S. statutory tax rate of 21% primarily due to flow-through losses attributable to the Founder, AES Grid Stability, valuation allowances and foreign exchange gains. For the six months ended March 31, 2022, the Company’s effective tax rate differs from the U.S. statutory tax rate of 21% primarily due to flow-through losses incurred prior to the IPO on November 1, 2021, flow-through losses attributable to the Founders, AES Grid Stability and Siemens Industry, and valuation allowances.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each of March 31, 2023 and September 30, 2022, the Company does not believe it has any significant uncertain tax positions and therefore, has not recorded any unrecognized tax benefits.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The Company evaluates the realizability of its deferred tax assets on a quarterly basis and establishes valuation allowances when it is more-likely-than-not that all or a portion of a deferred tax asset may not be realized. As of March 31, 2023 and September 30, 2022, the Company had recorded a full valuation allowance against deferred tax assets on Fluence Energy, Inc. primarily related to its investment in Fluence Energy, LLC, as well as on certain foreign subsidiaries based on the weight of available evidence, including cumulative losses.</w:t>
      </w:r>
    </w:p>
    <w:p>
      <w:pPr>
        <w:spacing w:after="0" w:line="183" w:lineRule="exact"/>
        <w:rPr>
          <w:sz w:val="20"/>
          <w:szCs w:val="20"/>
          <w:color w:val="auto"/>
        </w:rPr>
      </w:pPr>
    </w:p>
    <w:p>
      <w:pPr>
        <w:ind w:left="480" w:hanging="39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Guarantees</w:t>
      </w:r>
    </w:p>
    <w:p>
      <w:pPr>
        <w:spacing w:after="0" w:line="144"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As of March 31, 2023, the Company had outstanding bank guarantees, parent guarantees and surety bonds issued as performance security arrangements for a number of our customer projects. These contractual commitments are all accounted for off balance sheet.</w:t>
      </w:r>
    </w:p>
    <w:p>
      <w:pPr>
        <w:spacing w:after="0" w:line="103" w:lineRule="exact"/>
        <w:rPr>
          <w:sz w:val="20"/>
          <w:szCs w:val="20"/>
          <w:color w:val="auto"/>
        </w:rPr>
      </w:pPr>
    </w:p>
    <w:p>
      <w:pPr>
        <w:jc w:val="both"/>
        <w:ind w:left="80" w:firstLine="324"/>
        <w:spacing w:after="0" w:line="286" w:lineRule="auto"/>
        <w:rPr>
          <w:sz w:val="20"/>
          <w:szCs w:val="20"/>
          <w:color w:val="auto"/>
        </w:rPr>
      </w:pPr>
      <w:r>
        <w:rPr>
          <w:rFonts w:ascii="Arial" w:cs="Arial" w:eastAsia="Arial" w:hAnsi="Arial"/>
          <w:sz w:val="17"/>
          <w:szCs w:val="17"/>
          <w:color w:val="auto"/>
        </w:rPr>
        <w:t>The following table summarizes contingent contractual obligations as of March 31, 2023. Amounts presented in the following table represent the Company's current undiscounted exposure to guarantees and the range of maximum undiscounted potential exposure. The maximum exposure is not reduced by the amounts, if any, that could be recovered under the recourse or collateralization provisions in the guarantees.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Contingent Contractual Obligations</w:t>
            </w:r>
          </w:p>
        </w:tc>
        <w:tc>
          <w:tcPr>
            <w:tcW w:w="2200" w:type="dxa"/>
            <w:vAlign w:val="bottom"/>
            <w:tcBorders>
              <w:top w:val="single" w:sz="8" w:color="auto"/>
            </w:tcBorders>
          </w:tcPr>
          <w:p>
            <w:pPr>
              <w:jc w:val="center"/>
              <w:ind w:left="330"/>
              <w:spacing w:after="0" w:line="189" w:lineRule="exact"/>
              <w:rPr>
                <w:sz w:val="20"/>
                <w:szCs w:val="20"/>
                <w:color w:val="auto"/>
              </w:rPr>
            </w:pPr>
            <w:r>
              <w:rPr>
                <w:rFonts w:ascii="Arial" w:cs="Arial" w:eastAsia="Arial" w:hAnsi="Arial"/>
                <w:sz w:val="18"/>
                <w:szCs w:val="18"/>
                <w:b w:val="1"/>
                <w:bCs w:val="1"/>
                <w:color w:val="auto"/>
                <w:w w:val="91"/>
              </w:rPr>
              <w:t>Amount</w:t>
            </w:r>
          </w:p>
        </w:tc>
        <w:tc>
          <w:tcPr>
            <w:tcW w:w="1540" w:type="dxa"/>
            <w:vAlign w:val="bottom"/>
            <w:tcBorders>
              <w:top w:val="single" w:sz="8" w:color="auto"/>
            </w:tcBorders>
          </w:tcPr>
          <w:p>
            <w:pPr>
              <w:jc w:val="center"/>
              <w:ind w:left="10"/>
              <w:spacing w:after="0" w:line="189" w:lineRule="exact"/>
              <w:rPr>
                <w:sz w:val="20"/>
                <w:szCs w:val="20"/>
                <w:color w:val="auto"/>
              </w:rPr>
            </w:pPr>
            <w:r>
              <w:rPr>
                <w:rFonts w:ascii="Arial" w:cs="Arial" w:eastAsia="Arial" w:hAnsi="Arial"/>
                <w:sz w:val="18"/>
                <w:szCs w:val="18"/>
                <w:b w:val="1"/>
                <w:bCs w:val="1"/>
                <w:color w:val="auto"/>
                <w:w w:val="93"/>
              </w:rPr>
              <w:t>Number of</w:t>
            </w:r>
          </w:p>
        </w:tc>
        <w:tc>
          <w:tcPr>
            <w:tcW w:w="3160" w:type="dxa"/>
            <w:vAlign w:val="bottom"/>
            <w:tcBorders>
              <w:top w:val="single" w:sz="8" w:color="auto"/>
            </w:tcBorders>
          </w:tcPr>
          <w:p>
            <w:pPr>
              <w:jc w:val="center"/>
              <w:ind w:left="90"/>
              <w:spacing w:after="0" w:line="189" w:lineRule="exact"/>
              <w:rPr>
                <w:sz w:val="20"/>
                <w:szCs w:val="20"/>
                <w:color w:val="auto"/>
              </w:rPr>
            </w:pPr>
            <w:r>
              <w:rPr>
                <w:rFonts w:ascii="Arial" w:cs="Arial" w:eastAsia="Arial" w:hAnsi="Arial"/>
                <w:sz w:val="18"/>
                <w:szCs w:val="18"/>
                <w:b w:val="1"/>
                <w:bCs w:val="1"/>
                <w:color w:val="auto"/>
                <w:w w:val="91"/>
              </w:rPr>
              <w:t>Maximum Exposure Range for Each</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i w:val="1"/>
                <w:iCs w:val="1"/>
                <w:color w:val="auto"/>
                <w:w w:val="96"/>
              </w:rPr>
              <w:t>(in $ millions)</w:t>
            </w:r>
          </w:p>
        </w:tc>
        <w:tc>
          <w:tcPr>
            <w:tcW w:w="15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Agreements</w:t>
            </w:r>
          </w:p>
        </w:tc>
        <w:tc>
          <w:tcPr>
            <w:tcW w:w="31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3"/>
              </w:rPr>
              <w:t xml:space="preserve">Agreement </w:t>
            </w:r>
            <w:r>
              <w:rPr>
                <w:rFonts w:ascii="Arial" w:cs="Arial" w:eastAsia="Arial" w:hAnsi="Arial"/>
                <w:sz w:val="18"/>
                <w:szCs w:val="18"/>
                <w:i w:val="1"/>
                <w:iCs w:val="1"/>
                <w:color w:val="auto"/>
                <w:w w:val="93"/>
              </w:rPr>
              <w:t>(in millions)</w:t>
            </w: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Guarantees and commitments</w:t>
            </w:r>
          </w:p>
        </w:tc>
        <w:tc>
          <w:tcPr>
            <w:tcW w:w="22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0"/>
              </w:rPr>
              <w:t>$1,518</w:t>
            </w:r>
          </w:p>
        </w:tc>
        <w:tc>
          <w:tcPr>
            <w:tcW w:w="15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33</w:t>
            </w:r>
          </w:p>
        </w:tc>
        <w:tc>
          <w:tcPr>
            <w:tcW w:w="31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$0 - 446</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Letters of credit under the bilateral credit facility</w:t>
            </w:r>
          </w:p>
        </w:tc>
        <w:tc>
          <w:tcPr>
            <w:tcW w:w="2200" w:type="dxa"/>
            <w:vAlign w:val="bottom"/>
          </w:tcPr>
          <w:p>
            <w:pPr>
              <w:jc w:val="center"/>
              <w:ind w:left="330"/>
              <w:spacing w:after="0"/>
              <w:rPr>
                <w:sz w:val="20"/>
                <w:szCs w:val="20"/>
                <w:color w:val="auto"/>
              </w:rPr>
            </w:pPr>
            <w:r>
              <w:rPr>
                <w:rFonts w:ascii="Arial" w:cs="Arial" w:eastAsia="Arial" w:hAnsi="Arial"/>
                <w:sz w:val="18"/>
                <w:szCs w:val="18"/>
                <w:color w:val="auto"/>
                <w:w w:val="85"/>
              </w:rPr>
              <w:t>97.9</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c>
          <w:tcPr>
            <w:tcW w:w="3160" w:type="dxa"/>
            <w:vAlign w:val="bottom"/>
          </w:tcPr>
          <w:p>
            <w:pPr>
              <w:jc w:val="center"/>
              <w:ind w:left="110"/>
              <w:spacing w:after="0"/>
              <w:rPr>
                <w:sz w:val="20"/>
                <w:szCs w:val="20"/>
                <w:color w:val="auto"/>
              </w:rPr>
            </w:pPr>
            <w:r>
              <w:rPr>
                <w:rFonts w:ascii="Arial" w:cs="Arial" w:eastAsia="Arial" w:hAnsi="Arial"/>
                <w:sz w:val="18"/>
                <w:szCs w:val="18"/>
                <w:color w:val="auto"/>
                <w:w w:val="91"/>
              </w:rPr>
              <w:t>0 - 31.5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 under Revolver</w:t>
            </w:r>
          </w:p>
        </w:tc>
        <w:tc>
          <w:tcPr>
            <w:tcW w:w="22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5"/>
              </w:rPr>
              <w:t>47.5</w:t>
            </w:r>
          </w:p>
        </w:tc>
        <w:tc>
          <w:tcPr>
            <w:tcW w:w="15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33</w:t>
            </w:r>
          </w:p>
        </w:tc>
        <w:tc>
          <w:tcPr>
            <w:tcW w:w="3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0 - 8.5</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Surety bonds</w:t>
            </w:r>
          </w:p>
        </w:tc>
        <w:tc>
          <w:tcPr>
            <w:tcW w:w="22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6"/>
              </w:rPr>
              <w:t>377</w:t>
            </w:r>
          </w:p>
        </w:tc>
        <w:tc>
          <w:tcPr>
            <w:tcW w:w="15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29</w:t>
            </w:r>
          </w:p>
        </w:tc>
        <w:tc>
          <w:tcPr>
            <w:tcW w:w="31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0 - 146</w:t>
            </w:r>
          </w:p>
        </w:tc>
        <w:tc>
          <w:tcPr>
            <w:tcW w:w="0" w:type="dxa"/>
            <w:vAlign w:val="bottom"/>
          </w:tcPr>
          <w:p>
            <w:pPr>
              <w:spacing w:after="0"/>
              <w:rPr>
                <w:sz w:val="1"/>
                <w:szCs w:val="1"/>
                <w:color w:val="auto"/>
              </w:rPr>
            </w:pPr>
          </w:p>
        </w:tc>
      </w:tr>
      <w:tr>
        <w:trPr>
          <w:trHeight w:val="254"/>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8"/>
              </w:rPr>
              <w:t>$2,040.4</w:t>
            </w:r>
          </w:p>
        </w:tc>
        <w:tc>
          <w:tcPr>
            <w:tcW w:w="154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105</w:t>
            </w:r>
          </w:p>
        </w:tc>
        <w:tc>
          <w:tcPr>
            <w:tcW w:w="31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Typical turn-key contracts and long-term service agreements contain provisions for performance liquidated damages payments if the solution fails to meet the guaranteed performance thresholds at completion of the project or throughout the service agreement period.</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58" w:lineRule="exact"/>
        <w:rPr>
          <w:sz w:val="20"/>
          <w:szCs w:val="20"/>
          <w:color w:val="auto"/>
        </w:rPr>
      </w:pPr>
    </w:p>
    <w:p>
      <w:pPr>
        <w:jc w:val="both"/>
        <w:ind w:left="80" w:firstLine="324"/>
        <w:spacing w:after="0" w:line="287" w:lineRule="auto"/>
        <w:rPr>
          <w:sz w:val="20"/>
          <w:szCs w:val="20"/>
          <w:color w:val="auto"/>
        </w:rPr>
      </w:pPr>
      <w:r>
        <w:rPr>
          <w:rFonts w:ascii="Arial" w:cs="Arial" w:eastAsia="Arial" w:hAnsi="Arial"/>
          <w:sz w:val="16"/>
          <w:szCs w:val="16"/>
          <w:color w:val="auto"/>
        </w:rPr>
        <w:t>The Company has commitments for minimum volumes of purchases of batteries under a master supply agreement. Liquidated damages apply if the minimum purchase volumes are not met. The Company expects to meet the minimum committed volumes of purchases. The following presents our future minimum purchase commitments by fiscal year, primarily for batteries, and liquidated damages, if the minimum purchase volumes are not met, as of</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March 31, 2023</w:t>
      </w:r>
      <w:r>
        <w:rPr>
          <w:rFonts w:ascii="Arial" w:cs="Arial" w:eastAsia="Arial" w:hAnsi="Arial"/>
          <w:sz w:val="21"/>
          <w:szCs w:val="21"/>
          <w:color w:val="auto"/>
        </w:rPr>
        <w:t>:</w:t>
      </w: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4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Purchase Commitments</w:t>
            </w:r>
          </w:p>
        </w:tc>
        <w:tc>
          <w:tcPr>
            <w:tcW w:w="24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Liquidated Damages</w:t>
            </w:r>
          </w:p>
        </w:tc>
      </w:tr>
      <w:tr>
        <w:trPr>
          <w:trHeight w:val="23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2024</w:t>
            </w:r>
          </w:p>
        </w:tc>
        <w:tc>
          <w:tcPr>
            <w:tcW w:w="2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1,908,882</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143,694</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365,700</w:t>
            </w:r>
          </w:p>
        </w:tc>
        <w:tc>
          <w:tcPr>
            <w:tcW w:w="2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37,002</w:t>
            </w:r>
          </w:p>
        </w:tc>
      </w:tr>
      <w:tr>
        <w:trPr>
          <w:trHeight w:val="237"/>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2026 and thereafter</w:t>
            </w:r>
          </w:p>
        </w:tc>
        <w:tc>
          <w:tcPr>
            <w:tcW w:w="26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32,400</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r>
      <w:tr>
        <w:trPr>
          <w:trHeight w:val="254"/>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$2,842,482</w:t>
            </w:r>
          </w:p>
        </w:tc>
        <w:tc>
          <w:tcPr>
            <w:tcW w:w="24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$203,200</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80" w:firstLine="324"/>
        <w:spacing w:after="0" w:line="286" w:lineRule="auto"/>
        <w:rPr>
          <w:sz w:val="20"/>
          <w:szCs w:val="20"/>
          <w:color w:val="auto"/>
        </w:rPr>
      </w:pPr>
      <w:r>
        <w:rPr>
          <w:rFonts w:ascii="Arial" w:cs="Arial" w:eastAsia="Arial" w:hAnsi="Arial"/>
          <w:sz w:val="17"/>
          <w:szCs w:val="17"/>
          <w:color w:val="auto"/>
        </w:rPr>
        <w:t>During the three months ended December 31, 2021, the Company made a $60.0 million advance payment as a capacity guarantee pursuant to a purchase agreement with one of our suppliers, of which, as of March 31, 2023, the balance of $37.1 million is recorded within “Current assets - Advances to suppliers” and no portion remains within “Non-current assets - Advances to suppliers” on the condensed consolidated balance sheets.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Negotiations with our Largest Battery Module Vendor</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w:t>
      </w:r>
    </w:p>
    <w:p>
      <w:pPr>
        <w:spacing w:after="0" w:line="11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On December 15, 2022, we finalized an agreement with the vendor, amending the supply agreement and resolving our claims. The amendments and settlement were consistent with what we had estimated and disclosed in our consolidated financial statements in our 2022 Annual Report. The approximately $19.5 million settlement for our claims was recognized as a reduction of costs of goods and services for the six months ended March 31,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party to both assurance and service-type warranties for various lengths of time. The Company recognizes revenue for service-type warranties using either a straight-line or cost-to-cost method depending on the contract. Extended warranties that customers purchase separately from the related products and services are accounted for as separate performance obligations.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provides a limited warranty related to the successful operation of battery-based energy storage products and solutions, apart from the service 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and solutions.</w:t>
      </w:r>
    </w:p>
    <w:p>
      <w:pPr>
        <w:spacing w:after="0" w:line="11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assurance-type warranties, we accrue an estimate of future warranty liability cost over the period of construction, consistent with transfer of control and revenue recognition on the equipment or battery-based energy storage products as part of our estimated recurring warranty reserve. Furthermore, we accrue the estimated liability cost of specific reserves or recalls when they are probable and estimable if identified. Our assurance type warranties are often backed by supplier covered warranties. We record a recoverable asset for any specific reserves or recalls when it is probable and estimable that the supplier will reimburse us for the expense. We generally pass through to customers warranties from the original equipment manufacturers of battery modules.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Warranty expense is recorded as a component of “Costs of goods and services” in the Company’s condensed consolidated statements of operations.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2023 and September 30, 2022, the Company accrued the below estimated warranty liabilities of $12.3 million (gross of anticipated supplier recoveries of $1.1 million) and $1.6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March 31, 2023</w:t>
            </w:r>
          </w:p>
        </w:tc>
        <w:tc>
          <w:tcPr>
            <w:tcW w:w="4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beginning</w:t>
            </w:r>
          </w:p>
        </w:tc>
        <w:tc>
          <w:tcPr>
            <w:tcW w:w="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1,625</w:t>
            </w: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Warranty issued and assumed in period - specific campaigns</w:t>
            </w:r>
          </w:p>
        </w:tc>
        <w:tc>
          <w:tcPr>
            <w:tcW w:w="580" w:type="dxa"/>
            <w:vAlign w:val="bottom"/>
          </w:tcPr>
          <w:p>
            <w:pPr>
              <w:spacing w:after="0"/>
              <w:rPr>
                <w:sz w:val="20"/>
                <w:szCs w:val="20"/>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1,803</w:t>
            </w:r>
          </w:p>
        </w:tc>
        <w:tc>
          <w:tcPr>
            <w:tcW w:w="4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recurring product warranty</w:t>
            </w:r>
          </w:p>
        </w:tc>
        <w:tc>
          <w:tcPr>
            <w:tcW w:w="58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1,364</w:t>
            </w: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Change in estimates</w:t>
            </w:r>
          </w:p>
        </w:tc>
        <w:tc>
          <w:tcPr>
            <w:tcW w:w="580" w:type="dxa"/>
            <w:vAlign w:val="bottom"/>
          </w:tcPr>
          <w:p>
            <w:pPr>
              <w:spacing w:after="0"/>
              <w:rPr>
                <w:sz w:val="19"/>
                <w:szCs w:val="19"/>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8,287</w:t>
            </w: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5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Net changes in liability for pre-existing warranties, included expirations and</w:t>
            </w:r>
          </w:p>
        </w:tc>
        <w:tc>
          <w:tcPr>
            <w:tcW w:w="58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impact</w:t>
            </w:r>
          </w:p>
        </w:tc>
        <w:tc>
          <w:tcPr>
            <w:tcW w:w="58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costs incurred</w:t>
            </w:r>
          </w:p>
        </w:tc>
        <w:tc>
          <w:tcPr>
            <w:tcW w:w="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ending</w:t>
            </w:r>
          </w:p>
        </w:tc>
        <w:tc>
          <w:tcPr>
            <w:tcW w:w="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12,262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57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Less: supplier recoveries balance at end of period </w:t>
            </w:r>
            <w:r>
              <w:rPr>
                <w:rFonts w:ascii="Arial" w:cs="Arial" w:eastAsia="Arial" w:hAnsi="Arial"/>
                <w:sz w:val="23"/>
                <w:szCs w:val="23"/>
                <w:color w:val="auto"/>
                <w:vertAlign w:val="superscript"/>
              </w:rPr>
              <w:t>(a)</w:t>
            </w:r>
          </w:p>
        </w:tc>
        <w:tc>
          <w:tcPr>
            <w:tcW w:w="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Warranty balance, net of supplier recoveries, at end of period</w:t>
            </w:r>
          </w:p>
        </w:tc>
        <w:tc>
          <w:tcPr>
            <w:tcW w:w="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11,201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The supplier recoveries are recorded in other current assets on the balance sheet.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2023, the Company updated its estimation model for calculating the recurring warranty reserve rate, which is a key input into our estimated assurance warranty liability.</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key inputs and assumptions used by us to estimate our warranty liability are: (1) the number of units expected to fail or be replaced over time (i.e., failure rate); and (2) the per unit cost of replacement, including shipping, labor costs, and costs for equipment necessary for repair or replacement that are expected to be incurred to replace or repair failed units over time (i.e., repair or replacement cost). Our Safety and Quality department has primary responsibility to determine the estimated failure rates for each generation of product.</w:t>
      </w:r>
    </w:p>
    <w:p>
      <w:pPr>
        <w:spacing w:after="0" w:line="11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key inputs and assumptions used in calculating the estimated assurance warranty liability are reviewed by management on as needed basis. We may make additional adjustments to the estimated assurance warranty liability based on our comparison of actual warranty results to expected results for significant differences or based on performance trends or other qualitative factors. If actual failure rates, or replacement costs differ from our estimates in future periods, changes to these estimates may be required, resulting in increases or decreases in our estimated assurance warranty liability which may be material. As we are in a rapidly evolving market there is higher degree of estimation uncertainty regarding our estimated recurring warranty accrual 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covers the Company’s potential loss contingencies as of March 31,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Cargo Loss Incident</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28, 2021, the Company was notified of an emergency aboard a vessel carrying Fluence inventory. This incident (the “Cargo Loss Incident”) resulted in damage to a portion of our cargo aboard the vessel. The Company had recorded a $13.0 million provision to its inventory as of September 30, 2021 based on the net realizable value of cargo that was destroyed. During fiscal year 2022, $13.0 million of inventory was written off against the provision. In addition to the inventory losses, we incurred incremental expenses related to the incident, primarily consisting of inspection costs, project cost overruns due to logistical changes, legal fees, fees to dispose of the damaged cargo, and additional costs to replace the damaged cargo. We expect to continue to incur legal fees related to the incident. We received an aggregate of $10.0 million of insurance proceeds related to non-disputed claims, $7.5 million of which was collected in October 2021 with the remaining $2.5 million collected in April 2022.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Overheating Event at Customer Facility</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fiscal year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At this time, Fluence cannot accept the customer’s stated findings and has denied liability. No formal legal proceedings have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Overheating Event at Customer Facility</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 and solutions.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Related-Party Transactions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parties are represented by AES and Siemens, their respective subsidiaries and other entities under common control. As of March 31, 2023, AES Grid Stability, a wholly owned subsidiary of AES, holds 58,586,695 shares of Class B-1 common stock of Fluence Energy, Inc. and Siemens holds an aggregate of 58,586,695 of Class A common stock of Fluence Energy,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from Related Parties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11, 2021, the Company borrowed $25.0 million each from AES Grid Stability and Siemens Industry, in the form of subordinated promissory notes, each bearing interest at 2.86% per annum. The promissory notes were paid off in full on November 1, 2021 using proceeds from the IPO. All related party borrowings were for general working capital needs. There were no new related party borrowings during the three and six months ended March 31,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Procurement Contracts with Related Parties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signs back-to-back battery-based energy storage product and related service contracts with AES, Siemens, and their subsidiaries (collectively referred to as affiliates) in relation to execution of the affiliates’ contracts with external customers and also signs direct contracts with affiliates.</w:t>
      </w:r>
    </w:p>
    <w:p>
      <w:pPr>
        <w:spacing w:after="0" w:line="10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 xml:space="preserve">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w:t>
      </w:r>
      <w:r>
        <w:rPr>
          <w:rFonts w:ascii="Arial" w:cs="Arial" w:eastAsia="Arial" w:hAnsi="Arial"/>
          <w:sz w:val="18"/>
          <w:szCs w:val="18"/>
          <w:i w:val="1"/>
          <w:iCs w:val="1"/>
          <w:color w:val="auto"/>
        </w:rPr>
        <w:t>Disaggregation of revenue</w:t>
      </w:r>
      <w:r>
        <w:rPr>
          <w:rFonts w:ascii="Arial" w:cs="Arial" w:eastAsia="Arial" w:hAnsi="Arial"/>
          <w:sz w:val="18"/>
          <w:szCs w:val="18"/>
          <w:color w:val="auto"/>
        </w:rPr>
        <w:t xml:space="preserve"> table in Note 3 -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Revenue from the consulting services is primarily recognized ratably over time based on a project specific period of performance in which we expect the performance obligation to be fulfilled. For the six-months ended March 31, 2023, we have recognized $9.9 million in revenue from consulting services with related parties.</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contracts with affiliates is included in “Revenue from related parties” on the Company’s condensed consolidated statements of operations and comprehensive loss.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Company purchases materials and supplies from its affiliates and records the costs in “Cost of goods and services” on the Company’s condensed consolidated statements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 with Affiliates</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Fluence and its affiliates have signed service agreements under which affiliates provide certain administrative services to Fluence. The services include but are not limited to, treasury, information technology services, sales services, and research and development. Cost of services are accrued monthly and included in “Payables and deferred revenue with related parties”, and “General and administrative”, “Sales and marketing”, or “Research and development” on the Company’s condensed consolidated balance sheets and statements of operations and comprehensive loss,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Performance Guarantees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Fluence paid performance guarantee fees to its affiliates in exchange for guaranteeing Fluence’s performance obligations under certain contracts with Fluence’s customers, which are based on the affiliates’ weighted-average cost for bank guarantees and their per annum cost of surety bonds with a reasonable markup. The guarantee fees are included in “Costs of goods and services” on Fluence’s condensed consolidated statements of operations and comprehensive loss.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Related Party Transactions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condensed consolidated balance sheet included the following transactions with related parties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March 31, 2023</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September 30, 2022</w:t>
            </w:r>
          </w:p>
        </w:tc>
      </w:tr>
      <w:tr>
        <w:trPr>
          <w:trHeight w:val="22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38,495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91,879</w:t>
            </w:r>
          </w:p>
        </w:tc>
      </w:tr>
      <w:tr>
        <w:trPr>
          <w:trHeight w:val="237"/>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Unbilled receivables</w:t>
            </w:r>
          </w:p>
        </w:tc>
        <w:tc>
          <w:tcPr>
            <w:tcW w:w="15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49,890</w:t>
            </w: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20,148</w:t>
            </w:r>
          </w:p>
        </w:tc>
      </w:tr>
      <w:tr>
        <w:trPr>
          <w:trHeight w:val="229"/>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receivables from related parties</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88,385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112,027</w:t>
            </w:r>
          </w:p>
        </w:tc>
      </w:tr>
      <w:tr>
        <w:trPr>
          <w:trHeight w:val="223"/>
        </w:trPr>
        <w:tc>
          <w:tcPr>
            <w:tcW w:w="5360" w:type="dxa"/>
            <w:vAlign w:val="bottom"/>
          </w:tcPr>
          <w:p>
            <w:pPr>
              <w:ind w:left="140"/>
              <w:spacing w:after="0"/>
              <w:rPr>
                <w:sz w:val="20"/>
                <w:szCs w:val="20"/>
                <w:color w:val="auto"/>
              </w:rPr>
            </w:pPr>
            <w:r>
              <w:rPr>
                <w:rFonts w:ascii="Arial" w:cs="Arial" w:eastAsia="Arial" w:hAnsi="Arial"/>
                <w:sz w:val="18"/>
                <w:szCs w:val="18"/>
                <w:color w:val="auto"/>
              </w:rPr>
              <w:t>Advances to Suppliers - short-term</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13,963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Advances to Suppliers - long-term</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advances to suppliers with related parties</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13,963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r>
      <w:tr>
        <w:trPr>
          <w:trHeight w:val="22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5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3,272</w:t>
            </w:r>
          </w:p>
        </w:tc>
        <w:tc>
          <w:tcPr>
            <w:tcW w:w="3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37"/>
        </w:trPr>
        <w:tc>
          <w:tcPr>
            <w:tcW w:w="53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56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186,957</w:t>
            </w:r>
          </w:p>
        </w:tc>
        <w:tc>
          <w:tcPr>
            <w:tcW w:w="3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300,697</w:t>
            </w:r>
          </w:p>
        </w:tc>
      </w:tr>
      <w:tr>
        <w:trPr>
          <w:trHeight w:val="236"/>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56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c>
          <w:tcPr>
            <w:tcW w:w="3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payables and deferred revenue with related parties</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195,220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306,348</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Unbilled receivables represent the excess of revenues recognized over billings to date on sales or service contracts with related parties. Deferred revenue represents the excess billings to date over the amount of revenue recognized to date on sales or service contracts with related parties. Receivables from related parties and payables and deferred revenue with related parties are unsecured and settlement of these balances occurs in cash. No provision has been made related to the receivables from related parties.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Related Party Transactions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related party transactions that are included the Company’s condensed consolidated statements of operations and comprehensive loss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 March 31,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Six Months Ended March 31,</w:t>
            </w:r>
          </w:p>
        </w:tc>
      </w:tr>
      <w:tr>
        <w:trPr>
          <w:trHeight w:val="232"/>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226,926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374,759</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(9,796)</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r>
    </w:tbl>
    <w:p>
      <w:pPr>
        <w:spacing w:after="0" w:line="67"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8"/>
          <w:szCs w:val="18"/>
          <w:color w:val="auto"/>
        </w:rPr>
        <w:t xml:space="preserve">Refer to Note 2 - </w:t>
      </w:r>
      <w:r>
        <w:rPr>
          <w:rFonts w:ascii="Arial" w:cs="Arial" w:eastAsia="Arial" w:hAnsi="Arial"/>
          <w:sz w:val="18"/>
          <w:szCs w:val="18"/>
          <w:i w:val="1"/>
          <w:iCs w:val="1"/>
          <w:color w:val="auto"/>
        </w:rPr>
        <w:t>Summary of Significant Accounting Policies and Estimates</w:t>
      </w:r>
      <w:r>
        <w:rPr>
          <w:rFonts w:ascii="Arial" w:cs="Arial" w:eastAsia="Arial" w:hAnsi="Arial"/>
          <w:sz w:val="18"/>
          <w:szCs w:val="18"/>
          <w:color w:val="auto"/>
        </w:rPr>
        <w:t xml:space="preserve"> for details of the related party guarantees associated with the supply chain financing program.</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Plan</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2020, the Company established the 2020 Unit Option Plan (the “Option Plan”) whereby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IPO on November 1, 2021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The Company estimated the fair value of the awards using the Black-Scholes option-pricing model. The outstanding awards will continue to be governed by their existing terms under the Option Plan. The Option Plan is accounted for as an equity plan. We do not expect to make any further awards under the Option Plan.</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2023, 7,377,287 stock options with an exercise price of $2.45 remain outstanding. The Option Plan has unrecognized stock compensation expense of $0.7 million as of March 31,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Employees, directors, and consultants were granted compensation under the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The outstanding awards relate to a modification previously made at the time of the IPO related to awards granted to the Company’s officers. We do not expect to make any further awards under the Phantom Incentive Plan.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2023, 513,865 phantom unit awards previously issued remained outstanding. The Phantom Incentive Plan has unrecognized stock compensation expense of $3.4 million as of March 31,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Plan</w:t>
      </w:r>
    </w:p>
    <w:p>
      <w:pPr>
        <w:spacing w:after="0" w:line="144"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During fiscal year 2021, the Company established the 2021 Incentive Award Plan (the “2021 Incentive Plan”) which reserves 9,500,000 shares of Class A common stock of Fluence Energy, Inc. for issuance to management, other employees, consultants, and board members of the Company. The 2021 Incentive Plan governs both equity-based and cash-based awards, including incentive stock options and restricted stock units (“RSUs”). Employee stock-based awards issued pursuant to the 2021 Incentive Plan that are expected to be settled by issuing shares of Class A common stock are recorded as equity awards. The 2021 Incentive Plan is accounted for as an equity plan. The awards vest ratably at one-third annually on the anniversary of the grant date over a three-year period. The Company generally expenses the grant date fair value of the awards on a straight-line basis over each of the three separately vesting tranches within a given grant. The Company accounts for forfeitures as they occur. During the three months ended March 31, 2023, the Company granted 315,758 RSUs under the 2021 Incentive Award Plan. The weighted-average grant date fair value for the RSUs was $18.54.</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2023, 2,041,431 RSUs previously issued remained outstanding. The 2021 Incentive Plan has unrecognized stock compensation expense of $21.3 million as of March 31, 2023.</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stock-based compensation expense by financial statement line item: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 March 31,</w:t>
            </w: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7"/>
              </w:rPr>
              <w:t>Six Months Ended March 31,</w:t>
            </w:r>
          </w:p>
        </w:tc>
      </w:tr>
      <w:tr>
        <w:trPr>
          <w:trHeight w:val="22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3,337</w:t>
            </w: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r>
      <w:tr>
        <w:trPr>
          <w:trHeight w:val="237"/>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w:t>
            </w:r>
          </w:p>
        </w:tc>
      </w:tr>
      <w:tr>
        <w:trPr>
          <w:trHeight w:val="254"/>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4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27,605</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8"/>
        <w:spacing w:after="0" w:line="293" w:lineRule="auto"/>
        <w:tabs>
          <w:tab w:leader="none" w:pos="212"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reduction of stock based compensation expense for the three months ended March 31, 2022 was the result of a market-to-market fair value adjustment of our liability classified awards which was driven by our stock price decrease during the three months ended March 31, 2022.</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Plan</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11, 2022, the board of directors of the Company approved a restructuring plan to create a more sustainable organization structure for long-term growth. As part of this plan, we have and are continuing to relocate certain positions at high-cost locations to the Fluence India Technology Centre. We expect that the restructuring plan will be complete by the end of fiscal year 2023. Management has the authority to expand the plan as determined necessary. As of March 31, 2023, we have incurred approximately $2.2 million in severance related to the plan and additional $1.2 million in consulting fees.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Investment in Joint Venture</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and the joint venture commenced operations in the first quarter of fiscal year 2023. The investment is recorded in “</w:t>
      </w:r>
      <w:r>
        <w:rPr>
          <w:rFonts w:ascii="Arial" w:cs="Arial" w:eastAsia="Arial" w:hAnsi="Arial"/>
          <w:sz w:val="16"/>
          <w:szCs w:val="16"/>
          <w:i w:val="1"/>
          <w:iCs w:val="1"/>
          <w:color w:val="auto"/>
        </w:rPr>
        <w:t>Other non-current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on our condensed consolidated balance sheet. The investment is accounted for under the equity method with results being reported by Fluence one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in arrears. The joint venture is not considered a variable interest entity and we do not consolidate the joint venture as we do not hold a controlling financial interest. We recorded an insignificant equity method loss on the investment for the three months ended March 31, 2023.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provides information that management believes is relevant to an assessment and understanding of the consolidated financial condition and results of operations of Fluence and should be read in conjunction with the accompanying consolidated financial statements and related notes thereto included in this Quarterly Report on Form 10-Q (this “Report”) and in conjunction with our audited consolidated financial statements and related notes included in our Annual Report on Form 10-K for the fiscal year ended September 30, 2022 filed with the Securities and Exchange Commission (the “SEC”) on December 14, 2022 (the “2022 Annual Report”).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the completion of our initial public offering (the “IPO”) and a series of organization transactions (collectively with the IPO, the “Transactions”) on November 1, 2021, Fluence Energy, Inc. became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spacing w:after="0" w:line="107" w:lineRule="exact"/>
        <w:rPr>
          <w:sz w:val="20"/>
          <w:szCs w:val="20"/>
          <w:color w:val="auto"/>
        </w:rPr>
      </w:pPr>
    </w:p>
    <w:p>
      <w:pPr>
        <w:ind w:right="260" w:firstLine="324"/>
        <w:spacing w:after="0" w:line="414" w:lineRule="auto"/>
        <w:rPr>
          <w:sz w:val="20"/>
          <w:szCs w:val="20"/>
          <w:color w:val="auto"/>
        </w:rPr>
      </w:pPr>
      <w:r>
        <w:rPr>
          <w:rFonts w:ascii="Arial" w:cs="Arial" w:eastAsia="Arial" w:hAnsi="Arial"/>
          <w:sz w:val="18"/>
          <w:szCs w:val="18"/>
          <w:color w:val="auto"/>
        </w:rPr>
        <w:t xml:space="preserve">Our fiscal year begins on October 1 and ends on September 30. References to “fiscal year 2022” refers to the fiscal year ended September 30, 2022. </w:t>
      </w:r>
      <w:r>
        <w:rPr>
          <w:rFonts w:ascii="Arial" w:cs="Arial" w:eastAsia="Arial" w:hAnsi="Arial"/>
          <w:sz w:val="18"/>
          <w:szCs w:val="18"/>
          <w:b w:val="1"/>
          <w:bCs w:val="1"/>
          <w:color w:val="auto"/>
        </w:rPr>
        <w:t>Negotiations with our Largest Battery Module Vendor</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w:t>
      </w:r>
    </w:p>
    <w:p>
      <w:pPr>
        <w:spacing w:after="0" w:line="1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December 15, 2022, we finalized an agreement with the vendor, amending the supply agreement and resolving our claims. The amendments and settlement were consistent with what we had estimated and disclosed in our 2022 consolidated financial statements in our 2022 Annual Report. As part of the finalized agreement, we agreed to take on an additional scope of work related to commissioning the battery modules installed. The approximately $19.5 million settlement for our claims was recognized as a reduction of costs of goods and services for the six months ended March 31,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Cargo Loss Incident</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fiscal year 2022, $13.0 million of inventory was written off against the provision. In addition to the inventory losses, we incurred incremental expenses related to the incident, primarily consisting of inspection costs, project cost overruns due to logistical changes, legal fees, fees to dispose of the damaged cargo, and additional cost to replace the damaged cargo. We expect to continue to incur legal fees related to the incident. We received an aggregate of $10.0 million insurance proceeds related to non-disputed claims, $7.5 million of which was collected in October 2021 and the remaining $2.5 million was collected in April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Overheating Event at Customer Facility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Overheating Event at Customer Facility</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 and solutions.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Plan</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11, 2022, the board of directors of the Company approved a restructuring plan to create a more sustainable organization structure for long term growth. As part of this plan, we have and are continuing to relocate certain positions at high-cost locations to the Fluence India Technology Centre. We expect that the restructuring plan will be complete by the end of fiscal year 2023. Management has the authority to expand the plan as determined necessary. As of March 31, 2023, we have incurred approximately $2.2 million in severance costs related to the plan and additional $1.2 million in consulting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1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in the first quarter of fiscal year 2023. The joint venture commenced operations during the first fiscal quarter of fiscal year 2023 and began hiring staff. We recorded an insignificant equity method loss on the investment for the three months ended March 31,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Performance</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that our performance and future success depend on several factors that present significant opportunities for us but also pose risks and challenges, including those discussed below and those in Part I, Item 1A. “Risk Factors” in our 2022 Annual Report, in Part II, Item 1A. “Risk Factors” of the quarterly report on Form 10-Q for the period ended December 31, 2022, and Part II, Item 1A. “Risk Factors” of this Report.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Lithium-ion Battery Cost</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 growth is directly tied to the continued adoption of energy storage products and solutions by our customers. The cost of lithium-ion energy storage hardware has declined significantly in the last decade and has resulted in a large addressable market today.</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However, according to BloombergNEF’s 2022 (issued December 2022) battery price survey, higher raw material costs pushed the average price of lithium-ion battery packs up in calendar year 2022 and prices are expected to remain elevated in the short term. The 2022 price increase marks the first annual increase in price since at least 2010. BloombergNEF predicts battery prices to decline again by 2024 as more extraction and refining capacity comes online. The market for energy storage is rapidly evolving, and while we believe costs will continue to decline over the long term, there is no guarantee that they will decline or decline at the rates we expect, and the short-term increases predicted by BloombergNEF could be larger or last longer than they predict. If costs do not continue to decline long term, this could adversely affect our ability to increase our revenue or grow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Deployment of Renewable Energy</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Deployment of renewable energy resources has accelerated over the last decade, and solar and wind have become a low-cost energy source. BloombergNEF estimates that renewable energy is expected to represent 70% of all new global capacity installations over the next ten years. Energy storage is critical to reducing the intermittency and volatility of renewable energy generation. However, there is no guarantee that the deployment of renewable energy will occur as we anticipate and at the rate estimated by BloombergNEF.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market for our products and solutions is competitive and we may face increased competition as new and existing competitors introduce energy storage solutions and components. Furthermore, as we expand our services and digital applications in the future, we may face other competitors including software providers and some hardware manufacturers that offer software solutions. If our market share declines due to increased competition or if we are not able to compete as we expect, our revenue and ability to generate profits in the future may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historically experienced seasonality and see increased order intake in our third and fourth fiscal quarters (April – September), driven by demand in the Northern Hemisphere to install energy storage products and solutions before the summer of the following year. Combined third and fourth fiscal quarter order intake have historically accounted for 80% or more of our total intake each year. Revenue generation is typically significantly stronger in our third and fourth fiscal quarters as we provide the majority of our products and solutions to customers during these periods. However, as we and the market mature we are seeing less seasonality. Fiscal year 2022 third and fourth quarter order intake accounted for only 48% of our total intake for the year. Cash flows historically have been negative in our first and second fiscal quarters, neutral to positive in our third fiscal quarter, and positive in our fourth fiscal quarter. Our services and digital applications and solutions offerings do not experience the same seasonality given their recurring nature.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Compliance</w:t>
      </w:r>
    </w:p>
    <w:p>
      <w:pPr>
        <w:spacing w:after="0" w:line="23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Governments across the globe have announced and implemented various policies, regulation and legislation to support the transition from fossil fuels to low-carbon forms of energy and to support and accelerate adoption of clean and/or reliable distributed generation technologies. The operation of our business and our customers’ use of our products and services are impacted by these various government actions. For example, in August 2022, the United States passed the Inflation Reduction Act of 2022 (the “IRA”), which consists of a number of provisions aimed directly at confronting the climate change crisis. Among other things, the IRA introduced an investment tax credit (ITC) for standalone energy storage and it contains provisions with incentives for grid modernization equipment including domestic battery cell manufacturing, battery module manufacturing and its components, as well as various upstream applications.</w:t>
      </w:r>
    </w:p>
    <w:p>
      <w:pPr>
        <w:spacing w:after="0" w:line="2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Although we generally are not regulated as a utility, federal, state, and local government statutes and regulations concerning electricity heavily influence the market for our product and services. These statutes and regulations, like the IRA, often relate to electricity pricing, transmission and distribution rates, net metering, incentives, taxation, competition with utilities and the interconnection of customer-owned electricity generation. We believe we are well positioned to capture incentives contained in the IRA and that its enactment is favorable to our business and our future operations. However, as this legislation was recently adopted in August 2022 and we have not yet seen the impact these IRA related incentives may have on our business, operations and financial performance as we go forward and cannot guarantee we will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realize anticipated benefits of incentives under the IRA. We are continuing to evaluate the overall impact and applicability of the IRA to our expected results of operations going forward.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describes certain line items in our condensed consolidated statements of operations and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4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We generate revenue from energy storage products and solutions,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revenues from selling energy storage products. When we sell a battery-based energy storage product and solution, we enter into a contract with our customers covering the price, specifications, delivery dates and warranty for the products being purchased, among other things. The manner in which a solution is provided to a customer may vary, not all solutions may require Fluence to procure batteries 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behalf of a customer. A solution may only require logistics, design, installation and/or commission services depending on customer requirements. The Company also generates revenue by providing consulting services to AES whereby Fluence has agreed to advise, and in some cases provide support to AES, on procurement, logistics, design, safety and commissioning of certain of their projects.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w:t>
      </w:r>
    </w:p>
    <w:p>
      <w:pPr>
        <w:spacing w:after="0" w:line="19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Our revenue growth is dependent on continued growth in the amount of battery-based energy storage products and solutions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don’t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(loss) and gross profit margin may vary from quarter to quarter and are primarily affected by our sales volume, product prices, product costs, product mix, customer mix, geographical mix, shipping method, and 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expenses consist of personnel-related costs across our global R&amp;D centers for engineers engaged in the design and development and testing of our integrated products and technologies. Engineering competencies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include data science, software development, network and cyber security, battery systems engineering, industrial controls, UI / UX, mechanical design, and more. R&amp;D expenses also support three product testing labs located across the globe, including a new system-level testing facility in Pennsylvania that will be used for quality assurance and the rapid iteration, testing, and launching of new Fluence energy storage technology and products. We expect research and development expenses to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and marketing expenses consist primarily of personnel-related expenses, including salaries, stock-based compensation, and employee benefits.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intend to expand our sales presence and marketing efforts to additional countries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expense consists primarily of interest previously incurred on our now extinguished Line of Credit and Promissory Notes (each as defined below), unused line fees related to the revolving credit facility (the “Revolver”) pursuant to a credit agreement by and among Fluence Energy, LLC, as the borrower, Fluence Energy, Inc., as a parent guarantor, the subsidiary guarantors party thereto, the lenders party thereto and JP Morgan Chase Bank, N.A., as administrative agent and collateral agent (the “Credit Agreement”), and amortization of debt issuance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(expense), net consists of income (expense) from foreign currency exchange adjustments for monetary assets and liabilities.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Historically, prior to our IPO, Fluence Energy, LLC was not subject to U.S. federal or state income tax. As such, Fluence Energy, LLC did not pay U.S. federal or state income tax, as taxable income or loss will be included in the U.S. tax returns of its members. Fluence Energy, LLC was subject to income taxes, including withholding taxes, outside the U.S. and our income tax expense (benefit) on the consolidated statements of operations primarily relates to income taxes from foreign operations, withholding taxes on intercompany royalties and changes in valuation allowances related to deferred tax assets of certain foreign subsidiaries. After our IPO, we are now subject to U.S. federal and state income taxes with respect to our allocable share of any taxable income or loss of Fluence Energy, LLC, and are taxed at the prevailing corporate tax rates. We will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43" w:lineRule="exact"/>
        <w:rPr>
          <w:sz w:val="20"/>
          <w:szCs w:val="20"/>
          <w:color w:val="auto"/>
        </w:rPr>
      </w:pPr>
    </w:p>
    <w:p>
      <w:pPr>
        <w:ind w:right="280" w:firstLine="324"/>
        <w:spacing w:after="0" w:line="243" w:lineRule="auto"/>
        <w:rPr>
          <w:sz w:val="20"/>
          <w:szCs w:val="20"/>
          <w:color w:val="auto"/>
        </w:rPr>
      </w:pPr>
      <w:r>
        <w:rPr>
          <w:rFonts w:ascii="Arial" w:cs="Arial" w:eastAsia="Arial" w:hAnsi="Arial"/>
          <w:sz w:val="18"/>
          <w:szCs w:val="18"/>
          <w:color w:val="auto"/>
        </w:rPr>
        <w:t>The following tables present our key operating metrics as of March 31, 2023 and September 30, 2022, and order intake for the three and six months ended March 31, 2023 and 2022. The tables below present the metrics in either Gigawatts (GW) or Gigawatt hours (GWh). Our key operating metrics focus on project milestones to measure our performance and designate each project as either “deployed”, “assets under management”, “contracted” or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4540"/>
              <w:spacing w:after="0"/>
              <w:rPr>
                <w:sz w:val="20"/>
                <w:szCs w:val="20"/>
                <w:color w:val="auto"/>
              </w:rPr>
            </w:pPr>
            <w:r>
              <w:rPr>
                <w:rFonts w:ascii="Arial" w:cs="Arial" w:eastAsia="Arial" w:hAnsi="Arial"/>
                <w:sz w:val="18"/>
                <w:szCs w:val="18"/>
                <w:b w:val="1"/>
                <w:bCs w:val="1"/>
                <w:color w:val="auto"/>
                <w:w w:val="92"/>
              </w:rPr>
              <w:t>March 31, 2023</w:t>
            </w:r>
          </w:p>
        </w:tc>
        <w:tc>
          <w:tcPr>
            <w:tcW w:w="520" w:type="dxa"/>
            <w:vAlign w:val="bottom"/>
          </w:tcPr>
          <w:p>
            <w:pPr>
              <w:spacing w:after="0"/>
              <w:rPr>
                <w:sz w:val="20"/>
                <w:szCs w:val="20"/>
                <w:color w:val="auto"/>
              </w:rPr>
            </w:pPr>
          </w:p>
        </w:tc>
        <w:tc>
          <w:tcPr>
            <w:tcW w:w="2160" w:type="dxa"/>
            <w:vAlign w:val="bottom"/>
          </w:tcPr>
          <w:p>
            <w:pPr>
              <w:jc w:val="right"/>
              <w:ind w:right="350"/>
              <w:spacing w:after="0"/>
              <w:rPr>
                <w:sz w:val="20"/>
                <w:szCs w:val="20"/>
                <w:color w:val="auto"/>
              </w:rPr>
            </w:pPr>
            <w:r>
              <w:rPr>
                <w:rFonts w:ascii="Arial" w:cs="Arial" w:eastAsia="Arial" w:hAnsi="Arial"/>
                <w:sz w:val="18"/>
                <w:szCs w:val="18"/>
                <w:b w:val="1"/>
                <w:bCs w:val="1"/>
                <w:color w:val="auto"/>
              </w:rPr>
              <w:t>September 30, 2022</w:t>
            </w: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7"/>
        </w:trPr>
        <w:tc>
          <w:tcPr>
            <w:tcW w:w="5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 and Solutions</w:t>
            </w:r>
          </w:p>
        </w:tc>
        <w:tc>
          <w:tcPr>
            <w:tcW w:w="5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Deployed (GW)</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14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Deployed (GWh)</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Contracted Backlog (GW)</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140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(GW)</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5"/>
              </w:rPr>
              <w:t>10.7</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 (GWh)</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5"/>
              </w:rPr>
              <w:t>27.5</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22.6</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GW)</w:t>
            </w:r>
          </w:p>
        </w:tc>
        <w:tc>
          <w:tcPr>
            <w:tcW w:w="3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 2023</w:t>
            </w:r>
          </w:p>
        </w:tc>
        <w:tc>
          <w:tcPr>
            <w:tcW w:w="2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September 30, 2022</w:t>
            </w:r>
          </w:p>
        </w:tc>
        <w:tc>
          <w:tcPr>
            <w:tcW w:w="1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30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Assets under Management</w:t>
            </w:r>
          </w:p>
        </w:tc>
        <w:tc>
          <w:tcPr>
            <w:tcW w:w="300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1440" w:type="dxa"/>
            <w:vAlign w:val="bottom"/>
          </w:tcPr>
          <w:p>
            <w:pPr>
              <w:jc w:val="center"/>
              <w:ind w:left="570"/>
              <w:spacing w:after="0"/>
              <w:rPr>
                <w:sz w:val="20"/>
                <w:szCs w:val="20"/>
                <w:color w:val="auto"/>
              </w:rPr>
            </w:pPr>
            <w:r>
              <w:rPr>
                <w:rFonts w:ascii="Arial" w:cs="Arial" w:eastAsia="Arial" w:hAnsi="Arial"/>
                <w:sz w:val="18"/>
                <w:szCs w:val="18"/>
                <w:color w:val="auto"/>
                <w:w w:val="87"/>
              </w:rPr>
              <w:t>0.2</w:t>
            </w:r>
          </w:p>
        </w:tc>
        <w:tc>
          <w:tcPr>
            <w:tcW w:w="14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3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14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7"/>
              </w:rPr>
              <w:t>0.8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3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w:t>
            </w:r>
          </w:p>
        </w:tc>
        <w:tc>
          <w:tcPr>
            <w:tcW w:w="14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1"/>
              </w:rPr>
              <w:t>(1.3)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GW)</w:t>
            </w:r>
          </w:p>
        </w:tc>
        <w:tc>
          <w:tcPr>
            <w:tcW w:w="3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March 31, 2023</w:t>
            </w:r>
          </w:p>
        </w:tc>
        <w:tc>
          <w:tcPr>
            <w:tcW w:w="2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September 30, 2022</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30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Assets under Management</w:t>
            </w:r>
          </w:p>
        </w:tc>
        <w:tc>
          <w:tcPr>
            <w:tcW w:w="3020" w:type="dxa"/>
            <w:vAlign w:val="bottom"/>
          </w:tcPr>
          <w:p>
            <w:pPr>
              <w:jc w:val="right"/>
              <w:ind w:right="110"/>
              <w:spacing w:after="0"/>
              <w:rPr>
                <w:sz w:val="20"/>
                <w:szCs w:val="20"/>
                <w:color w:val="auto"/>
              </w:rPr>
            </w:pPr>
            <w:r>
              <w:rPr>
                <w:rFonts w:ascii="Arial" w:cs="Arial" w:eastAsia="Arial" w:hAnsi="Arial"/>
                <w:sz w:val="18"/>
                <w:szCs w:val="18"/>
                <w:color w:val="auto"/>
              </w:rPr>
              <w:t>14.8</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13.7</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4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3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3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21.4</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19.6</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The table below reflect adjustments made to the 2022 contracted figures reported for energy storage products and digital contracts as a result of enhanced internal control procedures implemented by management during our 2022 year end procedures. Previously we reported energy storage products contracted of 0.6 GW for the three months ended March 31, 2022, digital contracted of 2.8 GW and 3.1 GW for the three months and six months ended March 31, 2022, respectively. Further, prior period metrics were previously presented in Megawatts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12"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Three Months Ended</w:t>
      </w:r>
    </w:p>
    <w:p>
      <w:pPr>
        <w:spacing w:after="0" w:line="1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4445</wp:posOffset>
            </wp:positionV>
            <wp:extent cx="1276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2600"/>
        <w:spacing w:after="0"/>
        <w:rPr>
          <w:sz w:val="20"/>
          <w:szCs w:val="20"/>
          <w:color w:val="auto"/>
        </w:rPr>
      </w:pPr>
      <w:r>
        <w:rPr>
          <w:rFonts w:ascii="Arial" w:cs="Arial" w:eastAsia="Arial" w:hAnsi="Arial"/>
          <w:sz w:val="16"/>
          <w:szCs w:val="16"/>
          <w:b w:val="1"/>
          <w:bCs w:val="1"/>
          <w:color w:val="auto"/>
        </w:rPr>
        <w:t>Six Months Ended</w:t>
      </w:r>
    </w:p>
    <w:p>
      <w:pPr>
        <w:spacing w:after="0" w:line="12"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4445</wp:posOffset>
            </wp:positionV>
            <wp:extent cx="1268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6500" w:space="720"/>
            <w:col w:w="40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GW)</w:t>
            </w: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 %</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 %</w:t>
            </w:r>
          </w:p>
        </w:tc>
      </w:tr>
      <w:tr>
        <w:trPr>
          <w:trHeight w:val="169"/>
        </w:trPr>
        <w:tc>
          <w:tcPr>
            <w:tcW w:w="25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97"/>
              </w:rPr>
              <w:t>Energy Storage Products and</w:t>
            </w: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Solutions</w:t>
            </w:r>
          </w:p>
        </w:tc>
        <w:tc>
          <w:tcPr>
            <w:tcW w:w="10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0.6</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w:t>
            </w:r>
          </w:p>
        </w:tc>
        <w:tc>
          <w:tcPr>
            <w:tcW w:w="10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5"/>
              </w:rPr>
              <w:t>0.1</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20 %</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w:t>
            </w:r>
          </w:p>
        </w:tc>
        <w:tc>
          <w:tcPr>
            <w:tcW w:w="10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5"/>
              </w:rPr>
              <w:t>0.7</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233 %</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w:t>
            </w:r>
          </w:p>
        </w:tc>
        <w:tc>
          <w:tcPr>
            <w:tcW w:w="1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1"/>
              </w:rPr>
              <w:t>(0.2)</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Deployed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Deployed represents cumulative energy storage products and solutions that have achieved substantial completion and are not decommissioned.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Deployed is monitored by management to measure our performance towards achieving project milestones.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2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Assets under management for service contracts represents our long-term service contracts with customers associated with our completed energy storage system products and solutions. We start providing maintenance, monitoring, or other</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operational services after the storage product projects are completed. In some cases, services may be commenced for energy storage solutions prior to achievement of substantial completion.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 .</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Contracted Backlog</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Contracted/Order Intake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Contracted, which we use interchangeably with “Order Intake”, represents new energy storage product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revenues and enables evaluation of the effectiveness of the Company’s sales activity and the attractiveness of its offerings in the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Pipeline represents our uncontracted, potential revenue from energy storage products, service, and digital software contracts, which have a reasonable likelihood of contract execution within 24 months. Pipeline is an internal management metric that we construct from market information reported by our global sales force. Pipeline is monitored by management to understand the anticipated growth of our Company and our estimated future revenue related to customer contracts for our battery-based energy storage products and solutions, services and digital software.</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as anticipated or in a timely manner, we could experience a reduction in revenue, profitability,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contains references to certain non-GAAP financial measures, including Adjusted EBITDA, Adjusted Gross Profit (Loss), Adjusted Gross Profit Margin, Adjusted Net Loss, and Free Cash Flow.</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 is calculated from the consolidated statements of operations using net income (loss) adjusted for (i) interest income (expense), net,</w:t>
      </w:r>
    </w:p>
    <w:p>
      <w:pPr>
        <w:spacing w:after="0" w:line="46" w:lineRule="exact"/>
        <w:rPr>
          <w:sz w:val="20"/>
          <w:szCs w:val="20"/>
          <w:color w:val="auto"/>
        </w:rPr>
      </w:pPr>
    </w:p>
    <w:p>
      <w:pPr>
        <w:ind w:firstLine="8"/>
        <w:spacing w:after="0" w:line="260" w:lineRule="auto"/>
        <w:tabs>
          <w:tab w:leader="none" w:pos="2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taxes, (iii) depreciation and amortization, (iv) stock-based compensation, and (v) other income or expenses. Adjusted EBITDA may in the future also be adjusted for amounts impacting net income related to the Tax Receivable Agreement liability.</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Gross Profit (Loss) is calculated using gross profit (loss), adjusted to exclude (i) stock-based compensation expenses and (ii) certain other income or expenses. Adjusted Gross Profit Margin is calculated using Adjusted Gross Profit (Loss) divided by total revenue.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Net Loss is calculated using net loss, adjusted to exclude (i) amortization of intangibles, (ii) stock-based compensation, (iii) other income or expenses, and (iv) tax impact of these adjustments.</w:t>
      </w:r>
    </w:p>
    <w:p>
      <w:pPr>
        <w:spacing w:after="0" w:line="8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Free Cash Flow is calculated from the consolidated statements of cash flows and is defined as net cash provided by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our non-GAAP measures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3"/>
          </w:tcPr>
          <w:p>
            <w:pPr>
              <w:jc w:val="right"/>
              <w:ind w:right="110"/>
              <w:spacing w:after="0" w:line="189" w:lineRule="exact"/>
              <w:rPr>
                <w:sz w:val="20"/>
                <w:szCs w:val="20"/>
                <w:color w:val="auto"/>
              </w:rPr>
            </w:pPr>
            <w:r>
              <w:rPr>
                <w:rFonts w:ascii="Arial" w:cs="Arial" w:eastAsia="Arial" w:hAnsi="Arial"/>
                <w:sz w:val="18"/>
                <w:szCs w:val="18"/>
                <w:b w:val="1"/>
                <w:bCs w:val="1"/>
                <w:color w:val="auto"/>
                <w:w w:val="93"/>
              </w:rPr>
              <w:t>Three Months Ended</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Borders>
              <w:top w:val="single" w:sz="8" w:color="auto"/>
            </w:tcBorders>
            <w:gridSpan w:val="4"/>
          </w:tcPr>
          <w:p>
            <w:pPr>
              <w:ind w:left="60"/>
              <w:spacing w:after="0" w:line="189" w:lineRule="exact"/>
              <w:rPr>
                <w:sz w:val="20"/>
                <w:szCs w:val="20"/>
                <w:color w:val="auto"/>
              </w:rPr>
            </w:pPr>
            <w:r>
              <w:rPr>
                <w:rFonts w:ascii="Arial" w:cs="Arial" w:eastAsia="Arial" w:hAnsi="Arial"/>
                <w:sz w:val="18"/>
                <w:szCs w:val="18"/>
                <w:b w:val="1"/>
                <w:bCs w:val="1"/>
                <w:color w:val="auto"/>
                <w:w w:val="93"/>
              </w:rPr>
              <w:t>Six Months Ended March</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31,</w:t>
            </w: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Change</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 %</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Change</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(23,307)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(172,164)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(97,574)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3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Interest expense (income),</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(1,532)</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(2,803)</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w:t>
            </w:r>
            <w:r>
              <w:rPr>
                <w:rFonts w:ascii="Arial" w:cs="Arial" w:eastAsia="Arial" w:hAnsi="Arial"/>
                <w:sz w:val="23"/>
                <w:szCs w:val="23"/>
                <w:i w:val="1"/>
                <w:iCs w:val="1"/>
                <w:color w:val="auto"/>
                <w:vertAlign w:val="superscript"/>
              </w:rPr>
              <w:t>(a)</w:t>
            </w: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color w:val="auto"/>
                <w:w w:val="99"/>
              </w:rPr>
              <w:t>Income tax expense (benefit)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(254)</w:t>
            </w: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(1,226)</w:t>
            </w: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Depreciation and amortization</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2,669</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1,176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5,093</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line="230" w:lineRule="exact"/>
              <w:rPr>
                <w:sz w:val="20"/>
                <w:szCs w:val="20"/>
                <w:color w:val="auto"/>
              </w:rPr>
            </w:pPr>
            <w:r>
              <w:rPr>
                <w:rFonts w:ascii="Arial" w:cs="Arial" w:eastAsia="Arial" w:hAnsi="Arial"/>
                <w:sz w:val="18"/>
                <w:szCs w:val="18"/>
                <w:color w:val="auto"/>
                <w:w w:val="97"/>
              </w:rPr>
              <w:t>Stock-based compensation</w:t>
            </w:r>
            <w:r>
              <w:rPr>
                <w:rFonts w:ascii="Arial" w:cs="Arial" w:eastAsia="Arial" w:hAnsi="Arial"/>
                <w:sz w:val="23"/>
                <w:szCs w:val="23"/>
                <w:i w:val="1"/>
                <w:iCs w:val="1"/>
                <w:color w:val="auto"/>
                <w:w w:val="97"/>
                <w:vertAlign w:val="superscript"/>
              </w:rPr>
              <w:t>(b)</w:t>
            </w:r>
          </w:p>
        </w:tc>
        <w:tc>
          <w:tcPr>
            <w:tcW w:w="1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7,263</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2,728</w:t>
            </w: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4,535</w:t>
            </w:r>
          </w:p>
        </w:tc>
        <w:tc>
          <w:tcPr>
            <w:tcW w:w="1200" w:type="dxa"/>
            <w:vAlign w:val="bottom"/>
          </w:tcPr>
          <w:p>
            <w:pPr>
              <w:jc w:val="right"/>
              <w:spacing w:after="0"/>
              <w:rPr>
                <w:sz w:val="20"/>
                <w:szCs w:val="20"/>
                <w:color w:val="auto"/>
              </w:rPr>
            </w:pPr>
            <w:r>
              <w:rPr>
                <w:rFonts w:ascii="Arial" w:cs="Arial" w:eastAsia="Arial" w:hAnsi="Arial"/>
                <w:sz w:val="18"/>
                <w:szCs w:val="18"/>
                <w:color w:val="auto"/>
              </w:rPr>
              <w:t>166 %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15,763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27,605</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(11,842)</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340" w:type="dxa"/>
            <w:vAlign w:val="bottom"/>
            <w:tcBorders>
              <w:bottom w:val="single" w:sz="8" w:color="auto"/>
            </w:tcBorders>
            <w:shd w:val="clear" w:color="auto" w:fill="CCEEFF"/>
          </w:tcPr>
          <w:p>
            <w:pPr>
              <w:ind w:left="20"/>
              <w:spacing w:after="0" w:line="243"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(c)</w:t>
            </w: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3,843</w:t>
            </w: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1,137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5,927</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44,056</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(38,129)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(24,825)</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28,369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45,747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73" w:lineRule="auto"/>
        <w:tabs>
          <w:tab w:leader="none" w:pos="207"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Net interest expense (income) for the three months ended March 31, 2023 consists of $1.1 million of interest expense and $2.2 million of interest income. Net interest expense (income) for the three months ended March 31, 2022 consists of $0.7 million of interest expense and $0.2 million of interest income.</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4"/>
          <w:szCs w:val="14"/>
          <w:i w:val="1"/>
          <w:iCs w:val="1"/>
          <w:color w:val="auto"/>
        </w:rPr>
        <w:t>Net interest expense (income) for the six months ended March 31, 2023 consists of $2.0 million of interest expense and $3.7 million of interest income. Net interest expense (income) for the six months ended March 31, 2022 consists of $1.4 million of interest expense and $0.3 million of interest income.</w:t>
      </w:r>
    </w:p>
    <w:p>
      <w:pPr>
        <w:spacing w:after="0" w:line="201"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incentive awards that will be settled in shares and incentive awards that will be settled in cash.</w:t>
      </w:r>
    </w:p>
    <w:p>
      <w:pPr>
        <w:spacing w:after="0" w:line="257" w:lineRule="exact"/>
        <w:rPr>
          <w:rFonts w:ascii="Arial" w:cs="Arial" w:eastAsia="Arial" w:hAnsi="Arial"/>
          <w:sz w:val="14"/>
          <w:szCs w:val="14"/>
          <w:i w:val="1"/>
          <w:iCs w:val="1"/>
          <w:color w:val="auto"/>
        </w:rPr>
      </w:pPr>
    </w:p>
    <w:p>
      <w:pPr>
        <w:jc w:val="both"/>
        <w:ind w:firstLine="8"/>
        <w:spacing w:after="0" w:line="277" w:lineRule="auto"/>
        <w:tabs>
          <w:tab w:leader="none" w:pos="19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Amount for the three months ended March 31, 2023 included $1.2 million in severance costs and consulting fees related to the restructuring plan, $0.8 million related to the 2021 Cargo Loss Incident, $1.1 million for external expenses related to the ongoing remediation of our material weakness disclosed in our FY 2022 Form 10-K, and $0.7 million in legal fees related to the 2021 and 2022 overheating events at customer facilities.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Amount for the three months ended March 31, 2022 included a $(1.7) million reduction related to COVID-19 pandemic costs as a result of release of $(6.4) million prior period project charges net of excess shipping costs of approximately $4.7 million which was mostly related to excess port and demurrage fees as a direct result of pandemic-related port disruptions and work shortages and a $4.4 million loss related to the 2021 Cargo Loss Incident.</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Amount for the six months ended March 31, 2023 included $2.7 million in severance costs and consulting fees related to the restructuring plan, $1.9 million related to the 2021 Cargo Loss Incident, $1.1 million for external expenses related to the ongoing remediation of our material weakness disclosed in our FY 2022 Form 10-K, and $0.2 million in legal fees related to the 2021 and 2022 overheating events at customer facilities.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i w:val="1"/>
          <w:iCs w:val="1"/>
          <w:color w:val="auto"/>
        </w:rPr>
        <w:t>Amount for the six months ended March 31, 2022 included $35.3 million of costs related to COVID-19 pandemic including excess shipping costs, project charges and other costs, a $8.6 million loss related to the 2021 Cargo Loss Incident, and $0.1 million IPO-related expenses which did not qualify for capitalization. The incremental costs due to COVID-19 pandemic includes (a) approximately $6.4 million due to excess shipping costs primarily related to abnormally high shipping rates resulting from pandemic-related disruptions in the global supply chain and our distribution channels, (b) additional costs of approximately $4.0 million related to excess port and demurrage fees as a direct result of pandemic-related port disruptions and work shortages, (c) approximately $14.4 million in incremental charges and excess costs incurred during the introduction of our newly launched Gen6 solutions due to disruptions in normal course quality assurance processes and (d) approximately $10.5 million in incremental project charges principally related to liquidated damages under the terms of our customer contracts.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3"/>
          </w:tcPr>
          <w:p>
            <w:pPr>
              <w:jc w:val="right"/>
              <w:ind w:right="210"/>
              <w:spacing w:after="0" w:line="198" w:lineRule="exact"/>
              <w:rPr>
                <w:sz w:val="20"/>
                <w:szCs w:val="20"/>
                <w:color w:val="auto"/>
              </w:rPr>
            </w:pPr>
            <w:r>
              <w:rPr>
                <w:rFonts w:ascii="Arial" w:cs="Arial" w:eastAsia="Arial" w:hAnsi="Arial"/>
                <w:sz w:val="18"/>
                <w:szCs w:val="18"/>
                <w:b w:val="1"/>
                <w:bCs w:val="1"/>
                <w:color w:val="auto"/>
                <w:w w:val="95"/>
              </w:rPr>
              <w:t>Three Months Ended</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Six Months Ended March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Change</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7"/>
              </w:rPr>
              <w:t>Change</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7"/>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698,186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342,724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355,462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7"/>
              </w:rPr>
              <w:t>1,008,646</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491,035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Cost of goods and services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667,373</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357,472</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309,901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965,793</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585,508</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380,285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7"/>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30,813</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(14,748)</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(45,561)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42,853</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0"/>
              </w:rPr>
              <w:t>(110,750)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Stock-based</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1,256</w:t>
            </w:r>
          </w:p>
        </w:tc>
        <w:tc>
          <w:tcPr>
            <w:tcW w:w="3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507</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2,156</w:t>
            </w: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(2,121)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compensation</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(b)</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(179)</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(2,885)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1,563</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(42,409)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Adjusted Gross Profit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31,890</w:t>
            </w:r>
          </w:p>
        </w:tc>
        <w:tc>
          <w:tcPr>
            <w:tcW w:w="3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92"/>
              </w:rPr>
              <w:t>(11,293)</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(43,183)</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46,572</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(66,220)</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9"/>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gridSpan w:val="2"/>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gridSpan w:val="2"/>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120" w:type="dxa"/>
            <w:vAlign w:val="bottom"/>
          </w:tcPr>
          <w:p>
            <w:pPr>
              <w:ind w:left="20"/>
              <w:spacing w:after="0" w:line="173" w:lineRule="exact"/>
              <w:rPr>
                <w:sz w:val="20"/>
                <w:szCs w:val="20"/>
                <w:color w:val="auto"/>
              </w:rPr>
            </w:pPr>
            <w:r>
              <w:rPr>
                <w:rFonts w:ascii="Arial" w:cs="Arial" w:eastAsia="Arial" w:hAnsi="Arial"/>
                <w:sz w:val="18"/>
                <w:szCs w:val="18"/>
                <w:b w:val="1"/>
                <w:bCs w:val="1"/>
                <w:color w:val="auto"/>
              </w:rPr>
              <w:t>Adjusted Gross Profit</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4.6 %</w:t>
            </w:r>
          </w:p>
        </w:tc>
        <w:tc>
          <w:tcPr>
            <w:tcW w:w="34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4.6 %</w:t>
            </w:r>
          </w:p>
        </w:tc>
        <w:tc>
          <w:tcPr>
            <w:tcW w:w="260" w:type="dxa"/>
            <w:vAlign w:val="bottom"/>
          </w:tcPr>
          <w:p>
            <w:pPr>
              <w:spacing w:after="0"/>
              <w:rPr>
                <w:sz w:val="15"/>
                <w:szCs w:val="15"/>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Margin %</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incentive awards that will be settled in shares and incentive awards that will be settled in cash.</w:t>
      </w:r>
    </w:p>
    <w:p>
      <w:pPr>
        <w:spacing w:after="0" w:line="257" w:lineRule="exact"/>
        <w:rPr>
          <w:rFonts w:ascii="Arial" w:cs="Arial" w:eastAsia="Arial" w:hAnsi="Arial"/>
          <w:sz w:val="14"/>
          <w:szCs w:val="14"/>
          <w:i w:val="1"/>
          <w:iCs w:val="1"/>
          <w:color w:val="auto"/>
        </w:rPr>
      </w:pPr>
    </w:p>
    <w:p>
      <w:pPr>
        <w:ind w:firstLine="8"/>
        <w:spacing w:after="0" w:line="293" w:lineRule="auto"/>
        <w:tabs>
          <w:tab w:leader="none" w:pos="20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Amount for the three months ended March 31, 2023 included reversal of costs of $(0.3) million related to legal matters, primarily related to the 2021 Cargo Loss Incident and the 2021 and 2022 overheating events at customer facilities and $0.1 million in severance costs related to the restructuring plan.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Amount for the three months ended March 31, 2022 included a $(1.7) million reduction related to COVID-19 pandemic costs as a result of release of $(6.4) million prior period project charges net of excess shipping costs of approximately $4.7 million which was mostly related to excess port and demurrage fees as a direct result of pandemic-related port disruptions and work shortages and a $4.4 million loss related to the 2021 Cargo Loss Incident.</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i w:val="1"/>
          <w:iCs w:val="1"/>
          <w:color w:val="auto"/>
        </w:rPr>
        <w:t>Amount for the six months ended March 31, 2023 included $1.3 million related to legal matters, primarily related to the 2021 Cargo Loss Incident and 2021 and 2022 overheating events at customer facilities and $0.3 million in severance costs related the restructuring plan.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i w:val="1"/>
          <w:iCs w:val="1"/>
          <w:color w:val="auto"/>
        </w:rPr>
        <w:t>Amount for the six months ended March 31, 2022 included $35.3 million costs related to COVID-19 pandemic including excess shipping costs, project charges and other costs as discussed above, and a $8.6 million loss related to the 2021 Cargo Loss Incident. The incremental costs due to COVID-19 pandemic includes (a) approximately $6.4 million due to excess shipping costs primarily related to abnormally high shipping rates resulting from pandemic-related disruptions in the global supply chain and our distribution channels, (b) additional costs of approximately $4.0 million related to excess port and demurrage fees as a direct result of pandemic-related port disruptions and work shortages, (c) approximately $14.4 million in incremental charges and excess costs incurred during the introduction of our newly launched Gen6 solutions due to disruptions in normal course quality assurance processes, and (d) approximately $10.5 million in incremental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project charges principally related to liquidated damages under the terms of our customer contracts</w:t>
      </w:r>
      <w:r>
        <w:rPr>
          <w:rFonts w:ascii="Arial" w:cs="Arial" w:eastAsia="Arial" w:hAnsi="Arial"/>
          <w:sz w:val="17"/>
          <w:szCs w:val="17"/>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4"/>
          </w:tcPr>
          <w:p>
            <w:pPr>
              <w:jc w:val="right"/>
              <w:spacing w:after="0" w:line="189" w:lineRule="exact"/>
              <w:rPr>
                <w:sz w:val="20"/>
                <w:szCs w:val="20"/>
                <w:color w:val="auto"/>
              </w:rPr>
            </w:pPr>
            <w:r>
              <w:rPr>
                <w:rFonts w:ascii="Arial" w:cs="Arial" w:eastAsia="Arial" w:hAnsi="Arial"/>
                <w:sz w:val="18"/>
                <w:szCs w:val="18"/>
                <w:b w:val="1"/>
                <w:bCs w:val="1"/>
                <w:color w:val="auto"/>
                <w:w w:val="93"/>
              </w:rPr>
              <w:t>Three Months Ended March</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3"/>
          </w:tcPr>
          <w:p>
            <w:pPr>
              <w:jc w:val="right"/>
              <w:ind w:right="50"/>
              <w:spacing w:after="0" w:line="189" w:lineRule="exact"/>
              <w:rPr>
                <w:sz w:val="20"/>
                <w:szCs w:val="20"/>
                <w:color w:val="auto"/>
              </w:rPr>
            </w:pPr>
            <w:r>
              <w:rPr>
                <w:rFonts w:ascii="Arial" w:cs="Arial" w:eastAsia="Arial" w:hAnsi="Arial"/>
                <w:sz w:val="18"/>
                <w:szCs w:val="18"/>
                <w:b w:val="1"/>
                <w:bCs w:val="1"/>
                <w:color w:val="auto"/>
                <w:w w:val="92"/>
              </w:rPr>
              <w:t>Six Months Ended March</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31,</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31,</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Change</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Change</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(23,307)</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(97,574)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19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Amortization of</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1,354</w:t>
            </w:r>
          </w:p>
        </w:tc>
        <w:tc>
          <w:tcPr>
            <w:tcW w:w="2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434</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2,894</w:t>
            </w:r>
          </w:p>
        </w:tc>
        <w:tc>
          <w:tcPr>
            <w:tcW w:w="2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1,056</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line="182" w:lineRule="exact"/>
              <w:rPr>
                <w:sz w:val="20"/>
                <w:szCs w:val="20"/>
                <w:color w:val="auto"/>
              </w:rPr>
            </w:pPr>
            <w:r>
              <w:rPr>
                <w:rFonts w:ascii="Arial" w:cs="Arial" w:eastAsia="Arial" w:hAnsi="Arial"/>
                <w:sz w:val="18"/>
                <w:szCs w:val="18"/>
                <w:color w:val="auto"/>
              </w:rPr>
              <w:t>Stock-based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20" w:type="dxa"/>
            <w:vAlign w:val="bottom"/>
          </w:tcPr>
          <w:p>
            <w:pPr>
              <w:ind w:left="20"/>
              <w:spacing w:after="0" w:line="235" w:lineRule="exact"/>
              <w:rPr>
                <w:sz w:val="20"/>
                <w:szCs w:val="20"/>
                <w:color w:val="auto"/>
              </w:rPr>
            </w:pPr>
            <w:r>
              <w:rPr>
                <w:rFonts w:ascii="Arial" w:cs="Arial" w:eastAsia="Arial" w:hAnsi="Arial"/>
                <w:sz w:val="18"/>
                <w:szCs w:val="18"/>
                <w:color w:val="auto"/>
              </w:rPr>
              <w:t>compensation</w:t>
            </w:r>
            <w:r>
              <w:rPr>
                <w:rFonts w:ascii="Arial" w:cs="Arial" w:eastAsia="Arial" w:hAnsi="Arial"/>
                <w:sz w:val="23"/>
                <w:szCs w:val="23"/>
                <w:i w:val="1"/>
                <w:iCs w:val="1"/>
                <w:color w:val="auto"/>
                <w:vertAlign w:val="superscript"/>
              </w:rPr>
              <w:t>(a)</w:t>
            </w: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7,263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2,728</w:t>
            </w:r>
          </w:p>
        </w:tc>
        <w:tc>
          <w:tcPr>
            <w:tcW w:w="2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4,535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166 %</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15,763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27,605</w:t>
            </w:r>
          </w:p>
        </w:tc>
        <w:tc>
          <w:tcPr>
            <w:tcW w:w="22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(11,842)</w:t>
            </w: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3,843</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1,137</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5,927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(38,129)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2"/>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(29,413)</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(48,659)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
        </w:trPr>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incentive awards that will be settled in shares and incentive awards that will be settled in cash.</w:t>
      </w:r>
    </w:p>
    <w:p>
      <w:pPr>
        <w:spacing w:after="0" w:line="21" w:lineRule="exact"/>
        <w:rPr>
          <w:rFonts w:ascii="Arial" w:cs="Arial" w:eastAsia="Arial" w:hAnsi="Arial"/>
          <w:sz w:val="14"/>
          <w:szCs w:val="14"/>
          <w:i w:val="1"/>
          <w:iCs w:val="1"/>
          <w:color w:val="auto"/>
        </w:rPr>
      </w:pPr>
    </w:p>
    <w:p>
      <w:pPr>
        <w:ind w:left="220" w:hanging="212"/>
        <w:spacing w:after="0"/>
        <w:tabs>
          <w:tab w:leader="none" w:pos="22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Amount for the three months ended March 31, 2023 included $1.2 million in severance cost and consulting fees related to the restructuring plan, $0.8 million related to the 2021 Cargo Loss</w:t>
      </w:r>
    </w:p>
    <w:p>
      <w:pPr>
        <w:spacing w:after="0" w:line="2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i w:val="1"/>
          <w:iCs w:val="1"/>
          <w:color w:val="auto"/>
        </w:rPr>
        <w:t>Incident, $1.1 million for external expenses related to the ongoing remediation of our material weakness disclosed in our FY 2022 Form 10-K, and $0.7 million in legal fees related to the 2021 and 2022 overheating events at customer facilities.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Amount for the three months ended March 31, 2022 included a $(1.7) million reduction related to COVID-19 pandemic costs as a result of release of $(6.4) million prior period project charges net of excess shipping costs of approximately $4.7 million which was mostly related to excess port and demurrage fees as a direct result of pandemic-related port disruptions and work shortages, and a $4.4 million loss related to the 2021 Cargo Loss Incident.</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Amount for the six months ended March 31, 2023 included $2.7 million in severance costs and consulting fees related to the restructuring plan, $1.9 million related to the 2021 Cargo Loss Incident, $1.1 million for external expenses related to the ongoing remediation of our material weakness disclosed in our FY 2022 Form 10-K, and $0.2 million in legal fees related to the 2021 and 2022 overheating events at customer facilities.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i w:val="1"/>
          <w:iCs w:val="1"/>
          <w:color w:val="auto"/>
        </w:rPr>
        <w:t>Amount for the six months ended March 31, 2022 included $35.3 million costs related to COVID-19 pandemic including excess shipping costs, project charges and other costs, a $8.6 million loss related to the 2021 Cargo Loss Incident as discussed above, and $0.1 million IPO-related expenses which did not qualify for capitalization. The incremental costs due to COVID-19 pandemic includes (a) approximately $6.4 million due to excess shipping costs primarily related to abnormally high shipping rates resulting from pandemic-related disruptions in the global supply chain and our distribution channels, (b) additional costs of approximately $4.0 million related to excess port and demurrage fees as a direct result of pandemic-related port disruptions and work shortages, (c) approximately $14.4 million in incremental charges and excess costs incurred during the introduction of our newly launched Gen6 solutions due to disruptions in normal course quality assurance processes, and (d) approximately $10.5 million in incremental project charges principally related to liquidated damages under the terms of our customer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3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Six Months Ended March 31,</w:t>
            </w: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(163,411)</w:t>
            </w:r>
          </w:p>
        </w:tc>
        <w:tc>
          <w:tcPr>
            <w:tcW w:w="11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(140,996)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22,415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Purchase of property and equipment</w:t>
            </w: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(164,498)</w:t>
            </w:r>
          </w:p>
        </w:tc>
        <w:tc>
          <w:tcPr>
            <w:tcW w:w="11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(142,267)</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22,231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3"/>
          </w:tcPr>
          <w:p>
            <w:pPr>
              <w:jc w:val="right"/>
              <w:ind w:right="134"/>
              <w:spacing w:after="0" w:line="198" w:lineRule="exact"/>
              <w:rPr>
                <w:sz w:val="20"/>
                <w:szCs w:val="20"/>
                <w:color w:val="auto"/>
              </w:rPr>
            </w:pPr>
            <w:r>
              <w:rPr>
                <w:rFonts w:ascii="Arial" w:cs="Arial" w:eastAsia="Arial" w:hAnsi="Arial"/>
                <w:sz w:val="18"/>
                <w:szCs w:val="18"/>
                <w:b w:val="1"/>
                <w:bCs w:val="1"/>
                <w:color w:val="auto"/>
                <w:w w:val="94"/>
              </w:rPr>
              <w:t>Three Months Ended</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top w:val="single" w:sz="8" w:color="auto"/>
            </w:tcBorders>
            <w:gridSpan w:val="4"/>
          </w:tcPr>
          <w:p>
            <w:pPr>
              <w:jc w:val="right"/>
              <w:ind w:right="14"/>
              <w:spacing w:after="0" w:line="198" w:lineRule="exact"/>
              <w:rPr>
                <w:sz w:val="20"/>
                <w:szCs w:val="20"/>
                <w:color w:val="auto"/>
              </w:rPr>
            </w:pPr>
            <w:r>
              <w:rPr>
                <w:rFonts w:ascii="Arial" w:cs="Arial" w:eastAsia="Arial" w:hAnsi="Arial"/>
                <w:sz w:val="18"/>
                <w:szCs w:val="18"/>
                <w:b w:val="1"/>
                <w:bCs w:val="1"/>
                <w:color w:val="auto"/>
                <w:w w:val="95"/>
              </w:rPr>
              <w:t>Six Months Ended March</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5"/>
              </w:rPr>
              <w:t>31,</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90"/>
              </w:rPr>
              <w:t>Change</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Change %</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90"/>
              </w:rPr>
              <w:t>Change</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698,186</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342,724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355,462</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1,008,646</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517,611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491,035</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3"/>
              </w:rPr>
              <w:t>Costs of goods and services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667,373</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357,472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309,901</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87%</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965,793</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585,508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380,285</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30,813</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(14,748)</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(45,561)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42,853</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(67,897)</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8"/>
              </w:rPr>
              <w:t>(110,750)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Gross profit %</w:t>
            </w:r>
          </w:p>
        </w:tc>
        <w:tc>
          <w:tcPr>
            <w:tcW w:w="18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7"/>
                <w:szCs w:val="17"/>
                <w:color w:val="auto"/>
              </w:rPr>
              <w:t>4.4%</w:t>
            </w:r>
          </w:p>
        </w:tc>
        <w:tc>
          <w:tcPr>
            <w:tcW w:w="30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(4.3)%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w:t>
            </w:r>
          </w:p>
        </w:tc>
        <w:tc>
          <w:tcPr>
            <w:tcW w:w="4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(13.1)%</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140"/>
              <w:spacing w:after="0" w:line="189" w:lineRule="exact"/>
              <w:rPr>
                <w:sz w:val="20"/>
                <w:szCs w:val="20"/>
                <w:color w:val="auto"/>
              </w:rPr>
            </w:pPr>
            <w:r>
              <w:rPr>
                <w:rFonts w:ascii="Arial" w:cs="Arial" w:eastAsia="Arial" w:hAnsi="Arial"/>
                <w:sz w:val="18"/>
                <w:szCs w:val="18"/>
                <w:color w:val="auto"/>
              </w:rPr>
              <w:t>Research and</w:t>
            </w:r>
          </w:p>
        </w:tc>
        <w:tc>
          <w:tcPr>
            <w:tcW w:w="180" w:type="dxa"/>
            <w:vAlign w:val="bottom"/>
          </w:tcPr>
          <w:p>
            <w:pPr>
              <w:spacing w:after="0"/>
              <w:rPr>
                <w:sz w:val="16"/>
                <w:szCs w:val="16"/>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7"/>
                <w:szCs w:val="17"/>
                <w:color w:val="auto"/>
              </w:rPr>
              <w:t>22,551</w:t>
            </w:r>
          </w:p>
        </w:tc>
        <w:tc>
          <w:tcPr>
            <w:tcW w:w="300" w:type="dxa"/>
            <w:vAlign w:val="bottom"/>
          </w:tcPr>
          <w:p>
            <w:pPr>
              <w:spacing w:after="0"/>
              <w:rPr>
                <w:sz w:val="16"/>
                <w:szCs w:val="16"/>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7"/>
                <w:szCs w:val="17"/>
                <w:color w:val="auto"/>
              </w:rPr>
              <w:t>13,340</w:t>
            </w:r>
          </w:p>
        </w:tc>
        <w:tc>
          <w:tcPr>
            <w:tcW w:w="280" w:type="dxa"/>
            <w:vAlign w:val="bottom"/>
          </w:tcPr>
          <w:p>
            <w:pPr>
              <w:spacing w:after="0"/>
              <w:rPr>
                <w:sz w:val="16"/>
                <w:szCs w:val="16"/>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7"/>
                <w:szCs w:val="17"/>
                <w:color w:val="auto"/>
              </w:rPr>
              <w:t>9,211</w:t>
            </w:r>
          </w:p>
        </w:tc>
        <w:tc>
          <w:tcPr>
            <w:tcW w:w="1160" w:type="dxa"/>
            <w:vAlign w:val="bottom"/>
            <w:vMerge w:val="restart"/>
          </w:tcPr>
          <w:p>
            <w:pPr>
              <w:jc w:val="right"/>
              <w:ind w:right="53"/>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41,713</w:t>
            </w:r>
          </w:p>
        </w:tc>
        <w:tc>
          <w:tcPr>
            <w:tcW w:w="400" w:type="dxa"/>
            <w:vAlign w:val="bottom"/>
          </w:tcPr>
          <w:p>
            <w:pPr>
              <w:spacing w:after="0"/>
              <w:rPr>
                <w:sz w:val="16"/>
                <w:szCs w:val="16"/>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7"/>
                <w:szCs w:val="17"/>
                <w:color w:val="auto"/>
              </w:rPr>
              <w:t>24,098</w:t>
            </w:r>
          </w:p>
        </w:tc>
        <w:tc>
          <w:tcPr>
            <w:tcW w:w="280" w:type="dxa"/>
            <w:vAlign w:val="bottom"/>
          </w:tcPr>
          <w:p>
            <w:pPr>
              <w:spacing w:after="0"/>
              <w:rPr>
                <w:sz w:val="16"/>
                <w:szCs w:val="16"/>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7"/>
                <w:szCs w:val="17"/>
                <w:color w:val="auto"/>
              </w:rPr>
              <w:t>17,615</w:t>
            </w:r>
          </w:p>
        </w:tc>
        <w:tc>
          <w:tcPr>
            <w:tcW w:w="1100" w:type="dxa"/>
            <w:vAlign w:val="bottom"/>
            <w:vMerge w:val="restart"/>
          </w:tcPr>
          <w:p>
            <w:pPr>
              <w:jc w:val="right"/>
              <w:ind w:right="33"/>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10,401</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6,191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4,210</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19,193</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19,250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(57)</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160" w:type="dxa"/>
            <w:vAlign w:val="bottom"/>
          </w:tcPr>
          <w:p>
            <w:pPr>
              <w:ind w:left="140"/>
              <w:spacing w:after="0" w:line="189" w:lineRule="exact"/>
              <w:rPr>
                <w:sz w:val="20"/>
                <w:szCs w:val="20"/>
                <w:color w:val="auto"/>
              </w:rPr>
            </w:pPr>
            <w:r>
              <w:rPr>
                <w:rFonts w:ascii="Arial" w:cs="Arial" w:eastAsia="Arial" w:hAnsi="Arial"/>
                <w:sz w:val="18"/>
                <w:szCs w:val="18"/>
                <w:color w:val="auto"/>
              </w:rPr>
              <w:t>General and</w:t>
            </w:r>
          </w:p>
        </w:tc>
        <w:tc>
          <w:tcPr>
            <w:tcW w:w="180" w:type="dxa"/>
            <w:vAlign w:val="bottom"/>
          </w:tcPr>
          <w:p>
            <w:pPr>
              <w:spacing w:after="0"/>
              <w:rPr>
                <w:sz w:val="16"/>
                <w:szCs w:val="16"/>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7"/>
                <w:szCs w:val="17"/>
                <w:color w:val="auto"/>
              </w:rPr>
              <w:t>31,778</w:t>
            </w:r>
          </w:p>
        </w:tc>
        <w:tc>
          <w:tcPr>
            <w:tcW w:w="300" w:type="dxa"/>
            <w:vAlign w:val="bottom"/>
          </w:tcPr>
          <w:p>
            <w:pPr>
              <w:spacing w:after="0"/>
              <w:rPr>
                <w:sz w:val="16"/>
                <w:szCs w:val="16"/>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7"/>
                <w:szCs w:val="17"/>
                <w:color w:val="auto"/>
              </w:rPr>
              <w:t>25,237</w:t>
            </w:r>
          </w:p>
        </w:tc>
        <w:tc>
          <w:tcPr>
            <w:tcW w:w="280" w:type="dxa"/>
            <w:vAlign w:val="bottom"/>
          </w:tcPr>
          <w:p>
            <w:pPr>
              <w:spacing w:after="0"/>
              <w:rPr>
                <w:sz w:val="16"/>
                <w:szCs w:val="16"/>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7"/>
                <w:szCs w:val="17"/>
                <w:color w:val="auto"/>
              </w:rPr>
              <w:t>6,541</w:t>
            </w:r>
          </w:p>
        </w:tc>
        <w:tc>
          <w:tcPr>
            <w:tcW w:w="1160" w:type="dxa"/>
            <w:vAlign w:val="bottom"/>
            <w:vMerge w:val="restart"/>
          </w:tcPr>
          <w:p>
            <w:pPr>
              <w:jc w:val="right"/>
              <w:ind w:right="53"/>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63,045</w:t>
            </w:r>
          </w:p>
        </w:tc>
        <w:tc>
          <w:tcPr>
            <w:tcW w:w="400" w:type="dxa"/>
            <w:vAlign w:val="bottom"/>
          </w:tcPr>
          <w:p>
            <w:pPr>
              <w:spacing w:after="0"/>
              <w:rPr>
                <w:sz w:val="16"/>
                <w:szCs w:val="16"/>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7"/>
                <w:szCs w:val="17"/>
                <w:color w:val="auto"/>
              </w:rPr>
              <w:t>56,438</w:t>
            </w:r>
          </w:p>
        </w:tc>
        <w:tc>
          <w:tcPr>
            <w:tcW w:w="280" w:type="dxa"/>
            <w:vAlign w:val="bottom"/>
          </w:tcPr>
          <w:p>
            <w:pPr>
              <w:spacing w:after="0"/>
              <w:rPr>
                <w:sz w:val="16"/>
                <w:szCs w:val="16"/>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7"/>
                <w:szCs w:val="17"/>
                <w:color w:val="auto"/>
              </w:rPr>
              <w:t>6,607</w:t>
            </w:r>
          </w:p>
        </w:tc>
        <w:tc>
          <w:tcPr>
            <w:tcW w:w="1100" w:type="dxa"/>
            <w:vAlign w:val="bottom"/>
            <w:vMerge w:val="restart"/>
          </w:tcPr>
          <w:p>
            <w:pPr>
              <w:jc w:val="right"/>
              <w:ind w:right="33"/>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2,669</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1,493</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1,176</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5,093</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2,920</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2,173</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7"/>
                <w:szCs w:val="17"/>
                <w:color w:val="auto"/>
              </w:rPr>
              <w:t>1,144</w:t>
            </w:r>
          </w:p>
        </w:tc>
        <w:tc>
          <w:tcPr>
            <w:tcW w:w="30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676</w:t>
            </w:r>
          </w:p>
        </w:tc>
        <w:tc>
          <w:tcPr>
            <w:tcW w:w="280" w:type="dxa"/>
            <w:vAlign w:val="bottom"/>
          </w:tcPr>
          <w:p>
            <w:pPr>
              <w:spacing w:after="0"/>
              <w:rPr>
                <w:sz w:val="19"/>
                <w:szCs w:val="19"/>
                <w:color w:val="auto"/>
              </w:rPr>
            </w:pPr>
          </w:p>
        </w:tc>
        <w:tc>
          <w:tcPr>
            <w:tcW w:w="940" w:type="dxa"/>
            <w:vAlign w:val="bottom"/>
          </w:tcPr>
          <w:p>
            <w:pPr>
              <w:jc w:val="right"/>
              <w:ind w:right="193"/>
              <w:spacing w:after="0"/>
              <w:rPr>
                <w:sz w:val="20"/>
                <w:szCs w:val="20"/>
                <w:color w:val="auto"/>
              </w:rPr>
            </w:pPr>
            <w:r>
              <w:rPr>
                <w:rFonts w:ascii="Arial" w:cs="Arial" w:eastAsia="Arial" w:hAnsi="Arial"/>
                <w:sz w:val="17"/>
                <w:szCs w:val="17"/>
                <w:color w:val="auto"/>
              </w:rPr>
              <w:t>468</w:t>
            </w:r>
          </w:p>
        </w:tc>
        <w:tc>
          <w:tcPr>
            <w:tcW w:w="1160" w:type="dxa"/>
            <w:vAlign w:val="bottom"/>
          </w:tcPr>
          <w:p>
            <w:pPr>
              <w:jc w:val="right"/>
              <w:ind w:right="53"/>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1,960</w:t>
            </w:r>
          </w:p>
        </w:tc>
        <w:tc>
          <w:tcPr>
            <w:tcW w:w="4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1,358</w:t>
            </w:r>
          </w:p>
        </w:tc>
        <w:tc>
          <w:tcPr>
            <w:tcW w:w="280" w:type="dxa"/>
            <w:vAlign w:val="bottom"/>
          </w:tcPr>
          <w:p>
            <w:pPr>
              <w:spacing w:after="0"/>
              <w:rPr>
                <w:sz w:val="19"/>
                <w:szCs w:val="19"/>
                <w:color w:val="auto"/>
              </w:rPr>
            </w:pPr>
          </w:p>
        </w:tc>
        <w:tc>
          <w:tcPr>
            <w:tcW w:w="920" w:type="dxa"/>
            <w:vAlign w:val="bottom"/>
          </w:tcPr>
          <w:p>
            <w:pPr>
              <w:jc w:val="right"/>
              <w:ind w:right="153"/>
              <w:spacing w:after="0"/>
              <w:rPr>
                <w:sz w:val="20"/>
                <w:szCs w:val="20"/>
                <w:color w:val="auto"/>
              </w:rPr>
            </w:pPr>
            <w:r>
              <w:rPr>
                <w:rFonts w:ascii="Arial" w:cs="Arial" w:eastAsia="Arial" w:hAnsi="Arial"/>
                <w:sz w:val="17"/>
                <w:szCs w:val="17"/>
                <w:color w:val="auto"/>
              </w:rPr>
              <w:t>602</w:t>
            </w:r>
          </w:p>
        </w:tc>
        <w:tc>
          <w:tcPr>
            <w:tcW w:w="1100" w:type="dxa"/>
            <w:vAlign w:val="bottom"/>
          </w:tcPr>
          <w:p>
            <w:pPr>
              <w:jc w:val="right"/>
              <w:ind w:right="33"/>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207</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1,109</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(902)</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(81)%</w:t>
            </w:r>
          </w:p>
        </w:tc>
        <w:tc>
          <w:tcPr>
            <w:tcW w:w="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12,821</w:t>
            </w: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283</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12,538</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4430%</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4"/>
              <w:spacing w:after="0"/>
              <w:rPr>
                <w:sz w:val="20"/>
                <w:szCs w:val="20"/>
                <w:color w:val="auto"/>
              </w:rPr>
            </w:pPr>
            <w:r>
              <w:rPr>
                <w:rFonts w:ascii="Arial" w:cs="Arial" w:eastAsia="Arial" w:hAnsi="Arial"/>
                <w:sz w:val="17"/>
                <w:szCs w:val="17"/>
                <w:color w:val="auto"/>
              </w:rPr>
              <w:t>(37,523)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(60,576)</w:t>
            </w:r>
          </w:p>
        </w:tc>
        <w:tc>
          <w:tcPr>
            <w:tcW w:w="28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(23,053)</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(75,330)</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w w:val="96"/>
              </w:rPr>
              <w:t>(171,678)</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(96,348)</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(126)</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128</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(254)</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(198)%</w:t>
            </w:r>
          </w:p>
        </w:tc>
        <w:tc>
          <w:tcPr>
            <w:tcW w:w="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486</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(1,226)</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(37,397)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(60,704)</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(23,307)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(74,590)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96"/>
              </w:rPr>
              <w:t>(172,164)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(97,574)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6"/>
              </w:rPr>
              <w:t>Net loss attributable to non-</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(28,977)</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(99,081)</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(12,542)</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(41,519)</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(25,093)</w:t>
            </w: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96"/>
              </w:rPr>
              <w:t>(124,174)</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Net loss attributable to</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8"/>
                <w:szCs w:val="18"/>
                <w:color w:val="auto"/>
              </w:rPr>
              <w:t>5,670</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93"/>
              <w:spacing w:after="0"/>
              <w:rPr>
                <w:sz w:val="20"/>
                <w:szCs w:val="20"/>
                <w:color w:val="auto"/>
              </w:rPr>
            </w:pPr>
            <w:r>
              <w:rPr>
                <w:rFonts w:ascii="Arial" w:cs="Arial" w:eastAsia="Arial" w:hAnsi="Arial"/>
                <w:sz w:val="18"/>
                <w:szCs w:val="18"/>
                <w:color w:val="auto"/>
              </w:rPr>
              <w:t>1,507</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Fluence Energy,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(24,855)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(19,185)</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(49,497)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(47,990)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Total revenue was $698.2 million for the three months ended March 31, 2023, compared to $342.7 million for the three months ended March 31, 2022, representing an increase of $355.5 million, or 104%. The increase in total revenue for the three months ended March 31, 2023 was mainly attributable to the expansion of sales of our battery-based energy storage products and solutions by $358.9 million offset by a decrease in augmentation services revenue of $5.2 million. The expansion of sales of our battery-based energy storage products and solutions was primarily driven by (i) higher volumes of Gen6 solutions in the Americas and APAC regions, coupled with achieving select project milestones ahead of expectations, (ii) $12.8 million in price increases through change orders issued during the period in which the performance obligations were substantially satisfied in previous periods, and (iii) $9.9 million from consulting services provided to AES.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was $1,008.6 million for the six months ended March 31, 2023, compared to $517.6 million for the six months ended March 31, 2022, representing an increase of $491.0 million, or 95%. The increase in total revenue for the six months ended March 31, 2023 was mainly attributable to the expansion of sales of our battery-based energy storage products and solutions by $492.0 million partially offset by a decrease in augmentation services revenue of $4.8 million. The expansion of sales of our battery-based energy storage products and solutions was primarily driven by (i) increased volumes of Gen6 solutions across all regions, coupled with achieving select project milestones ahead of expectations, (ii) $24.3 million in price increases through change orders issued during the period in which the performance obligations were substantially satisfied in previous periods, and (iii) $9.9 million from consulting services provided to AES.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and Services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goods and services was $667.4 million for the three months ended March 31, 2023, compared to $357.5 million for the three months ended March 31, 2022, representing an increase of $309.9 million, or 87%. The increase in cost of goods and services for the three months ended March 31, 2023 was primarily attributable (i) to an expansion of volume of Gen6 solutions sold in the Americas and APAC regions as discussed above and (ii) an increase in warranty expense of $8.9 million, which were mostly due to change in estimates for the period. These increases were partially offset by $4.4 million of costs related to the 2021 Cargo Loss Incident that did not recur in the current fiscal period.</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goods and services were $965.8 million for the six months ended March 31, 2023, compared to $585.5 million for the six months ended March 31, 2022, representing an increase of $380.3 million, or 65%. The increase in cost of goods and services for the six months ended March 31, 2023 were primarily attributable (i) to an expansion of volume of Gen6 solutions sold in all regions as discussed above and (ii) an increase in warranty expense for the period of $9.5 million due mostly to a change in estimate, which were partially offset by (i) elimination of negative effects of COVID-19 pandemic of $24.8 million that have not recurred in the current year, (ii) elimination of negative effects of the 2021 Cargo Loss Incident of $8.1 million which did not recur in the current year, and (iii) settlement of contractual claims with our largest battery module vendor of $19.5 million. The incremental costs due to COVID-19 pandemic of approximately $24.8 million included (a) approximately $6.4 million due to excess shipping costs primarily related to abnormally high shipping rates resulting from pandemic-related disruptions in the global supply chain and our distribution channels, (b) additional costs of approximately $4.0 million related to excess port and demurrage fees as a direct result of pandemic-related port disruptions and work shortages, and (c) approximately $14.4 million in incremental charges and excess costs incurred during the introduction of our newly launched Gen6 solutions due to disruptions in normal course quality assurance processes.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Gross profit was $30.8 million, and gross profit margin was 4.4%, for the three months ended March 31, 2023, compared to a gross loss of $(14.7) million, and a gross profit margin of (4.3)%, for the three months ended March 31, 2022. For the three months ended March 31, 2023, gross profit was primarily positively impacted by (i) newer Gen6 solutions projects executed at higher margins, (ii) approximately $12.8 million for price increase change orders issued during the period where the performance obligations were substantially satisfied in previous periods, and (iii) $7.2 million from the consulting services provided to AES, which were partially offset by $8.9 million of additional warranty expense during the period. For the three months ended March 31, 2022, gross loss was primarily negatively impacted by (i) $4.4 million due to the 2021 Cargo Loss Incident and (ii) the additional provision for expected loss on legacy projects executed at lower margins of approximately $6.6 million.</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Gross profit was $42.9 million, and gross profit margin was 4.2%, for the six months ended March 31, 2023, compared to a gross loss of $(67.9) million, and a gross profit margin of (13.1)%, for the six months ended March 31, 2022. For the six months ended March 31, 2023, gross profit was primarily positively impacted by (i) newer Gen6 solutions projects executed at higher margins, (ii) approximately $24.3 million for price increase change orders issued during the period in which the performance obligations were substantially satisfied in previous periods, (iii) $7.2 million from the consulting services provided to AES, and (iv) settlement of contractual claims with our largest battery module vendor of $19.5 million. These positive effects were partially offset by (i) additional warranty expense during the period of $9.5 million and (ii) approximately $6.7 million of losses on foreign currency derivative contracts used predominantly to mitigate foreign exchange rate exposure on project costs. For the six months ended March 31, 2022, gross loss was negatively impacted by incremental costs incurred due to COVID-19 pandemic of approximately $35.3 million and negative effects of the 2021 Cargo Loss Incident of $8.1 million. The incremental costs due to COVID-19 pandemic included $24.8 million of incremental costs enumerated above under </w:t>
      </w:r>
      <w:r>
        <w:rPr>
          <w:rFonts w:ascii="Arial" w:cs="Arial" w:eastAsia="Arial" w:hAnsi="Arial"/>
          <w:sz w:val="17"/>
          <w:szCs w:val="17"/>
          <w:i w:val="1"/>
          <w:iCs w:val="1"/>
          <w:color w:val="auto"/>
        </w:rPr>
        <w:t xml:space="preserve">Costs of Goods and Services </w:t>
      </w:r>
      <w:r>
        <w:rPr>
          <w:rFonts w:ascii="Arial" w:cs="Arial" w:eastAsia="Arial" w:hAnsi="Arial"/>
          <w:sz w:val="17"/>
          <w:szCs w:val="17"/>
          <w:color w:val="auto"/>
        </w:rPr>
        <w:t>and approximately $10.5 million in incremental project charges principally related to liquidated damages under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 contracts.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 was $22.6 million for the three months ended March 31, 2023, compared to $13.3 million for the three months ended March 31, 2022, representing an increase of $9.2 million and 69%. The increase in research and development expense for the three months ended March 31, 2023 was primarily attributable to (i) $6.1 million in increased salaries and personnel-related costs in the current period due to higher headcount to support our growth as we have been investing heavily in our human capital, technology, products, and solutions and (ii) $1.9 million due to spend on materials for prototype products.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 was $41.7 million for the six months ended March 31, 2023, compared to $24.1 million for the six months ended March 31, 2022, representing an increase of $17.6 million and 73%. The increase in research and development expense for the six months ended March 31, 2023 was primarily attributable to (i) $12.5 million in increased salaries and personnel-related costs in the current period due to the same factors discussed above and (ii) $2.3 million due to spend on materials for prototype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Sales and marketing expense was $10.4 million for the three months ended March 31, 2023, compared to $6.2 million for the three months ended March 31, 2022, representing an increase of $4.2 million and 68%. The increase in sales and marketing expense for the three months ended March 31, 2023 is related to (i) $2.4 million increase in stock-based compensation expense arising out of the mark-to-market fair value adjustment to our liability classified awards that occurred during the prior year quarter and (ii) $1.8 million increase in personnel-related expenses due to an increase in headcount.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Sales and marketing expense was $19.2 million for the six months ended March 31, 2023, compared to $19.3 million for the six months ended March 31, 2022, representing a decrease of $0.1 million. The decrease in the sales and marketing expense for the six months ended March 31, 2023 is primarily related to a reduction of stock-based compensation expense of $3.5 million partially offset by an increase in personnel-related expenses of $3.1 million due to an increase in headcount. Stock-based compensation expense was higher in the six months ended March 31, 2022 due to previously unrecognized stock-based compensation expense being recognized due to achievement of the performance condition being met upon the IPO.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 was $31.8 million for the three months ended March 31, 2023, compared to $25.2 million for the three months ended March 31, 2022, representing an increase of $6.5 million and 26%. The increase in general and administrative expense for the three months ended March 31, 2023 was primarily attributable to an increase in personnel-related expenses of $7.3 million due to an increase in headcount offset by miscellaneous decreases in other costs.</w:t>
      </w:r>
    </w:p>
    <w:p>
      <w:pPr>
        <w:spacing w:after="0" w:line="21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General and administrative expense was $63.0 million for the six months ended March 31, 2023, compared to $56.4 million for the six months ended March 31, 2022, representing an increase of $6.6 million and 12%. The increase in general and administrative expense for the six months ended March 31, 2023 was primarily attributable to an increase in personnel-related expenses of $12.0 million due to higher headcount, partially offset by a reduction of stock-based compensation expense of $6.9 million. Stock-based compensation expense was higher in the six months ended March 31, 2022 due to previously unrecognized stock-based compensation expense being recognized due to achievement of the performance condition being met upon the IPO.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Depreciation and amortization was $2.7 million for the three months ended March 31, 2023, compared to $1.5 million for the three months ended March 31, 2022, representing an increase of $1.2 million and 79%. The increase in depreciation and amortization for the three months ended March 31, 2023 was primarily attributable (i) to an increase in amortization of $0.5 million related to intangible assets acquired in April 2022 and (ii) increase in depreciation expense of $0.5 million due to an increase in equipment purchases.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was $5.1 million for the six months ended March 31, 2023, compared to $2.9 million for the six months ended March 31, 2022, representing an increase of $2.2 million and 74%. The increase in depreciation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amortization for the six months ended March 31, 2023 was primarily attributable to an increase in amortization of $1.5 million related to intangible assets acquired in April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was $1.1 million for the three months ended March 31, 2023, compared to $0.7 million for the three months ended March 31, 2022, representing an increase of $0.5 million and 69%. The increase in interest expense for the three months ended March 31, 2023 was attributable to $0.5 million of interest expense on borrowing against a customer receivable.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was $2.0 million for the six months ended March 31, 2023, compared to $1.4 million for the six months ended March 31, 2022, representing an increase of $0.6 million and 44%. The increase in interest expense for the six months ended March 31, 2023 was mostly attributable to $0.5 million of interest expense on a borrowing against a customer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net was $0.2 million for the three months ended March 31, 2023, compared to other income, net of $1.1 million for the three months ended March 31, 2022, representing a decrease of $0.9 million and 81%. The decrease in other income net for the three months ended March 31, 2023 was attributable to a decrease in favorable foreign currency exchange adjustments for monetary assets and liabilities of $4.7 million offset by an increase in interest income of $3.8 million. The increase in interest income is primarily attributable to higher interest rates of $2.0 million and income on note receivable balance of $1.0 million with our largest customer in the Philippines.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net was $12.8 million for the six months ended March 31, 2023, compared to other income, net of $0.3 million for the six months ended March 31, 2022, representing an increase of $12.5 million and 4430%. The increase in other income, net for the six months ended March 31, 2023 was primarily attributable to (i) favorable foreign currency exchange adjustments for monetary assets and liabilities of $6.8 million, (ii) increase in interest income of $3.4 million due to higher interest rates and (iii) increase in interest income of $1.0 million on note receivable balance with our largest customer in the Philippines.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expense (benefit) was $(0.1) million for the three months ended March 31, 2023 and $0.1 million for the three months ended March 31, 2022, representing a decrease of $0.2 million and 198%. The effective income tax rate was 0.3% and (0.2)% for the three months ended March 31, 2023 and 2022, respectively. The increase in income tax benefit and change in effective tax rate were primarily due to a decrease in global pre-tax loss as well as a change in the mix of pre-tax loss across foreign jurisdictions.</w:t>
      </w:r>
    </w:p>
    <w:p>
      <w:pPr>
        <w:spacing w:after="0" w:line="10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Income tax expense (benefit) was $(0.7) million for the six months ended March 31, 2023 and $0.5 million for the six months ended March 31, 2022, representing a decrease of $1.2 million and 252%. The effective income tax rate was 1.0% and (0.3)% for the six months ended March 31, 2023 and 2022, respectively. The increase in income tax benefit and change in effective tax rate was primarily due to a decrease in global pre-tax loss, a change in the mix of pre-tax loss across foreign jurisdictions, changes in valuation allowances and foreign exchange gains and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loss was $(37.4) million for the three months ended March 31, 2023, compared to $(60.7) million for the three months ended March 31, 2022, representing a decrease of $23.3 million and 38%. The decrease in net loss for the three months ended March 31, 2023 is primarily attributable to an increase in gross profit as described above, partially offset by increases in research and development, sales and marketing and general and administrative expenses as described above.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loss was $(74.6) million for the six months ended March 31, 2023, compared to $(172.2) million for the six months ended March 31, 2022, representing a decrease of $97.6 million and 57%. The decrease in net loss for the six months ended March 31, 2023 is primarily attributable to increase in gross profit and increase in other income, net as described above, partially offset by increases in research and development, and general and administrative expenses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Since inception and through March 31, 2023, our principal sources of liquidity were the proceeds from our IPO, our cash and cash equivalents, short-term borrowings, borrowings available under the Revolver, capital contributions from AES Grid Stability and Siemens Industry, and proceeds from the QFH investment. We believe the proceeds received from our IPO, cash flows from operations, along with short-term borrowing and borrowings available under the Revolver will be sufficient to meet our expense and capital requirements for at least the next twelve months following the filing of this Report.</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On November 1, 2021, upon the closing of our IPO, we received net proceeds of $935.8 million, after deducting underwriting discounts and offering expenses payable by the Company. </w:t>
      </w:r>
      <w:r>
        <w:rPr>
          <w:rFonts w:ascii="Arial" w:cs="Arial" w:eastAsia="Arial" w:hAnsi="Arial"/>
          <w:sz w:val="17"/>
          <w:szCs w:val="17"/>
          <w:color w:val="0D0D0D"/>
        </w:rPr>
        <w:t>The net proceeds from the IPO were used to purchase 35,650,000 newly issued limited liability company interests</w:t>
      </w:r>
      <w:r>
        <w:rPr>
          <w:rFonts w:ascii="Arial" w:cs="Arial" w:eastAsia="Arial" w:hAnsi="Arial"/>
          <w:sz w:val="17"/>
          <w:szCs w:val="17"/>
          <w:color w:val="auto"/>
        </w:rPr>
        <w:t xml:space="preserve"> </w:t>
      </w:r>
      <w:r>
        <w:rPr>
          <w:rFonts w:ascii="Arial" w:cs="Arial" w:eastAsia="Arial" w:hAnsi="Arial"/>
          <w:sz w:val="17"/>
          <w:szCs w:val="17"/>
          <w:color w:val="0D0D0D"/>
        </w:rPr>
        <w:t>(“LLC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Line of Credit and the Promissory Notes (as defined below). The remainder of the proceeds has been used for working capital and other general corporate purposes.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IPO, we had a Line of Credit with Citibank which allowed us to borrow an amount in aggregate not to exceed $50.0 million, with the expiration date on March 31, 2023. During the three months ended December 31, 2021, the Company paid off in full the $50.0 million outstanding borrowing under the Line of Credit using the proceeds from the IPO. The Line of Credit was canceled shortly thereafter.</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prior to the IPO, we funded our liquidity through borrowings from AES Grid Stability and Siemens Industry. 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(together, the “Promissory Notes”). The Promissory Notes bore interest at a rate of 2.86%. The Promissory Notes were repaid in full on November 1, 2021 using proceeds from the IPO.</w:t>
      </w:r>
    </w:p>
    <w:p>
      <w:pPr>
        <w:spacing w:after="0" w:line="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March 31, 2023, AES and Siemens issued guarantees of $50.0 million each, for a total of $100.0 million, to SCF Bank on our behalf.</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2023, three suppliers were actively participating in the supply chain financing program, and we had $96.2 million of payables outstanding subject to the program. All outstanding payments owed under the program are recorded within “Accounts payable” on the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November 1, 2021, we entered into the Credit Agreement, by and among Fluence Energy, LLC, as the borrower, Fluence Energy, Inc., as a parent guarantor, the subsidiary guarantors party thereto, the lenders party thereto and JP Morgan Chase Bank, N.A., as administrative agent and collateral agent.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and added UBS AG, Stamford Branch as an additional lender under the Revolver. As of March 31, 2023, the aggregate amount of commitments is $200.0 million from the lenders party including JP Morgan Chase Bank, N.A., Morgan Stanley Senior Funding, Inc., Bank of America, N.A., Barclays Bank PLC, and six other banks. The maturity date of the Revolver is November 1, 2025.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The Revolver bears interest at (i) with respect to Term Benchmark Loans (as defined in the Credit Agreement), the Adjusted LIBO Rate, the Adjusted EURIBOR Rate or the AUD Rate (each as defined in the Credit Agreement), as applicable, plus 3.0%, (ii) with respect to ABR Loans (as defined in the Credit Agreement) the Alternate Base Rate (as defined in the Credit Agreement) plus 2.0%, or (iii) with respect to RFR Loans (as defined in the Credit Agreement), at a rate per annum equal to the applicable Daily Simple RFR (as defined under the Credit Agreement) plus 3.1193% (subject to customary LIBOR replacement provisions and alternative benchmark rates including customary spread adjustments with respect to borrowings in foreign currency). Fluence Energy, LLC is required to pay to the lenders a commitment fee of 0.55% per annum on the average daily unused portion of the revolving commitments through maturity, which will be the four-year anniversary of the closing date of the Revolver.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13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terms of the Credit Agreement limit our ability to make certain payments, including dividends and distributions on Fluence Energy, LLC’s equity, Fluence Energy, Inc.’s equity and other restricted payments. Under the terms of the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w:t>
      </w:r>
    </w:p>
    <w:p>
      <w:pPr>
        <w:spacing w:after="0" w:line="4" w:lineRule="exact"/>
        <w:rPr>
          <w:sz w:val="20"/>
          <w:szCs w:val="20"/>
          <w:color w:val="auto"/>
        </w:rPr>
      </w:pPr>
    </w:p>
    <w:p>
      <w:pPr>
        <w:jc w:val="both"/>
        <w:ind w:firstLine="8"/>
        <w:spacing w:after="0" w:line="286" w:lineRule="auto"/>
        <w:tabs>
          <w:tab w:leader="none" w:pos="263" w:val="left"/>
        </w:tabs>
        <w:numPr>
          <w:ilvl w:val="0"/>
          <w:numId w:val="16"/>
        </w:numPr>
        <w:rPr>
          <w:rFonts w:ascii="Arial" w:cs="Arial" w:eastAsia="Arial" w:hAnsi="Arial"/>
          <w:sz w:val="16"/>
          <w:szCs w:val="16"/>
          <w:color w:val="auto"/>
        </w:rPr>
      </w:pPr>
      <w:r>
        <w:rPr>
          <w:rFonts w:ascii="Arial" w:cs="Arial" w:eastAsia="Arial" w:hAnsi="Arial"/>
          <w:sz w:val="16"/>
          <w:szCs w:val="16"/>
          <w:color w:val="auto"/>
        </w:rPr>
        <w:t>1.5% of the consolidated assets of Fluence Energy, Inc. and its subsidiaries, and (ii) the ability to issue dividends and make other Restricted Payments (as defined in the Credit Agreement) (a) if after giving pro forma effect to such dividend or other Restricted Payment the Total Liquidity (as defined in the Credit Agreement) of Fluence Energy, Inc. and its subsidiaries party to the Credit Agreement is at least $600,000,000, or (b) such dividend or other Restricted Payment is made to reimburse Fluence Energy, Inc. for certain tax distributions under the Third Amended and Restated Limited Liability Company Agreement of Fluence Energy, LLC (the “LLC Agreement”) and certain payments under the Tax Receivable Agreement and certain operational expenses incurred in connection with the ownership and management of Fluence Energy, LLC.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As of March 31, 2023, we were in compliance with all such covenants or maintained availability above such covenant triggers.</w:t>
      </w:r>
    </w:p>
    <w:p>
      <w:pPr>
        <w:spacing w:after="0" w:line="1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2023, we had no borrowings under the Revolver and availability under the facility of $152.5 million, net of letters of credit issued of $47.5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March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2"/>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(163,411)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(22,415)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35,503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37,898</w:t>
            </w:r>
          </w:p>
        </w:tc>
        <w:tc>
          <w:tcPr>
            <w:tcW w:w="1380" w:type="dxa"/>
            <w:vAlign w:val="bottom"/>
          </w:tcPr>
          <w:p>
            <w:pPr>
              <w:jc w:val="right"/>
              <w:spacing w:after="0"/>
              <w:rPr>
                <w:sz w:val="20"/>
                <w:szCs w:val="20"/>
                <w:color w:val="auto"/>
              </w:rPr>
            </w:pPr>
            <w:r>
              <w:rPr>
                <w:rFonts w:ascii="Arial" w:cs="Arial" w:eastAsia="Arial" w:hAnsi="Arial"/>
                <w:sz w:val="18"/>
                <w:szCs w:val="18"/>
                <w:color w:val="auto"/>
              </w:rPr>
              <w:t>(1582.4)%</w:t>
            </w:r>
          </w:p>
        </w:tc>
      </w:tr>
      <w:tr>
        <w:trPr>
          <w:trHeight w:val="237"/>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23,810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828,044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(804,234)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bl>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flows used in operating activities were $163.4 million for the six months ended March 31, 2023 compared to $141.0 million for the six months ended March 31, 2022. The increase in net operating cash outflows was primarily driven by increases in trade and unbilled receivables of $166.9 million, as well as $141.3 million in purchases of inventory, offset by $97.6 million reduction of net operating loss and increases in accounts payable and deferred revenue of $211.1 million. Inventory increased as compared to the same period in the prior year as a risk mitigation strategy to provide the Company with supply chain assurance. The inventory build in the first half of the fiscal year was partially funded by customer advances and milestone payments.</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flows provided by investing activities were $35.5 million for the six months ended March 31, 2023, which included $1.1 million purchases of property and equipment and $5.0 million investment in joint venture offset by proceeds from short term investments of $41.6 million. Net cash flows used in investing activities were $2.4 million for the six months ended March 31, 2022, due to purchases of property and equipment.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flows provided by financing activities were approximately $23.8 million for the six months ended March 31, 2023. The net cash flows provided by financing activities were primarily related to $21.1 million of proceeds from borrowings against notes receivable and $3.0 million of proceeds from the exercise of stock options, offset by $0.3 million related to repurchase of Class A common stock placed in treasury. Net cash flows provided by financing activities were $828.0 million for the six months ended March 31, 2022, which included $948.0 million net proceeds from issuance of Class A common stock sold in the IPO, net of underwriting discounts and offering expenses, offset by $10.3 million for payments of IPO-related costs, the repayment of $100.0 million short term borrowings from the Line of Credit and the Promissory Notes, a $6.3 million payment of transaction costs related to issuance of membership units, and $3.3 million payments of debt issuance costs related to the Revolver.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Support and Reimbursement Agreement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Amended and Restated Credit Support and Reimbursement Agreement initially expires on June 9, 2025 (the “initial expiration date”), and will automatically and indefinitely continue after such date; after such initial expiration date, either AES or Siemens Industry is permitted to terminate the agreement upon six months prior notice. Any credit support under the Credit Support and Reimbursement Agreement will remain in effect after any such termination until such credit support has been replaced by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30, 2022, Siemens Industry, Inc. exercised its redemption right pursuant to the terms of LLC Agreement with respect to its entire holding of 58,586,695 LLC Interests of Fluence Energy, LLC, together with the corresponding cancellation of an equivalent number of shares of Class B-1 common stock of Fluence Energy, Inc., par value $0.00001 per share (the “Redemption”). The Redemption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spacing w:after="0" w:line="22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expect that as a result of the tax basis adjustment of the assets of Fluence Energy, LLC and its subsidiaries upon the Redemption and our possible utilization of certain tax attributes, the payments that we may make under the Tax Receivable Agreement will be substantial. As a result of the Redemption, we estimate tax savings of approximately $109.6 million. Siemens will be entitled to receive payments under the Tax Receivable Agreement equaling 85% of such amount, or $93.1 million; assuming, among other factors, (i) we will have sufficient taxable income to fully utilize the tax benefits; (ii) Fluence Energy, LLC is able to fully depreciate or amortize its assets; and (iii) no material changes in applicable tax law.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determined it is not probable payments under the Tax Receivable Agreement would be made, given there is no expectation of future sufficient taxable income over the term of the agreement to utilize the deductions in the future. Therefore, the Company has not recognized the liability. Should we determine that the Tax Receivable Agreement payment is probable, a corresponding liability will be recorded and as a result, our future results of operations and earnings could be impacted as a result of these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Contingent Obligations and Off-Balance Sheet Arrangements</w:t>
      </w:r>
    </w:p>
    <w:p>
      <w:pPr>
        <w:spacing w:after="0" w:line="23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 xml:space="preserve">As of March 31, 2023, the Company had outstanding bank guarantees, parent guarantees and surety bonds issued as performance security arrangements for several customer projects. The Company has certain battery purchase obligations under a master supply agreement with a supplier. We are also party to both assurance and service-type warranties for various lengths of time. See </w:t>
      </w:r>
      <w:r>
        <w:rPr>
          <w:rFonts w:ascii="Arial" w:cs="Arial" w:eastAsia="Arial" w:hAnsi="Arial"/>
          <w:sz w:val="18"/>
          <w:szCs w:val="18"/>
          <w:i w:val="1"/>
          <w:iCs w:val="1"/>
          <w:color w:val="auto"/>
        </w:rPr>
        <w:t>Note 11 - Commitments and Contingencies</w:t>
      </w:r>
      <w:r>
        <w:rPr>
          <w:rFonts w:ascii="Arial" w:cs="Arial" w:eastAsia="Arial" w:hAnsi="Arial"/>
          <w:sz w:val="18"/>
          <w:szCs w:val="18"/>
          <w:color w:val="auto"/>
        </w:rPr>
        <w:t xml:space="preserve"> to our condensed consolidated financial statements included elsewhere in this Report for more information regarding our contingent obligations, including off-balance sheet arrangements, and legal contingencies.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During the three months ended March 31, 2023, there was a change in our warranty liability estimation method - Refer to Note 11 -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Other than this change in estimate, there were no other significant changes in application of our critical accounting policies or estimation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from those described under the heading “Management’s Discussion and Analysis of Financial Condition and Results of Operations—Critical Accounting Policies and Use of Estimates” in our 2022 Annual Report and the notes to the audited consolidated financial statements appearing elsewhere in the 2022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There have been no material changes with respect to our exposure to market risk as disclosed in Part II, Item 7A, “Quantitative and Qualitative Disclosures About Market Risk” of our 2022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maintain disclosure controls and procedures designed to provide reasonable assurance of achieving the objective that information in our Securities Exchange Act of 1934, as amended (the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carried out an evaluation of the effectiveness of our disclosure controls and procedures (as such term is defined in Rules 13a-15(e) and 15d-15(e) under the Exchange Act) as of March 31, 2023, the end of the period covered by this Report. Based upon that evaluation, and as a result of the material weaknesses described below, management concluded that, as of March 31, 2023, our disclosure controls and procedures were not effective at the reasonable assurance level.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and Remediation Measures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2023, a material weakness in the internal control over revenue recognition and related inventory has not been fully remediated. The Company did not sufficiently design and implement controls related to revenue recognition and associated processes, including in-transit and delivered equipment and liquidated damages.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assessed the material weakness as not fully remediated due to the timing of control implementation and operating issues identified in management’s assessment of controls. However, there have been significant efforts and additional controls implemented to address the risks as follows: (1) enhancement of our revenue recognition policies, including training on the policies, (2) implementation of project-level and accounting-level controls to review project costs, liquidated damages, and revenue calculations, (3) implementation of effective controls over account analyses and reconciliations, and (4) hired additional resources and continue to hire to provide necessary expertise to continue to mature the control environment.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are committed to maintaining a strong internal control environment and implementing measures designed to help ensure that control deficiencies contributing to the material weakness are remediated as soon as possible. We will consider the material weakness remediated after the applicable controls operate for a sufficient period of time, and management has concluded, through testing, that the controls are operating effectively.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taking actions to remediate the material weakness relating to our internal control over financial reporting. Other than the changes to our internal control over financial reporting described in “Material Weaknesses and Remediation Measures” above, there were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be involved in litigation relating to claims that arise out of our operations and business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contingencies, please see Note 11 -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unaudited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There have been no material changes with respect to our risk factors previously disclosed in our 2022 Annual Report, other than the risk factors disclosed in our Quarterly Report on Form 10-Q for the quarterly period ended December 31, 2022 (“First Quarter 10-Q”), and as stated below. You should carefully consider the risks described in Item 1A. "Risk Factors" of our 2022 Annual Report and our First Quarter 10-Q, which are incorporated herein by reference, together with the below risk factors and all of the other information included in this Report, before making an investment decision. Our business, financial condition and results of operations could be materially and adversely affected by any of these risks or uncertainties.</w:t>
      </w:r>
    </w:p>
    <w:p>
      <w:pPr>
        <w:spacing w:after="0" w:line="10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13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While we do not have any exposure to these banks, we do hold the cash and cash equivalents used to meet our working capital and operating expense needs at financial institutions often in balances that exceed the current FDIC insurance limits. If other banks and financial institutions enter receivership or become insolvent in the future, our ability to access our cash and cash equivalents to satisfy our operations may be threatened and could have a material adverse effect on our business and financial condition. We may also lose amounts in excess of the FDIC insurance limits and there can be no guarantee that the government would intervene.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Further,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regarding the foregoing.</w:t>
      </w:r>
    </w:p>
    <w:p>
      <w:pPr>
        <w:spacing w:after="0" w:line="2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contractual obligations.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Estimation uncertainty related to our product warranties for our energy storage products, which are complex, could contain defects, and/ or may not operate at expected performance levels, may cause us to continue to incur additional warranty expenses and could adversely affect our business and results of operations.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offer standard limited assurance type product warranties, as well as extended service type warranties. Our limited warranties cover defects in materials and workmanship of our under products for normal use and service conditions typically between one and five years following commercial operation date or substantial completion depending on the contract. As a result, we bear the risk of warranty claims long after we have sold the product and recognized revenue. Our estimated costs of warranty for previously sold products may change to the extent future products may not be compatible with earlier generation products under warranty. Furthermore, as we are in a rapidly evolving industry, there is higher degree of uncertainty regarding estimated warranty costs due to limited data. We lack sufficient operating history to fully confirm how our product will perform over the estimated warranty period and the estimated reserve may have material changes. In addition, under real world operating conditions, which may vary by location and design, as well as environmental conditions, our product may perform in a different way than under standard test conditions or other failure data sets. We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market reputation could be significantly impaired and we may lose, or be unable to gain or retain, customers which could impact our business and results of operations</w:t>
      </w:r>
    </w:p>
    <w:p>
      <w:pPr>
        <w:spacing w:after="0" w:line="20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Because of the limited operating history of our products, we have been required to make assumptions and apply judgments, including the durability and reliability of our products, performance over the estimated warranty period and our anticipated rate of warranty claims.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field service obligations and rework costs incurred in correcting product failures could cause us to increase the amount of warranty obligations and may adversely impact on our results of operations. If our warranty reserves are inadequate to cover future warranty claims on our energy storage products, our financial condition and results of operations will be adversely affected. Warranty reserves include our management’s best estimates of the projected costs to repair or to replace items under warranty, which is based on estimated failure rates. Such estimates are inherently uncertain and changes to our historical or projected experience, especially with respect to Energy products which are still in development and which we expect to produce at significantly greater volumes than our past products, may cause material changes to our warranty reserves in the future.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6"/>
        </w:trPr>
        <w:tc>
          <w:tcPr>
            <w:tcW w:w="12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1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8"/>
              </w:rPr>
              <w:t>No.</w:t>
            </w:r>
          </w:p>
        </w:tc>
        <w:tc>
          <w:tcPr>
            <w:tcW w:w="5160" w:type="dxa"/>
            <w:vAlign w:val="bottom"/>
            <w:tcBorders>
              <w:bottom w:val="single" w:sz="8" w:color="auto"/>
            </w:tcBorders>
            <w:gridSpan w:val="17"/>
          </w:tcPr>
          <w:p>
            <w:pPr>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File No.</w:t>
            </w:r>
          </w:p>
        </w:tc>
        <w:tc>
          <w:tcPr>
            <w:tcW w:w="32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Exhibit No. Filing Date</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5"/>
              </w:rPr>
              <w:t>3.1</w:t>
            </w:r>
          </w:p>
        </w:tc>
        <w:tc>
          <w:tcPr>
            <w:tcW w:w="5160" w:type="dxa"/>
            <w:vAlign w:val="bottom"/>
            <w:gridSpan w:val="17"/>
            <w:shd w:val="clear" w:color="auto" w:fill="CCEEFF"/>
          </w:tcPr>
          <w:p>
            <w:pPr>
              <w:spacing w:after="0" w:line="202"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Amended and Restated Certificate of Incorporation of Fluence Energy,</w:t>
              </w:r>
            </w:hyperlink>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0"/>
              </w:rPr>
              <w:t>001-40978</w:t>
            </w:r>
          </w:p>
        </w:tc>
        <w:tc>
          <w:tcPr>
            <w:tcW w:w="12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3.1</w:t>
            </w:r>
          </w:p>
        </w:tc>
        <w:tc>
          <w:tcPr>
            <w:tcW w:w="20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508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Inc.</w:t>
              </w:r>
            </w:hyperlink>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5"/>
              </w:rPr>
              <w:t>3.2</w:t>
            </w:r>
          </w:p>
        </w:tc>
        <w:tc>
          <w:tcPr>
            <w:tcW w:w="5160" w:type="dxa"/>
            <w:vAlign w:val="bottom"/>
            <w:gridSpan w:val="17"/>
          </w:tcPr>
          <w:p>
            <w:pPr>
              <w:spacing w:after="0" w:line="202" w:lineRule="exact"/>
              <w:rPr>
                <w:rFonts w:ascii="Arial" w:cs="Arial" w:eastAsia="Arial" w:hAnsi="Arial"/>
                <w:sz w:val="18"/>
                <w:szCs w:val="18"/>
                <w:color w:val="0000FF"/>
              </w:rPr>
            </w:pPr>
            <w:hyperlink r:id="rId83">
              <w:r>
                <w:rPr>
                  <w:rFonts w:ascii="Arial" w:cs="Arial" w:eastAsia="Arial" w:hAnsi="Arial"/>
                  <w:sz w:val="18"/>
                  <w:szCs w:val="18"/>
                  <w:color w:val="0000FF"/>
                </w:rPr>
                <w:t>First Certificate of Amendment to the Amended and Restated</w:t>
              </w:r>
            </w:hyperlink>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rPr>
              <w:t>8-K</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0"/>
              </w:rPr>
              <w:t>001-40978</w:t>
            </w:r>
          </w:p>
        </w:tc>
        <w:tc>
          <w:tcPr>
            <w:tcW w:w="1200" w:type="dxa"/>
            <w:vAlign w:val="bottom"/>
          </w:tcPr>
          <w:p>
            <w:pPr>
              <w:ind w:left="700"/>
              <w:spacing w:after="0" w:line="202" w:lineRule="exact"/>
              <w:rPr>
                <w:sz w:val="20"/>
                <w:szCs w:val="20"/>
                <w:color w:val="auto"/>
              </w:rPr>
            </w:pPr>
            <w:r>
              <w:rPr>
                <w:rFonts w:ascii="Arial" w:cs="Arial" w:eastAsia="Arial" w:hAnsi="Arial"/>
                <w:sz w:val="18"/>
                <w:szCs w:val="18"/>
                <w:color w:val="auto"/>
              </w:rPr>
              <w:t>3.1</w:t>
            </w:r>
          </w:p>
        </w:tc>
        <w:tc>
          <w:tcPr>
            <w:tcW w:w="2080" w:type="dxa"/>
            <w:vAlign w:val="bottom"/>
          </w:tcPr>
          <w:p>
            <w:pPr>
              <w:ind w:left="260"/>
              <w:spacing w:after="0" w:line="202" w:lineRule="exact"/>
              <w:rPr>
                <w:sz w:val="20"/>
                <w:szCs w:val="20"/>
                <w:color w:val="auto"/>
              </w:rPr>
            </w:pPr>
            <w:r>
              <w:rPr>
                <w:rFonts w:ascii="Arial" w:cs="Arial" w:eastAsia="Arial" w:hAnsi="Arial"/>
                <w:sz w:val="18"/>
                <w:szCs w:val="18"/>
                <w:color w:val="auto"/>
              </w:rPr>
              <w:t>December 22, 2022</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40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Certificate of Incorporation of Fluence Energy, Inc.</w:t>
              </w:r>
            </w:hyperlink>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2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5"/>
              </w:rPr>
              <w:t>3.3</w:t>
            </w:r>
          </w:p>
        </w:tc>
        <w:tc>
          <w:tcPr>
            <w:tcW w:w="5160" w:type="dxa"/>
            <w:vAlign w:val="bottom"/>
            <w:gridSpan w:val="17"/>
            <w:shd w:val="clear" w:color="auto" w:fill="CCEEFF"/>
          </w:tcPr>
          <w:p>
            <w:pPr>
              <w:spacing w:after="0" w:line="189" w:lineRule="exact"/>
              <w:rPr>
                <w:rFonts w:ascii="Arial" w:cs="Arial" w:eastAsia="Arial" w:hAnsi="Arial"/>
                <w:sz w:val="18"/>
                <w:szCs w:val="18"/>
                <w:color w:val="0000FF"/>
              </w:rPr>
            </w:pPr>
            <w:hyperlink r:id="rId84">
              <w:r>
                <w:rPr>
                  <w:rFonts w:ascii="Arial" w:cs="Arial" w:eastAsia="Arial" w:hAnsi="Arial"/>
                  <w:sz w:val="18"/>
                  <w:szCs w:val="18"/>
                  <w:color w:val="0000FF"/>
                </w:rPr>
                <w:t>Amended and Restated Bylaws of Fluence Energy, Inc.</w:t>
              </w:r>
            </w:hyperlink>
          </w:p>
        </w:tc>
        <w:tc>
          <w:tcPr>
            <w:tcW w:w="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0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0"/>
              </w:rPr>
              <w:t>001-40978</w:t>
            </w:r>
          </w:p>
        </w:tc>
        <w:tc>
          <w:tcPr>
            <w:tcW w:w="1200" w:type="dxa"/>
            <w:vAlign w:val="bottom"/>
            <w:shd w:val="clear" w:color="auto" w:fill="CCEEFF"/>
          </w:tcPr>
          <w:p>
            <w:pPr>
              <w:ind w:left="700"/>
              <w:spacing w:after="0" w:line="189" w:lineRule="exact"/>
              <w:rPr>
                <w:sz w:val="20"/>
                <w:szCs w:val="20"/>
                <w:color w:val="auto"/>
              </w:rPr>
            </w:pPr>
            <w:r>
              <w:rPr>
                <w:rFonts w:ascii="Arial" w:cs="Arial" w:eastAsia="Arial" w:hAnsi="Arial"/>
                <w:sz w:val="18"/>
                <w:szCs w:val="18"/>
                <w:color w:val="auto"/>
              </w:rPr>
              <w:t>3.2</w:t>
            </w:r>
          </w:p>
        </w:tc>
        <w:tc>
          <w:tcPr>
            <w:tcW w:w="208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5"/>
              </w:rPr>
              <w:t>10.1*</w:t>
            </w:r>
          </w:p>
        </w:tc>
        <w:tc>
          <w:tcPr>
            <w:tcW w:w="5160" w:type="dxa"/>
            <w:vAlign w:val="bottom"/>
            <w:gridSpan w:val="17"/>
          </w:tcPr>
          <w:p>
            <w:pPr>
              <w:spacing w:after="0" w:line="189" w:lineRule="exact"/>
              <w:rPr>
                <w:sz w:val="20"/>
                <w:szCs w:val="20"/>
                <w:color w:val="auto"/>
              </w:rPr>
            </w:pPr>
            <w:r>
              <w:rPr>
                <w:rFonts w:ascii="Arial" w:cs="Arial" w:eastAsia="Arial" w:hAnsi="Arial"/>
                <w:sz w:val="18"/>
                <w:szCs w:val="18"/>
                <w:color w:val="0000FF"/>
              </w:rPr>
              <w:t>Form Restricted Stock Unit Award Agreement (Employee)</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5"/>
              </w:rPr>
              <w:t>10.2*</w:t>
            </w:r>
          </w:p>
        </w:tc>
        <w:tc>
          <w:tcPr>
            <w:tcW w:w="516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Form Restricted Stock Unit Award Agreement (Director)</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16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5"/>
              </w:rPr>
              <w:t>31.1*</w:t>
            </w:r>
          </w:p>
        </w:tc>
        <w:tc>
          <w:tcPr>
            <w:tcW w:w="5160" w:type="dxa"/>
            <w:vAlign w:val="bottom"/>
            <w:gridSpan w:val="17"/>
          </w:tcPr>
          <w:p>
            <w:pPr>
              <w:spacing w:after="0" w:line="189" w:lineRule="exact"/>
              <w:rPr>
                <w:sz w:val="20"/>
                <w:szCs w:val="20"/>
                <w:color w:val="auto"/>
              </w:rPr>
            </w:pPr>
            <w:r>
              <w:rPr>
                <w:rFonts w:ascii="Arial" w:cs="Arial" w:eastAsia="Arial" w:hAnsi="Arial"/>
                <w:sz w:val="18"/>
                <w:szCs w:val="18"/>
                <w:color w:val="0000FF"/>
                <w:w w:val="98"/>
              </w:rPr>
              <w:t>Certification of the Company’s Chief Executive Officer pursuant to</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84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0"/>
              </w:rPr>
              <w:t>Rule 13a-14(a) and Rule 15d-14(a) of the Securities Exchange Act</w:t>
            </w:r>
          </w:p>
        </w:tc>
        <w:tc>
          <w:tcPr>
            <w:tcW w:w="320" w:type="dxa"/>
            <w:vAlign w:val="bottom"/>
            <w:gridSpan w:val="6"/>
          </w:tcPr>
          <w:p>
            <w:pPr>
              <w:jc w:val="right"/>
              <w:ind w:right="180"/>
              <w:spacing w:after="0" w:line="156" w:lineRule="exact"/>
              <w:rPr>
                <w:sz w:val="20"/>
                <w:szCs w:val="20"/>
                <w:color w:val="auto"/>
              </w:rPr>
            </w:pPr>
            <w:r>
              <w:rPr>
                <w:rFonts w:ascii="Arial" w:cs="Arial" w:eastAsia="Arial" w:hAnsi="Arial"/>
                <w:sz w:val="18"/>
                <w:szCs w:val="18"/>
                <w:color w:val="0000FF"/>
                <w:w w:val="79"/>
              </w:rPr>
              <w:t>of</w:t>
            </w: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87"/>
              </w:rPr>
              <w:t>1934, as amended, pursuant to Section 302 of the Sarbanes-Oxley Act</w:t>
            </w: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040" w:type="dxa"/>
            <w:vAlign w:val="bottom"/>
            <w:gridSpan w:val="14"/>
          </w:tcPr>
          <w:p>
            <w:pPr>
              <w:spacing w:after="0" w:line="169"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5"/>
              </w:rPr>
              <w:t>31.2*</w:t>
            </w:r>
          </w:p>
        </w:tc>
        <w:tc>
          <w:tcPr>
            <w:tcW w:w="516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w w:val="99"/>
              </w:rPr>
              <w:t>Certification of the Company’s Chief Financial Officer pursuant to</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shd w:val="clear" w:color="auto" w:fill="CCEEFF"/>
          </w:tcPr>
          <w:p>
            <w:pPr>
              <w:spacing w:after="0"/>
              <w:rPr>
                <w:sz w:val="13"/>
                <w:szCs w:val="13"/>
                <w:color w:val="auto"/>
              </w:rPr>
            </w:pPr>
          </w:p>
        </w:tc>
        <w:tc>
          <w:tcPr>
            <w:tcW w:w="4800" w:type="dxa"/>
            <w:vAlign w:val="bottom"/>
            <w:tcBorders>
              <w:top w:val="single" w:sz="8" w:color="0000FF"/>
            </w:tcBorders>
            <w:gridSpan w:val="10"/>
            <w:shd w:val="clear" w:color="auto" w:fill="CCEEFF"/>
          </w:tcPr>
          <w:p>
            <w:pPr>
              <w:spacing w:after="0" w:line="156" w:lineRule="exact"/>
              <w:rPr>
                <w:sz w:val="20"/>
                <w:szCs w:val="20"/>
                <w:color w:val="auto"/>
              </w:rPr>
            </w:pPr>
            <w:r>
              <w:rPr>
                <w:rFonts w:ascii="Arial" w:cs="Arial" w:eastAsia="Arial" w:hAnsi="Arial"/>
                <w:sz w:val="18"/>
                <w:szCs w:val="18"/>
                <w:color w:val="0000FF"/>
                <w:w w:val="90"/>
              </w:rPr>
              <w:t>Rule 13a-14(a) and Rule 15d-14(a) of the Securities Exchange Act</w:t>
            </w:r>
          </w:p>
        </w:tc>
        <w:tc>
          <w:tcPr>
            <w:tcW w:w="360" w:type="dxa"/>
            <w:vAlign w:val="bottom"/>
            <w:tcBorders>
              <w:top w:val="single" w:sz="8" w:color="CCEEFF"/>
            </w:tcBorders>
            <w:gridSpan w:val="7"/>
            <w:shd w:val="clear" w:color="auto" w:fill="CCEEFF"/>
          </w:tcPr>
          <w:p>
            <w:pPr>
              <w:jc w:val="right"/>
              <w:ind w:right="180"/>
              <w:spacing w:after="0" w:line="156" w:lineRule="exact"/>
              <w:rPr>
                <w:sz w:val="20"/>
                <w:szCs w:val="20"/>
                <w:color w:val="auto"/>
              </w:rPr>
            </w:pPr>
            <w:r>
              <w:rPr>
                <w:rFonts w:ascii="Arial" w:cs="Arial" w:eastAsia="Arial" w:hAnsi="Arial"/>
                <w:sz w:val="18"/>
                <w:szCs w:val="18"/>
                <w:color w:val="0000FF"/>
              </w:rPr>
              <w:t>of</w:t>
            </w: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4980" w:type="dxa"/>
            <w:vAlign w:val="bottom"/>
            <w:tcBorders>
              <w:top w:val="single" w:sz="8" w:color="0000FF"/>
            </w:tcBorders>
            <w:gridSpan w:val="12"/>
            <w:shd w:val="clear" w:color="auto" w:fill="CCEEFF"/>
          </w:tcPr>
          <w:p>
            <w:pPr>
              <w:spacing w:after="0" w:line="169" w:lineRule="exact"/>
              <w:rPr>
                <w:sz w:val="20"/>
                <w:szCs w:val="20"/>
                <w:color w:val="auto"/>
              </w:rPr>
            </w:pPr>
            <w:r>
              <w:rPr>
                <w:rFonts w:ascii="Arial" w:cs="Arial" w:eastAsia="Arial" w:hAnsi="Arial"/>
                <w:sz w:val="18"/>
                <w:szCs w:val="18"/>
                <w:color w:val="0000FF"/>
                <w:w w:val="87"/>
              </w:rPr>
              <w:t>1934, as amended, pursuant to Section 302 of the Sarbanes-Oxley Act</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Arial" w:cs="Arial" w:eastAsia="Arial" w:hAnsi="Arial"/>
                <w:sz w:val="18"/>
                <w:szCs w:val="18"/>
                <w:color w:val="0000FF"/>
                <w:w w:val="89"/>
              </w:rPr>
              <w:t>of 2002.</w:t>
            </w:r>
          </w:p>
        </w:tc>
        <w:tc>
          <w:tcPr>
            <w:tcW w:w="444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7"/>
              </w:rPr>
              <w:t>32.1**</w:t>
            </w:r>
          </w:p>
        </w:tc>
        <w:tc>
          <w:tcPr>
            <w:tcW w:w="5160" w:type="dxa"/>
            <w:vAlign w:val="bottom"/>
            <w:gridSpan w:val="17"/>
          </w:tcPr>
          <w:p>
            <w:pPr>
              <w:spacing w:after="0" w:line="189" w:lineRule="exact"/>
              <w:rPr>
                <w:sz w:val="20"/>
                <w:szCs w:val="20"/>
                <w:color w:val="auto"/>
              </w:rPr>
            </w:pPr>
            <w:r>
              <w:rPr>
                <w:rFonts w:ascii="Arial" w:cs="Arial" w:eastAsia="Arial" w:hAnsi="Arial"/>
                <w:sz w:val="18"/>
                <w:szCs w:val="18"/>
                <w:color w:val="0000FF"/>
                <w:w w:val="93"/>
              </w:rPr>
              <w:t>Certification of the Company’s Chief Executive Officer pursuant to 18</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06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w w:val="99"/>
              </w:rPr>
              <w:t>U.S.C. Section 1350, as adopted pursuant to Section 906 of the</w:t>
            </w:r>
          </w:p>
        </w:tc>
        <w:tc>
          <w:tcPr>
            <w:tcW w:w="1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52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Sarbanes-Oxley Act of 2002.</w:t>
            </w:r>
          </w:p>
        </w:tc>
        <w:tc>
          <w:tcPr>
            <w:tcW w:w="500" w:type="dxa"/>
            <w:vAlign w:val="bottom"/>
            <w:gridSpan w:val="4"/>
          </w:tcPr>
          <w:p>
            <w:pPr>
              <w:spacing w:after="0"/>
              <w:rPr>
                <w:sz w:val="13"/>
                <w:szCs w:val="13"/>
                <w:color w:val="auto"/>
              </w:rPr>
            </w:pPr>
          </w:p>
        </w:tc>
        <w:tc>
          <w:tcPr>
            <w:tcW w:w="14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7"/>
              </w:rPr>
              <w:t>32.2**</w:t>
            </w:r>
          </w:p>
        </w:tc>
        <w:tc>
          <w:tcPr>
            <w:tcW w:w="516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w w:val="94"/>
              </w:rPr>
              <w:t>Certification of the Company’s Chief Financial Officer pursuant to 18</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5020" w:type="dxa"/>
            <w:vAlign w:val="bottom"/>
            <w:tcBorders>
              <w:top w:val="single" w:sz="8" w:color="0000FF"/>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FF"/>
                <w:w w:val="98"/>
              </w:rPr>
              <w:t>U.S.C. Section 1350, as adopted pursuant to Section 906 of the</w:t>
            </w:r>
          </w:p>
        </w:tc>
        <w:tc>
          <w:tcPr>
            <w:tcW w:w="140" w:type="dxa"/>
            <w:vAlign w:val="bottom"/>
            <w:tcBorders>
              <w:top w:val="single" w:sz="8" w:color="CCEEFF"/>
            </w:tcBorders>
            <w:gridSpan w:val="4"/>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Arial" w:cs="Arial" w:eastAsia="Arial" w:hAnsi="Arial"/>
                <w:sz w:val="18"/>
                <w:szCs w:val="18"/>
                <w:color w:val="0000FF"/>
                <w:w w:val="89"/>
              </w:rPr>
              <w:t>Sarbanes-Oxley Act of 2002.</w:t>
            </w:r>
          </w:p>
        </w:tc>
        <w:tc>
          <w:tcPr>
            <w:tcW w:w="244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64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4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2"/>
              </w:rPr>
              <w:t>101.INS</w:t>
            </w:r>
          </w:p>
        </w:tc>
        <w:tc>
          <w:tcPr>
            <w:tcW w:w="5160" w:type="dxa"/>
            <w:vAlign w:val="bottom"/>
            <w:gridSpan w:val="17"/>
          </w:tcPr>
          <w:p>
            <w:pPr>
              <w:spacing w:after="0" w:line="189" w:lineRule="exact"/>
              <w:rPr>
                <w:sz w:val="20"/>
                <w:szCs w:val="20"/>
                <w:color w:val="auto"/>
              </w:rPr>
            </w:pPr>
            <w:r>
              <w:rPr>
                <w:rFonts w:ascii="Arial" w:cs="Arial" w:eastAsia="Arial" w:hAnsi="Arial"/>
                <w:sz w:val="18"/>
                <w:szCs w:val="18"/>
                <w:color w:val="auto"/>
                <w:w w:val="92"/>
              </w:rPr>
              <w:t>XBRL Instance Document - the instance document does not appear in</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5160" w:type="dxa"/>
            <w:vAlign w:val="bottom"/>
            <w:gridSpan w:val="17"/>
          </w:tcPr>
          <w:p>
            <w:pPr>
              <w:spacing w:after="0" w:line="176" w:lineRule="exact"/>
              <w:rPr>
                <w:sz w:val="20"/>
                <w:szCs w:val="20"/>
                <w:color w:val="auto"/>
              </w:rPr>
            </w:pPr>
            <w:r>
              <w:rPr>
                <w:rFonts w:ascii="Arial" w:cs="Arial" w:eastAsia="Arial" w:hAnsi="Arial"/>
                <w:sz w:val="18"/>
                <w:szCs w:val="18"/>
                <w:color w:val="auto"/>
                <w:w w:val="93"/>
              </w:rPr>
              <w:t>the Interactive Data File because its XBRL tags are embedded within</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160" w:type="dxa"/>
            <w:vAlign w:val="bottom"/>
            <w:gridSpan w:val="17"/>
          </w:tcPr>
          <w:p>
            <w:pPr>
              <w:spacing w:after="0"/>
              <w:rPr>
                <w:sz w:val="20"/>
                <w:szCs w:val="20"/>
                <w:color w:val="auto"/>
              </w:rPr>
            </w:pPr>
            <w:r>
              <w:rPr>
                <w:rFonts w:ascii="Arial" w:cs="Arial" w:eastAsia="Arial" w:hAnsi="Arial"/>
                <w:sz w:val="18"/>
                <w:szCs w:val="18"/>
                <w:color w:val="auto"/>
              </w:rPr>
              <w:t>the Inline XBRL document.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4"/>
              </w:rPr>
              <w:t>101.SCH*</w:t>
            </w:r>
          </w:p>
        </w:tc>
        <w:tc>
          <w:tcPr>
            <w:tcW w:w="51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center"/>
              <w:ind w:right="32"/>
              <w:spacing w:after="0"/>
              <w:rPr>
                <w:sz w:val="20"/>
                <w:szCs w:val="20"/>
                <w:color w:val="auto"/>
              </w:rPr>
            </w:pPr>
            <w:r>
              <w:rPr>
                <w:rFonts w:ascii="Arial" w:cs="Arial" w:eastAsia="Arial" w:hAnsi="Arial"/>
                <w:sz w:val="18"/>
                <w:szCs w:val="18"/>
                <w:color w:val="auto"/>
                <w:w w:val="98"/>
              </w:rPr>
              <w:t>101.CAL*</w:t>
            </w:r>
          </w:p>
        </w:tc>
        <w:tc>
          <w:tcPr>
            <w:tcW w:w="51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7"/>
              </w:rPr>
              <w:t>101.DEF*</w:t>
            </w:r>
          </w:p>
        </w:tc>
        <w:tc>
          <w:tcPr>
            <w:tcW w:w="51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40" w:type="dxa"/>
            <w:vAlign w:val="bottom"/>
          </w:tcPr>
          <w:p>
            <w:pPr>
              <w:jc w:val="center"/>
              <w:ind w:right="32"/>
              <w:spacing w:after="0"/>
              <w:rPr>
                <w:sz w:val="20"/>
                <w:szCs w:val="20"/>
                <w:color w:val="auto"/>
              </w:rPr>
            </w:pPr>
            <w:r>
              <w:rPr>
                <w:rFonts w:ascii="Arial" w:cs="Arial" w:eastAsia="Arial" w:hAnsi="Arial"/>
                <w:sz w:val="18"/>
                <w:szCs w:val="18"/>
                <w:color w:val="auto"/>
                <w:w w:val="99"/>
              </w:rPr>
              <w:t>101.LAB*</w:t>
            </w:r>
          </w:p>
        </w:tc>
        <w:tc>
          <w:tcPr>
            <w:tcW w:w="516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1"/>
              </w:rPr>
              <w:t>101.PRE*</w:t>
            </w:r>
          </w:p>
        </w:tc>
        <w:tc>
          <w:tcPr>
            <w:tcW w:w="51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1240"/>
        <w:spacing w:after="0" w:line="221" w:lineRule="auto"/>
        <w:rPr>
          <w:sz w:val="20"/>
          <w:szCs w:val="20"/>
          <w:color w:val="auto"/>
        </w:rPr>
      </w:pPr>
      <w:r>
        <w:rPr>
          <w:rFonts w:ascii="Arial" w:cs="Arial" w:eastAsia="Arial" w:hAnsi="Arial"/>
          <w:sz w:val="18"/>
          <w:szCs w:val="18"/>
          <w:color w:val="auto"/>
        </w:rPr>
        <w:t>Cover Page Interactive Data File - The cover page interactive data file</w:t>
      </w:r>
    </w:p>
    <w:p>
      <w:pPr>
        <w:ind w:left="1240"/>
        <w:spacing w:after="0" w:line="203" w:lineRule="auto"/>
        <w:rPr>
          <w:sz w:val="20"/>
          <w:szCs w:val="20"/>
          <w:color w:val="auto"/>
        </w:rPr>
      </w:pPr>
      <w:r>
        <w:rPr>
          <w:rFonts w:ascii="Arial" w:cs="Arial" w:eastAsia="Arial" w:hAnsi="Arial"/>
          <w:sz w:val="18"/>
          <w:szCs w:val="18"/>
          <w:color w:val="auto"/>
        </w:rPr>
        <w:t>does not appear in the Interactive Data File because its XBRL tags are</w:t>
      </w:r>
    </w:p>
    <w:p>
      <w:pPr>
        <w:ind w:right="6720" w:firstLine="426"/>
        <w:spacing w:after="0" w:line="297" w:lineRule="auto"/>
        <w:tabs>
          <w:tab w:leader="none" w:pos="1223" w:val="left"/>
        </w:tabs>
        <w:numPr>
          <w:ilvl w:val="1"/>
          <w:numId w:val="17"/>
        </w:numPr>
        <w:rPr>
          <w:rFonts w:ascii="Arial" w:cs="Arial" w:eastAsia="Arial" w:hAnsi="Arial"/>
          <w:sz w:val="18"/>
          <w:szCs w:val="18"/>
          <w:color w:val="auto"/>
        </w:rPr>
      </w:pPr>
      <w:r>
        <w:rPr>
          <w:rFonts w:ascii="Arial" w:cs="Arial" w:eastAsia="Arial" w:hAnsi="Arial"/>
          <w:sz w:val="18"/>
          <w:szCs w:val="18"/>
          <w:color w:val="auto"/>
        </w:rPr>
        <w:t>embedded within the Inline XBRL document. * Filed herewith.</w:t>
      </w:r>
    </w:p>
    <w:p>
      <w:pPr>
        <w:jc w:val="both"/>
        <w:ind w:firstLine="8"/>
        <w:spacing w:after="0" w:line="256" w:lineRule="auto"/>
        <w:tabs>
          <w:tab w:leader="none" w:pos="2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Pursuant to the requirements of the Section 13 or 15 (d)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Fluence Energy, Inc.</w:t>
      </w:r>
    </w:p>
    <w:p>
      <w:pPr>
        <w:spacing w:after="0" w:line="279" w:lineRule="exact"/>
        <w:rPr>
          <w:sz w:val="20"/>
          <w:szCs w:val="20"/>
          <w:color w:val="auto"/>
        </w:rPr>
      </w:pPr>
    </w:p>
    <w:p>
      <w:pPr>
        <w:ind w:left="20"/>
        <w:spacing w:after="0"/>
        <w:tabs>
          <w:tab w:leader="none" w:pos="5320" w:val="left"/>
          <w:tab w:leader="none" w:pos="59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33864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Julian Nebreda</w:t>
      </w:r>
    </w:p>
    <w:p>
      <w:pPr>
        <w:ind w:left="5920"/>
        <w:spacing w:after="0"/>
        <w:rPr>
          <w:sz w:val="20"/>
          <w:szCs w:val="20"/>
          <w:color w:val="auto"/>
        </w:rPr>
      </w:pPr>
      <w:r>
        <w:rPr>
          <w:rFonts w:ascii="Arial" w:cs="Arial" w:eastAsia="Arial" w:hAnsi="Arial"/>
          <w:sz w:val="18"/>
          <w:szCs w:val="18"/>
          <w:i w:val="1"/>
          <w:iCs w:val="1"/>
          <w:color w:val="auto"/>
        </w:rPr>
        <w:t>Chief Executive Officer and President (Principal Executive Officer)</w:t>
      </w:r>
    </w:p>
    <w:p>
      <w:pPr>
        <w:spacing w:after="0" w:line="304" w:lineRule="exact"/>
        <w:rPr>
          <w:sz w:val="20"/>
          <w:szCs w:val="20"/>
          <w:color w:val="auto"/>
        </w:rPr>
      </w:pPr>
    </w:p>
    <w:p>
      <w:pPr>
        <w:ind w:left="20"/>
        <w:spacing w:after="0"/>
        <w:tabs>
          <w:tab w:leader="none" w:pos="5320" w:val="left"/>
          <w:tab w:leader="none" w:pos="59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33864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Manavendra Sial</w:t>
      </w:r>
    </w:p>
    <w:p>
      <w:pPr>
        <w:ind w:left="5920"/>
        <w:spacing w:after="0" w:line="215" w:lineRule="auto"/>
        <w:rPr>
          <w:sz w:val="20"/>
          <w:szCs w:val="20"/>
          <w:color w:val="auto"/>
        </w:rPr>
      </w:pPr>
      <w:r>
        <w:rPr>
          <w:rFonts w:ascii="Arial" w:cs="Arial" w:eastAsia="Arial" w:hAnsi="Arial"/>
          <w:sz w:val="17"/>
          <w:szCs w:val="17"/>
          <w:i w:val="1"/>
          <w:iCs w:val="1"/>
          <w:color w:val="auto"/>
        </w:rPr>
        <w:t>Chief Financial Officer and Senior Vice President (Principal Financial</w:t>
      </w:r>
    </w:p>
    <w:p>
      <w:pPr>
        <w:ind w:left="59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111760</wp:posOffset>
            </wp:positionV>
            <wp:extent cx="6978015"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978015" cy="300355"/>
                    </a:xfrm>
                    <a:prstGeom prst="rect">
                      <a:avLst/>
                    </a:prstGeom>
                    <a:noFill/>
                  </pic:spPr>
                </pic:pic>
              </a:graphicData>
            </a:graphic>
          </wp:anchor>
        </w:drawing>
      </w:r>
    </w:p>
    <w:p>
      <w:pPr>
        <w:spacing w:after="0" w:line="155"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FLUENCE ENERGY, INC.</w:t>
      </w:r>
    </w:p>
    <w:p>
      <w:pPr>
        <w:jc w:val="center"/>
        <w:ind w:right="280"/>
        <w:spacing w:after="0"/>
        <w:rPr>
          <w:sz w:val="20"/>
          <w:szCs w:val="20"/>
          <w:color w:val="auto"/>
        </w:rPr>
      </w:pPr>
      <w:r>
        <w:rPr>
          <w:rFonts w:ascii="Arial" w:cs="Arial" w:eastAsia="Arial" w:hAnsi="Arial"/>
          <w:sz w:val="20"/>
          <w:szCs w:val="20"/>
          <w:b w:val="1"/>
          <w:bCs w:val="1"/>
          <w:color w:val="auto"/>
        </w:rPr>
        <w:t>2021 INCENTIVE AWARD PLAN</w:t>
      </w:r>
    </w:p>
    <w:p>
      <w:pPr>
        <w:spacing w:after="0" w:line="396"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RESTRICTED STOCK UNIT GRANT NOTICE</w:t>
      </w:r>
    </w:p>
    <w:p>
      <w:pPr>
        <w:spacing w:after="0" w:line="235" w:lineRule="exact"/>
        <w:rPr>
          <w:sz w:val="20"/>
          <w:szCs w:val="20"/>
          <w:color w:val="auto"/>
        </w:rPr>
      </w:pPr>
    </w:p>
    <w:p>
      <w:pPr>
        <w:ind w:right="220" w:firstLine="647"/>
        <w:spacing w:after="0" w:line="269" w:lineRule="auto"/>
        <w:rPr>
          <w:sz w:val="20"/>
          <w:szCs w:val="20"/>
          <w:color w:val="auto"/>
        </w:rPr>
      </w:pPr>
      <w:r>
        <w:rPr>
          <w:rFonts w:ascii="Arial" w:cs="Arial" w:eastAsia="Arial" w:hAnsi="Arial"/>
          <w:sz w:val="18"/>
          <w:szCs w:val="18"/>
          <w:color w:val="auto"/>
        </w:rPr>
        <w:t>Capitalized terms not specifically defined in this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have the meanings given to them in the 2021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of Fluence Energy,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84" w:lineRule="exact"/>
        <w:rPr>
          <w:sz w:val="20"/>
          <w:szCs w:val="20"/>
          <w:color w:val="auto"/>
        </w:rPr>
      </w:pPr>
    </w:p>
    <w:p>
      <w:pPr>
        <w:ind w:right="220" w:firstLine="647"/>
        <w:spacing w:after="0" w:line="236" w:lineRule="auto"/>
        <w:rPr>
          <w:sz w:val="20"/>
          <w:szCs w:val="20"/>
          <w:color w:val="auto"/>
        </w:rPr>
      </w:pPr>
      <w:r>
        <w:rPr>
          <w:rFonts w:ascii="Arial" w:cs="Arial" w:eastAsia="Arial" w:hAnsi="Arial"/>
          <w:sz w:val="18"/>
          <w:szCs w:val="18"/>
          <w:color w:val="auto"/>
        </w:rPr>
        <w:t>The Company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Restricted Stock Units described in this Grant Notice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xml:space="preserve">”), subject to the terms and conditions of the Plan and the Restricted Stock Unit Agreement attached as </w:t>
      </w:r>
      <w:r>
        <w:rPr>
          <w:rFonts w:ascii="Arial" w:cs="Arial" w:eastAsia="Arial" w:hAnsi="Arial"/>
          <w:sz w:val="18"/>
          <w:szCs w:val="18"/>
          <w:b w:val="1"/>
          <w:bCs w:val="1"/>
          <w:color w:val="auto"/>
        </w:rPr>
        <w:t>Exhibit A</w:t>
      </w:r>
    </w:p>
    <w:p>
      <w:pPr>
        <w:ind w:right="220"/>
        <w:spacing w:after="0" w:line="227"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 the special provisions for the Participant’s country of residence, if any, attached to the Agreement as Annex A-1 (the “</w:t>
      </w:r>
      <w:r>
        <w:rPr>
          <w:rFonts w:ascii="Arial" w:cs="Arial" w:eastAsia="Arial" w:hAnsi="Arial"/>
          <w:sz w:val="20"/>
          <w:szCs w:val="20"/>
          <w:b w:val="1"/>
          <w:bCs w:val="1"/>
          <w:i w:val="1"/>
          <w:iCs w:val="1"/>
          <w:color w:val="auto"/>
        </w:rPr>
        <w:t>Foreign Annex</w:t>
      </w:r>
      <w:r>
        <w:rPr>
          <w:rFonts w:ascii="Arial" w:cs="Arial" w:eastAsia="Arial" w:hAnsi="Arial"/>
          <w:sz w:val="20"/>
          <w:szCs w:val="20"/>
          <w:color w:val="auto"/>
        </w:rPr>
        <w:t>”), the terms of which are incorporated into this Grant Notice by reference.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individual grant notice within the electronic Agreement provides grant details such as Participant Name, Grant Date,</w:t>
      </w:r>
    </w:p>
    <w:p>
      <w:pPr>
        <w:ind w:right="220"/>
        <w:spacing w:after="0" w:line="226" w:lineRule="auto"/>
        <w:rPr>
          <w:sz w:val="20"/>
          <w:szCs w:val="20"/>
          <w:color w:val="auto"/>
        </w:rPr>
      </w:pPr>
      <w:r>
        <w:rPr>
          <w:rFonts w:ascii="Arial" w:cs="Arial" w:eastAsia="Arial" w:hAnsi="Arial"/>
          <w:sz w:val="18"/>
          <w:szCs w:val="18"/>
          <w:color w:val="auto"/>
        </w:rPr>
        <w:t>Number of RSUs, Vesting Commencement Date, and Vesting Schedule. The RSUs shall vest one-third annually over three years on the anniversary of the Grant Date, subject to the Participant’s continuous and active service with the Company and its Affiliates through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each vesting date.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Withholding Tax Election: </w:t>
      </w:r>
      <w:r>
        <w:rPr>
          <w:rFonts w:ascii="Arial" w:cs="Arial" w:eastAsia="Arial" w:hAnsi="Arial"/>
          <w:sz w:val="18"/>
          <w:szCs w:val="18"/>
          <w:color w:val="auto"/>
        </w:rPr>
        <w:t>By accepting this Award electronically through the Plan service provider’s online grant acceptance</w:t>
      </w:r>
    </w:p>
    <w:p>
      <w:pPr>
        <w:spacing w:after="0" w:line="18"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policy (the date of such acceptance, the “</w:t>
      </w:r>
      <w:r>
        <w:rPr>
          <w:rFonts w:ascii="Arial" w:cs="Arial" w:eastAsia="Arial" w:hAnsi="Arial"/>
          <w:sz w:val="16"/>
          <w:szCs w:val="16"/>
          <w:b w:val="1"/>
          <w:bCs w:val="1"/>
          <w:i w:val="1"/>
          <w:iCs w:val="1"/>
          <w:color w:val="auto"/>
        </w:rPr>
        <w:t>Acceptance Date</w:t>
      </w:r>
      <w:r>
        <w:rPr>
          <w:rFonts w:ascii="Arial" w:cs="Arial" w:eastAsia="Arial" w:hAnsi="Arial"/>
          <w:sz w:val="16"/>
          <w:szCs w:val="16"/>
          <w:color w:val="auto"/>
        </w:rPr>
        <w:t>”), the Participant understands and agrees that as a condition of the grant of the RSUs hereunder, the Participant is required to, and hereby affirmatively elects to (the “</w:t>
      </w:r>
      <w:r>
        <w:rPr>
          <w:rFonts w:ascii="Arial" w:cs="Arial" w:eastAsia="Arial" w:hAnsi="Arial"/>
          <w:sz w:val="16"/>
          <w:szCs w:val="16"/>
          <w:b w:val="1"/>
          <w:bCs w:val="1"/>
          <w:i w:val="1"/>
          <w:iCs w:val="1"/>
          <w:color w:val="auto"/>
        </w:rPr>
        <w:t>Sell to Cover Election</w:t>
      </w:r>
      <w:r>
        <w:rPr>
          <w:rFonts w:ascii="Arial" w:cs="Arial" w:eastAsia="Arial" w:hAnsi="Arial"/>
          <w:sz w:val="16"/>
          <w:szCs w:val="16"/>
          <w:color w:val="auto"/>
        </w:rPr>
        <w:t>”), (1) sell that number</w:t>
      </w:r>
    </w:p>
    <w:p>
      <w:pPr>
        <w:spacing w:after="0" w:line="235" w:lineRule="auto"/>
        <w:rPr>
          <w:sz w:val="20"/>
          <w:szCs w:val="20"/>
          <w:color w:val="auto"/>
        </w:rPr>
      </w:pPr>
      <w:r>
        <w:rPr>
          <w:rFonts w:ascii="Arial" w:cs="Arial" w:eastAsia="Arial" w:hAnsi="Arial"/>
          <w:sz w:val="18"/>
          <w:szCs w:val="18"/>
          <w:color w:val="auto"/>
        </w:rPr>
        <w:t xml:space="preserve">of Shares determined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the Agreement as may be necessary to satisfy the [tax withholding obligations]</w:t>
      </w:r>
    </w:p>
    <w:p>
      <w:pPr>
        <w:ind w:right="220"/>
        <w:spacing w:after="0" w:line="226" w:lineRule="auto"/>
        <w:rPr>
          <w:sz w:val="20"/>
          <w:szCs w:val="20"/>
          <w:color w:val="auto"/>
        </w:rPr>
      </w:pPr>
      <w:r>
        <w:rPr>
          <w:rFonts w:ascii="Arial" w:cs="Arial" w:eastAsia="Arial" w:hAnsi="Arial"/>
          <w:sz w:val="18"/>
          <w:szCs w:val="18"/>
          <w:color w:val="auto"/>
        </w:rPr>
        <w:t>arising exclusively from any taxable event in connection with the RSUs, and (2) to allow the Agent (as defined in the Agreement) to remit the cash proceeds of such sale(s) to the Company. Furthermore, the Participant directs the Company to make a cash payment</w:t>
      </w:r>
    </w:p>
    <w:p>
      <w:pPr>
        <w:spacing w:after="0" w:line="224" w:lineRule="auto"/>
        <w:rPr>
          <w:sz w:val="20"/>
          <w:szCs w:val="20"/>
          <w:color w:val="auto"/>
        </w:rPr>
      </w:pPr>
      <w:r>
        <w:rPr>
          <w:rFonts w:ascii="Arial" w:cs="Arial" w:eastAsia="Arial" w:hAnsi="Arial"/>
          <w:sz w:val="19"/>
          <w:szCs w:val="19"/>
          <w:color w:val="auto"/>
        </w:rPr>
        <w:t>equal to such tax withholding obligations from the cash proceeds of such sale(s) directly to the appropriate taxing authorities. Sales</w:t>
      </w:r>
    </w:p>
    <w:p>
      <w:pPr>
        <w:ind w:right="220"/>
        <w:spacing w:after="0" w:line="226" w:lineRule="auto"/>
        <w:rPr>
          <w:sz w:val="20"/>
          <w:szCs w:val="20"/>
          <w:color w:val="auto"/>
        </w:rPr>
      </w:pPr>
      <w:r>
        <w:rPr>
          <w:rFonts w:ascii="Arial" w:cs="Arial" w:eastAsia="Arial" w:hAnsi="Arial"/>
          <w:sz w:val="18"/>
          <w:szCs w:val="18"/>
          <w:color w:val="auto"/>
        </w:rPr>
        <w:t>pursuant to the Sell to Cover Election will apply solely in respect of taxable events occurring on or after [the later of (1) ninety (90) days following the Acceptance Date and (2) two business days following the disclosure of the Company’s financial results in a Form</w:t>
      </w:r>
    </w:p>
    <w:p>
      <w:pPr>
        <w:spacing w:after="0" w:line="230" w:lineRule="auto"/>
        <w:rPr>
          <w:sz w:val="20"/>
          <w:szCs w:val="20"/>
          <w:color w:val="auto"/>
        </w:rPr>
      </w:pPr>
      <w:r>
        <w:rPr>
          <w:rFonts w:ascii="Arial" w:cs="Arial" w:eastAsia="Arial" w:hAnsi="Arial"/>
          <w:sz w:val="18"/>
          <w:szCs w:val="18"/>
          <w:color w:val="auto"/>
        </w:rPr>
        <w:t>10-Q or Form 10-K for the fiscal quarter in which the Acceptance Date occurred, provided that, the such effective date shall occur no</w:t>
      </w:r>
    </w:p>
    <w:p>
      <w:pPr>
        <w:ind w:right="220"/>
        <w:spacing w:after="0" w:line="218" w:lineRule="auto"/>
        <w:rPr>
          <w:sz w:val="20"/>
          <w:szCs w:val="20"/>
          <w:color w:val="auto"/>
        </w:rPr>
      </w:pPr>
      <w:r>
        <w:rPr>
          <w:rFonts w:ascii="Arial" w:cs="Arial" w:eastAsia="Arial" w:hAnsi="Arial"/>
          <w:sz w:val="17"/>
          <w:szCs w:val="17"/>
          <w:color w:val="auto"/>
        </w:rPr>
        <w:t>later than one hundred twenty (120) days following the Acceptance Date]</w:t>
      </w:r>
      <w:r>
        <w:rPr>
          <w:rFonts w:ascii="Arial" w:cs="Arial" w:eastAsia="Arial" w:hAnsi="Arial"/>
          <w:sz w:val="21"/>
          <w:szCs w:val="21"/>
          <w:color w:val="auto"/>
          <w:vertAlign w:val="superscript"/>
        </w:rPr>
        <w:t>1</w:t>
      </w:r>
      <w:r>
        <w:rPr>
          <w:rFonts w:ascii="Arial" w:cs="Arial" w:eastAsia="Arial" w:hAnsi="Arial"/>
          <w:sz w:val="17"/>
          <w:szCs w:val="17"/>
          <w:color w:val="auto"/>
        </w:rPr>
        <w:t>[the thirtieth (30</w:t>
      </w:r>
      <w:r>
        <w:rPr>
          <w:rFonts w:ascii="Arial" w:cs="Arial" w:eastAsia="Arial" w:hAnsi="Arial"/>
          <w:sz w:val="21"/>
          <w:szCs w:val="21"/>
          <w:color w:val="auto"/>
          <w:vertAlign w:val="superscript"/>
        </w:rPr>
        <w:t>th</w:t>
      </w:r>
      <w:r>
        <w:rPr>
          <w:rFonts w:ascii="Arial" w:cs="Arial" w:eastAsia="Arial" w:hAnsi="Arial"/>
          <w:sz w:val="17"/>
          <w:szCs w:val="17"/>
          <w:color w:val="auto"/>
        </w:rPr>
        <w:t>) day following the Acceptance Date]</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(the effective date, the “</w:t>
      </w:r>
      <w:r>
        <w:rPr>
          <w:rFonts w:ascii="Arial" w:cs="Arial" w:eastAsia="Arial" w:hAnsi="Arial"/>
          <w:sz w:val="17"/>
          <w:szCs w:val="17"/>
          <w:b w:val="1"/>
          <w:bCs w:val="1"/>
          <w:i w:val="1"/>
          <w:iCs w:val="1"/>
          <w:color w:val="auto"/>
        </w:rPr>
        <w:t>Sell to Cover Commencement Date</w:t>
      </w:r>
      <w:r>
        <w:rPr>
          <w:rFonts w:ascii="Arial" w:cs="Arial" w:eastAsia="Arial" w:hAnsi="Arial"/>
          <w:sz w:val="17"/>
          <w:szCs w:val="17"/>
          <w:color w:val="auto"/>
        </w:rPr>
        <w:t xml:space="preserve">”). </w:t>
      </w:r>
      <w:r>
        <w:rPr>
          <w:rFonts w:ascii="Arial" w:cs="Arial" w:eastAsia="Arial" w:hAnsi="Arial"/>
          <w:sz w:val="17"/>
          <w:szCs w:val="17"/>
          <w:b w:val="1"/>
          <w:bCs w:val="1"/>
          <w:color w:val="auto"/>
        </w:rPr>
        <w:t>The Participant has carefully reviewed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b w:val="1"/>
          <w:bCs w:val="1"/>
          <w:color w:val="auto"/>
        </w:rPr>
        <w:t>of the Agreement and</w:t>
      </w:r>
    </w:p>
    <w:p>
      <w:pPr>
        <w:spacing w:after="0" w:line="235" w:lineRule="auto"/>
        <w:rPr>
          <w:sz w:val="20"/>
          <w:szCs w:val="20"/>
          <w:color w:val="auto"/>
        </w:rPr>
      </w:pPr>
      <w:r>
        <w:rPr>
          <w:rFonts w:ascii="Arial" w:cs="Arial" w:eastAsia="Arial" w:hAnsi="Arial"/>
          <w:sz w:val="18"/>
          <w:szCs w:val="18"/>
          <w:b w:val="1"/>
          <w:bCs w:val="1"/>
          <w:color w:val="auto"/>
        </w:rPr>
        <w:t>the Participant hereby represents and warrants that on the Acceptance Date he or she is not aware of any material, nonpublic</w:t>
      </w:r>
    </w:p>
    <w:p>
      <w:pPr>
        <w:jc w:val="both"/>
        <w:ind w:right="220"/>
        <w:spacing w:after="0" w:line="255" w:lineRule="auto"/>
        <w:rPr>
          <w:sz w:val="20"/>
          <w:szCs w:val="20"/>
          <w:color w:val="auto"/>
        </w:rPr>
      </w:pPr>
      <w:r>
        <w:rPr>
          <w:rFonts w:ascii="Arial" w:cs="Arial" w:eastAsia="Arial" w:hAnsi="Arial"/>
          <w:sz w:val="16"/>
          <w:szCs w:val="16"/>
          <w:b w:val="1"/>
          <w:bCs w:val="1"/>
          <w:color w:val="auto"/>
        </w:rPr>
        <w:t>information with respect to the Company or any securities of the Company, is not subject to any legal, regulatory or contractual restriction that would prevent the Agent from conducting sales, does not have, and will not attempt to exercise, authority,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influence or control over any sales of Shares effected by the Agent pursuant to the Agreement, and has and will act in good faith</w:t>
      </w:r>
    </w:p>
    <w:p>
      <w:pPr>
        <w:spacing w:after="0" w:line="19"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b w:val="1"/>
          <w:bCs w:val="1"/>
          <w:color w:val="auto"/>
        </w:rPr>
        <w:t>with respect to the Agreement and this election to “sell to cover” and is not entering into the Agreement and this election to “sell to cover” as part of a plan or scheme to evade the prohibitions of Rule 10b5-1 (regarding trading of the Company’s securities</w:t>
      </w:r>
    </w:p>
    <w:p>
      <w:pPr>
        <w:spacing w:after="0" w:line="235" w:lineRule="auto"/>
        <w:rPr>
          <w:sz w:val="20"/>
          <w:szCs w:val="20"/>
          <w:color w:val="auto"/>
        </w:rPr>
      </w:pPr>
      <w:r>
        <w:rPr>
          <w:rFonts w:ascii="Arial" w:cs="Arial" w:eastAsia="Arial" w:hAnsi="Arial"/>
          <w:sz w:val="18"/>
          <w:szCs w:val="18"/>
          <w:b w:val="1"/>
          <w:bCs w:val="1"/>
          <w:color w:val="auto"/>
        </w:rPr>
        <w:t>on the basis of material nonpublic information)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b w:val="1"/>
          <w:bCs w:val="1"/>
          <w:color w:val="auto"/>
        </w:rPr>
        <w:t>”). It</w:t>
      </w:r>
    </w:p>
    <w:p>
      <w:pPr>
        <w:ind w:right="220"/>
        <w:spacing w:after="0" w:line="220" w:lineRule="auto"/>
        <w:rPr>
          <w:sz w:val="20"/>
          <w:szCs w:val="20"/>
          <w:color w:val="auto"/>
        </w:rPr>
      </w:pPr>
      <w:r>
        <w:rPr>
          <w:rFonts w:ascii="Arial" w:cs="Arial" w:eastAsia="Arial" w:hAnsi="Arial"/>
          <w:sz w:val="20"/>
          <w:szCs w:val="20"/>
          <w:b w:val="1"/>
          <w:bCs w:val="1"/>
          <w:color w:val="auto"/>
        </w:rPr>
        <w:t>is the Participant’s intent that this Sell to Cover Election comply with the requirements of Rule 10b5-1(c)(1)(i)(B) under the Exchange Act and the exemption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-9525</wp:posOffset>
            </wp:positionV>
            <wp:extent cx="1645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31" w:lineRule="exact"/>
        <w:rPr>
          <w:sz w:val="20"/>
          <w:szCs w:val="20"/>
          <w:color w:val="auto"/>
        </w:rPr>
      </w:pPr>
    </w:p>
    <w:p>
      <w:pPr>
        <w:ind w:left="120" w:hanging="118"/>
        <w:spacing w:after="0"/>
        <w:tabs>
          <w:tab w:leader="none" w:pos="120" w:val="left"/>
        </w:tabs>
        <w:numPr>
          <w:ilvl w:val="0"/>
          <w:numId w:val="19"/>
        </w:numPr>
        <w:rPr>
          <w:rFonts w:ascii="Arial" w:cs="Arial" w:eastAsia="Arial" w:hAnsi="Arial"/>
          <w:sz w:val="26"/>
          <w:szCs w:val="26"/>
          <w:color w:val="auto"/>
          <w:vertAlign w:val="superscript"/>
        </w:rPr>
      </w:pPr>
      <w:r>
        <w:rPr>
          <w:rFonts w:ascii="Arial" w:cs="Arial" w:eastAsia="Arial" w:hAnsi="Arial"/>
          <w:sz w:val="20"/>
          <w:szCs w:val="20"/>
          <w:color w:val="auto"/>
        </w:rPr>
        <w:t>Note to Draft: For Section 16 officers.</w:t>
      </w:r>
    </w:p>
    <w:p>
      <w:pPr>
        <w:spacing w:after="0" w:line="12" w:lineRule="exact"/>
        <w:rPr>
          <w:sz w:val="20"/>
          <w:szCs w:val="20"/>
          <w:color w:val="auto"/>
        </w:rPr>
      </w:pPr>
    </w:p>
    <w:p>
      <w:pPr>
        <w:ind w:left="120" w:hanging="118"/>
        <w:spacing w:after="0"/>
        <w:tabs>
          <w:tab w:leader="none" w:pos="120" w:val="left"/>
        </w:tabs>
        <w:numPr>
          <w:ilvl w:val="0"/>
          <w:numId w:val="20"/>
        </w:numPr>
        <w:rPr>
          <w:rFonts w:ascii="Arial" w:cs="Arial" w:eastAsia="Arial" w:hAnsi="Arial"/>
          <w:sz w:val="26"/>
          <w:szCs w:val="26"/>
          <w:color w:val="auto"/>
          <w:vertAlign w:val="superscript"/>
        </w:rPr>
      </w:pPr>
      <w:r>
        <w:rPr>
          <w:rFonts w:ascii="Arial" w:cs="Arial" w:eastAsia="Arial" w:hAnsi="Arial"/>
          <w:sz w:val="20"/>
          <w:szCs w:val="20"/>
          <w:color w:val="auto"/>
        </w:rPr>
        <w:t>Note to Draft: For all Participants other than Section 16 officers.</w:t>
      </w:r>
    </w:p>
    <w:p>
      <w:pPr>
        <w:sectPr>
          <w:pgSz w:w="11900" w:h="16838" w:orient="portrait"/>
          <w:cols w:equalWidth="0" w:num="1">
            <w:col w:w="11000"/>
          </w:cols>
          <w:pgMar w:left="560" w:top="1080" w:right="339" w:bottom="1440" w:gutter="0" w:footer="0" w:header="0"/>
        </w:sectPr>
      </w:pPr>
    </w:p>
    <w:bookmarkStart w:id="54" w:name="page55"/>
    <w:bookmarkEnd w:id="54"/>
    <w:p>
      <w:pPr>
        <w:ind w:right="440"/>
        <w:spacing w:after="0" w:line="232" w:lineRule="auto"/>
        <w:rPr>
          <w:sz w:val="20"/>
          <w:szCs w:val="20"/>
          <w:color w:val="auto"/>
        </w:rPr>
      </w:pPr>
      <w:r>
        <w:rPr>
          <w:rFonts w:ascii="Arial" w:cs="Arial" w:eastAsia="Arial" w:hAnsi="Arial"/>
          <w:sz w:val="20"/>
          <w:szCs w:val="20"/>
          <w:b w:val="1"/>
          <w:bCs w:val="1"/>
          <w:color w:val="auto"/>
        </w:rPr>
        <w:t>contracts, instructions or plans providing for an eligible sell-to-cover transactions under Rule 10b5- 1(c)(1)(ii)(D)(3) and be interpreted consistent with such intent.</w:t>
      </w:r>
    </w:p>
    <w:p>
      <w:pPr>
        <w:spacing w:after="0" w:line="196" w:lineRule="exact"/>
        <w:rPr>
          <w:sz w:val="20"/>
          <w:szCs w:val="20"/>
          <w:color w:val="auto"/>
        </w:rPr>
      </w:pPr>
    </w:p>
    <w:p>
      <w:pPr>
        <w:ind w:firstLine="647"/>
        <w:spacing w:after="0" w:line="244" w:lineRule="auto"/>
        <w:rPr>
          <w:sz w:val="20"/>
          <w:szCs w:val="20"/>
          <w:color w:val="auto"/>
        </w:rPr>
      </w:pPr>
      <w:r>
        <w:rPr>
          <w:rFonts w:ascii="Arial" w:cs="Arial" w:eastAsia="Arial" w:hAnsi="Arial"/>
          <w:sz w:val="18"/>
          <w:szCs w:val="18"/>
          <w:color w:val="auto"/>
        </w:rPr>
        <w:t>By Participant’s signature below, Participant agrees to be bound by the terms of this Grant Notice, the Plan and the Agreement. Participant has reviewed the Plan, this Grant Notice, the Foreign Annex and the Agreement in their entirety, has had an opportunity to</w:t>
      </w:r>
    </w:p>
    <w:p>
      <w:pPr>
        <w:spacing w:after="0" w:line="226" w:lineRule="auto"/>
        <w:rPr>
          <w:sz w:val="20"/>
          <w:szCs w:val="20"/>
          <w:color w:val="auto"/>
        </w:rPr>
      </w:pPr>
      <w:r>
        <w:rPr>
          <w:rFonts w:ascii="Arial" w:cs="Arial" w:eastAsia="Arial" w:hAnsi="Arial"/>
          <w:sz w:val="18"/>
          <w:szCs w:val="18"/>
          <w:color w:val="auto"/>
        </w:rPr>
        <w:t>obtain the advice of counsel prior to executing this Grant Notice and fully understands all provisions of the Plan, this Grant Notice, the Foreign Annex and the Agreement. Participant hereby agrees to accept as binding, conclusive and final all decisions or interpretations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the Administrator upon any questions arising under the Plan, this Grant Notice, the Foreign Annex or the Agreement.</w:t>
      </w:r>
    </w:p>
    <w:p>
      <w:pPr>
        <w:sectPr>
          <w:pgSz w:w="11900" w:h="16838" w:orient="portrait"/>
          <w:cols w:equalWidth="0" w:num="1">
            <w:col w:w="10780"/>
          </w:cols>
          <w:pgMar w:left="560" w:top="1399" w:right="5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FLUENCE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PARTICIPANT</w:t>
      </w:r>
    </w:p>
    <w:p>
      <w:pPr>
        <w:spacing w:after="0" w:line="213" w:lineRule="exact"/>
        <w:rPr>
          <w:sz w:val="20"/>
          <w:szCs w:val="20"/>
          <w:color w:val="auto"/>
        </w:rPr>
      </w:pPr>
    </w:p>
    <w:p>
      <w:pPr>
        <w:sectPr>
          <w:pgSz w:w="11900" w:h="16838" w:orient="portrait"/>
          <w:cols w:equalWidth="0" w:num="2">
            <w:col w:w="4360" w:space="720"/>
            <w:col w:w="5700"/>
          </w:cols>
          <w:pgMar w:left="560" w:top="1399" w:right="559" w:bottom="1440" w:gutter="0" w:footer="0" w:header="0"/>
          <w:type w:val="continuous"/>
        </w:sectPr>
      </w:pPr>
    </w:p>
    <w:p>
      <w:pPr>
        <w:spacing w:after="0" w:line="10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Participant Name</w:t>
      </w:r>
    </w:p>
    <w:p>
      <w:pPr>
        <w:spacing w:after="0" w:line="66" w:lineRule="exact"/>
        <w:rPr>
          <w:sz w:val="20"/>
          <w:szCs w:val="20"/>
          <w:color w:val="auto"/>
        </w:rPr>
      </w:pPr>
    </w:p>
    <w:p>
      <w:pPr>
        <w:sectPr>
          <w:pgSz w:w="11900" w:h="16838" w:orient="portrait"/>
          <w:cols w:equalWidth="0" w:num="2">
            <w:col w:w="4360" w:space="720"/>
            <w:col w:w="5700"/>
          </w:cols>
          <w:pgMar w:left="560" w:top="1399" w:right="559" w:bottom="1440" w:gutter="0" w:footer="0" w:header="0"/>
          <w:type w:val="continuous"/>
        </w:sectPr>
      </w:pPr>
    </w:p>
    <w:p>
      <w:pPr>
        <w:ind w:left="12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780"/>
          </w:cols>
          <w:pgMar w:left="560" w:top="1399"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80"/>
          </w:cols>
          <w:pgMar w:left="560" w:top="1399" w:right="559" w:bottom="1440" w:gutter="0" w:footer="0" w:header="0"/>
          <w:type w:val="continuous"/>
        </w:sectPr>
      </w:pPr>
    </w:p>
    <w:bookmarkStart w:id="55" w:name="page56"/>
    <w:bookmarkEnd w:id="55"/>
    <w:p>
      <w:pPr>
        <w:ind w:left="9960"/>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RESTRICTED STOCK UNIT AGREEMENT</w:t>
      </w:r>
    </w:p>
    <w:p>
      <w:pPr>
        <w:spacing w:after="0" w:line="235" w:lineRule="exact"/>
        <w:rPr>
          <w:sz w:val="20"/>
          <w:szCs w:val="20"/>
          <w:color w:val="auto"/>
        </w:rPr>
      </w:pPr>
    </w:p>
    <w:p>
      <w:pPr>
        <w:ind w:firstLine="647"/>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ARTICLE I. GENERAL</w:t>
      </w:r>
    </w:p>
    <w:p>
      <w:pPr>
        <w:spacing w:after="0" w:line="249" w:lineRule="exact"/>
        <w:rPr>
          <w:sz w:val="20"/>
          <w:szCs w:val="20"/>
          <w:color w:val="auto"/>
        </w:rPr>
      </w:pPr>
    </w:p>
    <w:p>
      <w:pPr>
        <w:ind w:right="80" w:firstLine="647"/>
        <w:spacing w:after="0" w:line="23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Award of RSUs</w:t>
      </w:r>
      <w:r>
        <w:rPr>
          <w:rFonts w:ascii="Arial" w:cs="Arial" w:eastAsia="Arial" w:hAnsi="Arial"/>
          <w:sz w:val="18"/>
          <w:szCs w:val="18"/>
          <w:color w:val="auto"/>
        </w:rPr>
        <w:t xml:space="preserve"> . The Company has granted the RSUs to Participant effective as of the grant date set forth in the Grant Notice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Each RSU represents the right to receive one Share or, at the option of the Company, an amount of cash, in</w:t>
      </w:r>
    </w:p>
    <w:p>
      <w:pPr>
        <w:ind w:right="80"/>
        <w:spacing w:after="0" w:line="227" w:lineRule="auto"/>
        <w:rPr>
          <w:sz w:val="20"/>
          <w:szCs w:val="20"/>
          <w:color w:val="auto"/>
        </w:rPr>
      </w:pPr>
      <w:r>
        <w:rPr>
          <w:rFonts w:ascii="Arial" w:cs="Arial" w:eastAsia="Arial" w:hAnsi="Arial"/>
          <w:sz w:val="20"/>
          <w:szCs w:val="20"/>
          <w:color w:val="auto"/>
        </w:rPr>
        <w:t>either case, as set forth in this Agreement. Participant will have no right to the distribution of any Shares or payment of any cash until the time (if ever) the RSUs have vested.</w:t>
      </w:r>
    </w:p>
    <w:p>
      <w:pPr>
        <w:spacing w:after="0" w:line="18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set forth in this Agreement, the Plan</w:t>
      </w:r>
    </w:p>
    <w:p>
      <w:pPr>
        <w:ind w:right="60"/>
        <w:spacing w:after="0" w:line="226" w:lineRule="auto"/>
        <w:rPr>
          <w:sz w:val="20"/>
          <w:szCs w:val="20"/>
          <w:color w:val="auto"/>
        </w:rPr>
      </w:pPr>
      <w:r>
        <w:rPr>
          <w:rFonts w:ascii="Arial" w:cs="Arial" w:eastAsia="Arial" w:hAnsi="Arial"/>
          <w:sz w:val="18"/>
          <w:szCs w:val="18"/>
          <w:color w:val="auto"/>
        </w:rPr>
        <w:t>and the Foreign Annex, if applicable, which is incorporated herein by reference. In the event of any inconsistency between the Plan and this Agreement, the terms of the Plan will control. If the Foreign Annex applies to the Participant, in the event of a conflict between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terms of this Agreement, the Plan or the Foreign Annex, the terms of the Foreign Annex shall control.</w:t>
      </w:r>
    </w:p>
    <w:p>
      <w:pPr>
        <w:spacing w:after="0" w:line="213" w:lineRule="exact"/>
        <w:rPr>
          <w:sz w:val="20"/>
          <w:szCs w:val="20"/>
          <w:color w:val="auto"/>
        </w:rPr>
      </w:pPr>
    </w:p>
    <w:p>
      <w:pPr>
        <w:ind w:right="80" w:firstLine="647"/>
        <w:spacing w:after="0" w:line="274"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will at all times prior to settlement represent an unsecured Company obligation payable only from the Company’s general assets.</w:t>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ARTICLE II.</w:t>
      </w:r>
    </w:p>
    <w:p>
      <w:pPr>
        <w:jc w:val="center"/>
        <w:ind w:right="80"/>
        <w:spacing w:after="0"/>
        <w:rPr>
          <w:sz w:val="20"/>
          <w:szCs w:val="20"/>
          <w:color w:val="auto"/>
        </w:rPr>
      </w:pPr>
      <w:r>
        <w:rPr>
          <w:rFonts w:ascii="Arial" w:cs="Arial" w:eastAsia="Arial" w:hAnsi="Arial"/>
          <w:sz w:val="20"/>
          <w:szCs w:val="20"/>
          <w:b w:val="1"/>
          <w:bCs w:val="1"/>
          <w:color w:val="auto"/>
        </w:rPr>
        <w:t>VESTING; FORFEITURE AND SETTLEMENT</w:t>
      </w:r>
    </w:p>
    <w:p>
      <w:pPr>
        <w:spacing w:after="0" w:line="18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Vesting; Forfeiture</w:t>
      </w:r>
      <w:r>
        <w:rPr>
          <w:rFonts w:ascii="Arial" w:cs="Arial" w:eastAsia="Arial" w:hAnsi="Arial"/>
          <w:sz w:val="18"/>
          <w:szCs w:val="18"/>
          <w:color w:val="auto"/>
        </w:rPr>
        <w:t>. The RSUs will vest according to the vesting schedule in the Grant Notice except that any fraction of</w:t>
      </w:r>
    </w:p>
    <w:p>
      <w:pPr>
        <w:jc w:val="both"/>
        <w:ind w:right="80"/>
        <w:spacing w:after="0" w:line="226" w:lineRule="auto"/>
        <w:rPr>
          <w:sz w:val="20"/>
          <w:szCs w:val="20"/>
          <w:color w:val="auto"/>
        </w:rPr>
      </w:pPr>
      <w:r>
        <w:rPr>
          <w:rFonts w:ascii="Arial" w:cs="Arial" w:eastAsia="Arial" w:hAnsi="Arial"/>
          <w:sz w:val="18"/>
          <w:szCs w:val="18"/>
          <w:color w:val="auto"/>
        </w:rPr>
        <w:t>an RSU that would otherwise be vested will be accumulated and will vest only when a whole RSU has accumulated. In the event of Participant’s Termination of Service for any reason, all unvested RSUs will immediately and automatically be cancelled and forfeited,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determined by the Administrator or provided in a binding written agreement between Participant and the Company.</w:t>
      </w:r>
    </w:p>
    <w:p>
      <w:pPr>
        <w:spacing w:after="0" w:line="223"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97" w:lineRule="exact"/>
        <w:rPr>
          <w:sz w:val="20"/>
          <w:szCs w:val="20"/>
          <w:color w:val="auto"/>
        </w:rPr>
      </w:pPr>
    </w:p>
    <w:p>
      <w:pPr>
        <w:jc w:val="both"/>
        <w:ind w:right="60" w:firstLine="1297"/>
        <w:spacing w:after="0" w:line="214" w:lineRule="auto"/>
        <w:tabs>
          <w:tab w:leader="none" w:pos="1771" w:val="left"/>
        </w:tabs>
        <w:numPr>
          <w:ilvl w:val="0"/>
          <w:numId w:val="21"/>
        </w:numPr>
        <w:rPr>
          <w:rFonts w:ascii="Arial" w:cs="Arial" w:eastAsia="Arial" w:hAnsi="Arial"/>
          <w:sz w:val="20"/>
          <w:szCs w:val="20"/>
          <w:color w:val="auto"/>
        </w:rPr>
      </w:pPr>
      <w:r>
        <w:rPr>
          <w:rFonts w:ascii="Arial" w:cs="Arial" w:eastAsia="Arial" w:hAnsi="Arial"/>
          <w:sz w:val="20"/>
          <w:szCs w:val="20"/>
          <w:color w:val="auto"/>
        </w:rPr>
        <w:t>RSUs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227" w:lineRule="exact"/>
        <w:rPr>
          <w:rFonts w:ascii="Arial" w:cs="Arial" w:eastAsia="Arial" w:hAnsi="Arial"/>
          <w:sz w:val="20"/>
          <w:szCs w:val="20"/>
          <w:color w:val="auto"/>
        </w:rPr>
      </w:pPr>
    </w:p>
    <w:p>
      <w:pPr>
        <w:ind w:right="80" w:firstLine="1297"/>
        <w:spacing w:after="0" w:line="260" w:lineRule="auto"/>
        <w:tabs>
          <w:tab w:leader="none" w:pos="1735"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an RSU is paid in cash, the amount of cash paid with respect to the RSU will be equal to the Fair Market Value of a Share on the date such RSU vests.</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ARTICLE III.</w:t>
      </w:r>
    </w:p>
    <w:p>
      <w:pPr>
        <w:jc w:val="center"/>
        <w:ind w:right="80"/>
        <w:spacing w:after="0"/>
        <w:rPr>
          <w:sz w:val="20"/>
          <w:szCs w:val="20"/>
          <w:color w:val="auto"/>
        </w:rPr>
      </w:pPr>
      <w:r>
        <w:rPr>
          <w:rFonts w:ascii="Arial" w:cs="Arial" w:eastAsia="Arial" w:hAnsi="Arial"/>
          <w:sz w:val="20"/>
          <w:szCs w:val="20"/>
          <w:b w:val="1"/>
          <w:bCs w:val="1"/>
          <w:color w:val="auto"/>
        </w:rPr>
        <w:t>TAXATION AND TAX WITHHOLDING</w:t>
      </w:r>
    </w:p>
    <w:p>
      <w:pPr>
        <w:spacing w:after="0" w:line="200" w:lineRule="exact"/>
        <w:rPr>
          <w:sz w:val="20"/>
          <w:szCs w:val="20"/>
          <w:color w:val="auto"/>
        </w:rPr>
      </w:pPr>
    </w:p>
    <w:p>
      <w:pPr>
        <w:ind w:right="260" w:firstLine="647"/>
        <w:spacing w:after="0" w:line="236"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Representation</w:t>
      </w:r>
      <w:r>
        <w:rPr>
          <w:rFonts w:ascii="Arial" w:cs="Arial" w:eastAsia="Arial" w:hAnsi="Arial"/>
          <w:sz w:val="20"/>
          <w:szCs w:val="20"/>
          <w:color w:val="auto"/>
        </w:rPr>
        <w:t>. Participant represents to the Company that Participant has reviewed with Participant’s own tax advisors the tax consequences of this Award and the transactions contemplated by</w:t>
      </w:r>
    </w:p>
    <w:p>
      <w:pPr>
        <w:sectPr>
          <w:pgSz w:w="11900" w:h="16838" w:orient="portrait"/>
          <w:cols w:equalWidth="0" w:num="1">
            <w:col w:w="10840"/>
          </w:cols>
          <w:pgMar w:left="560" w:top="738" w:right="499" w:bottom="1440" w:gutter="0" w:footer="0" w:header="0"/>
        </w:sectPr>
      </w:pPr>
    </w:p>
    <w:bookmarkStart w:id="56" w:name="page57"/>
    <w:bookmarkEnd w:id="56"/>
    <w:p>
      <w:pPr>
        <w:ind w:right="380"/>
        <w:spacing w:after="0" w:line="229" w:lineRule="auto"/>
        <w:rPr>
          <w:sz w:val="20"/>
          <w:szCs w:val="20"/>
          <w:color w:val="auto"/>
        </w:rPr>
      </w:pPr>
      <w:r>
        <w:rPr>
          <w:rFonts w:ascii="Arial" w:cs="Arial" w:eastAsia="Arial" w:hAnsi="Arial"/>
          <w:sz w:val="20"/>
          <w:szCs w:val="20"/>
          <w:color w:val="auto"/>
        </w:rPr>
        <w:t>the Grant Notice and this Agreement. Participant is relying solely on such advisors and not on any statements or representations of the Company or any of its agents.</w:t>
      </w:r>
    </w:p>
    <w:p>
      <w:pPr>
        <w:spacing w:after="0" w:line="196"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97" w:lineRule="exact"/>
        <w:rPr>
          <w:sz w:val="20"/>
          <w:szCs w:val="20"/>
          <w:color w:val="auto"/>
        </w:rPr>
      </w:pPr>
    </w:p>
    <w:p>
      <w:pPr>
        <w:jc w:val="both"/>
        <w:ind w:left="160" w:firstLine="1299"/>
        <w:spacing w:after="0" w:line="234" w:lineRule="auto"/>
        <w:tabs>
          <w:tab w:leader="none" w:pos="18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set forth in Section 9.5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RSUs. In satisfaction of such tax withholding obligations and in accordance with the Sell to Cover Election included in the Grant Notice, the Participant has irrevocably elected to sell the portion of the Shares to be delivered under the RSUs necessary so as to satisfy the tax withholding obligations set forth in the Grant Notice occurring on or after the Sell to Cover Commencement Date and shall execute any letter of instruction or agreement required by the applicable broker or the Company’s transfer agent (together with any other party the Company determines necessary to execute the Sell to Cover Election,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to cause the Agent to irrevocably commit to forward the proceeds necessary to satisfy such tax withholding obligations directly to the Company and/or its Affiliates. Notwithstanding any other provision of this Agreement, the Company shall not be obligated to deliver any new certificate representing Shares to the Participant or the Participant’s legal representative or enter such Shares in book entry form unless and until the Participant or the Participant’s legal representative shall have paid or otherwise satisfied in full the amount of all federal, state and local taxes applicable to the taxable income of the Participant resulting from the grant or vesting of the RSUs or the issuance of Shares. In accordance with Participant’s Sell to Cover Election pursuant to the Grant Notice, the Participant hereby acknowledges and agrees at such time that the Sell to Cover Election is effective:</w:t>
      </w:r>
    </w:p>
    <w:p>
      <w:pPr>
        <w:spacing w:after="0" w:line="198" w:lineRule="exact"/>
        <w:rPr>
          <w:rFonts w:ascii="Arial" w:cs="Arial" w:eastAsia="Arial" w:hAnsi="Arial"/>
          <w:sz w:val="18"/>
          <w:szCs w:val="18"/>
          <w:color w:val="auto"/>
        </w:rPr>
      </w:pPr>
    </w:p>
    <w:p>
      <w:pPr>
        <w:jc w:val="both"/>
        <w:ind w:left="660" w:right="220" w:firstLine="1448"/>
        <w:spacing w:after="0" w:line="226" w:lineRule="auto"/>
        <w:tabs>
          <w:tab w:leader="none" w:pos="253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Participant hereby appoints the Agent as the Participant’s agent and authorizes the Agent to sell on the open market at the then prevailing market price(s), on the Participant’s behalf, as soon as practicable on or after the Shares are issued upon the vesting of the RSUs, that number (rounded up to the next whole number) of the Shares so issued necessary to generate proceeds to cover (A) any tax withholding obligations arising exclusively from such vesting or issuance and (B) all applicable fees and commissions due to, or required to be collected by, the Agent with respect thereto to the extent necessary to satisfy such tax withholding obligations.</w:t>
      </w:r>
    </w:p>
    <w:p>
      <w:pPr>
        <w:spacing w:after="0" w:line="210" w:lineRule="exact"/>
        <w:rPr>
          <w:rFonts w:ascii="Arial" w:cs="Arial" w:eastAsia="Arial" w:hAnsi="Arial"/>
          <w:sz w:val="19"/>
          <w:szCs w:val="19"/>
          <w:color w:val="auto"/>
        </w:rPr>
      </w:pPr>
    </w:p>
    <w:p>
      <w:pPr>
        <w:ind w:left="660" w:right="240" w:firstLine="1448"/>
        <w:spacing w:after="0" w:line="242" w:lineRule="auto"/>
        <w:tabs>
          <w:tab w:leader="none" w:pos="2577"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Participant hereby authorizes the Company and the Agent to cooperate and communicate with one another to determine the number of Shares that must be sold pursuant to subsection (i) above.</w:t>
      </w:r>
    </w:p>
    <w:p>
      <w:pPr>
        <w:spacing w:after="0" w:line="207" w:lineRule="exact"/>
        <w:rPr>
          <w:rFonts w:ascii="Arial" w:cs="Arial" w:eastAsia="Arial" w:hAnsi="Arial"/>
          <w:sz w:val="19"/>
          <w:szCs w:val="19"/>
          <w:color w:val="auto"/>
        </w:rPr>
      </w:pPr>
    </w:p>
    <w:p>
      <w:pPr>
        <w:jc w:val="both"/>
        <w:ind w:left="660" w:firstLine="1448"/>
        <w:spacing w:after="0" w:line="234" w:lineRule="auto"/>
        <w:tabs>
          <w:tab w:leader="none" w:pos="2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Participant understands that the Agent may effect sales as provided in subsection (i) above in one or more sales and that the average price for executions resulting from bunched orders will be assigned to the Participant’s account, and the Participant has no control over the time of such sales. In addition, the Participant acknowledges that it may not be possible to sell Shares as provided by subsection (i) above due to (1) a legal or contractual restriction applicable to the Participant or the Agent, (2) a market 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sufficient Shares, the Participant will continue to be responsible for the timely payment to the Company and/or its Affiliates of all federal, state, local and foreign taxes that are required by applicable laws and regulations to be withheld.</w:t>
      </w:r>
    </w:p>
    <w:p>
      <w:pPr>
        <w:sectPr>
          <w:pgSz w:w="11900" w:h="16838" w:orient="portrait"/>
          <w:cols w:equalWidth="0" w:num="1">
            <w:col w:w="11000"/>
          </w:cols>
          <w:pgMar w:left="560" w:top="1405" w:right="339" w:bottom="1440" w:gutter="0" w:footer="0" w:header="0"/>
        </w:sectPr>
      </w:pPr>
    </w:p>
    <w:bookmarkStart w:id="57" w:name="page58"/>
    <w:bookmarkEnd w:id="57"/>
    <w:p>
      <w:pPr>
        <w:spacing w:after="0" w:line="209" w:lineRule="exact"/>
        <w:rPr>
          <w:sz w:val="20"/>
          <w:szCs w:val="20"/>
          <w:color w:val="auto"/>
        </w:rPr>
      </w:pPr>
    </w:p>
    <w:p>
      <w:pPr>
        <w:jc w:val="both"/>
        <w:ind w:left="660" w:firstLine="1448"/>
        <w:spacing w:after="0" w:line="216" w:lineRule="auto"/>
        <w:tabs>
          <w:tab w:leader="none" w:pos="2675" w:val="left"/>
        </w:tabs>
        <w:numPr>
          <w:ilvl w:val="1"/>
          <w:numId w:val="23"/>
        </w:numPr>
        <w:rPr>
          <w:rFonts w:ascii="Arial" w:cs="Arial" w:eastAsia="Arial" w:hAnsi="Arial"/>
          <w:sz w:val="20"/>
          <w:szCs w:val="20"/>
          <w:color w:val="auto"/>
        </w:rPr>
      </w:pPr>
      <w:r>
        <w:rPr>
          <w:rFonts w:ascii="Arial" w:cs="Arial" w:eastAsia="Arial" w:hAnsi="Arial"/>
          <w:sz w:val="20"/>
          <w:szCs w:val="20"/>
          <w:color w:val="auto"/>
        </w:rPr>
        <w:t xml:space="preserve">The Participant acknowledges that regardless of any other term or condition of this </w:t>
      </w:r>
      <w:r>
        <w:rPr>
          <w:rFonts w:ascii="Arial" w:cs="Arial" w:eastAsia="Arial" w:hAnsi="Arial"/>
          <w:sz w:val="20"/>
          <w:szCs w:val="20"/>
          <w:u w:val="single" w:color="auto"/>
          <w:color w:val="auto"/>
        </w:rPr>
        <w:t>Section 3.2(a)</w:t>
      </w:r>
      <w:r>
        <w:rPr>
          <w:rFonts w:ascii="Arial" w:cs="Arial" w:eastAsia="Arial" w:hAnsi="Arial"/>
          <w:sz w:val="20"/>
          <w:szCs w:val="20"/>
          <w:color w:val="auto"/>
        </w:rPr>
        <w:t>, the Agent will not be liable to the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211" w:lineRule="exact"/>
        <w:rPr>
          <w:rFonts w:ascii="Arial" w:cs="Arial" w:eastAsia="Arial" w:hAnsi="Arial"/>
          <w:sz w:val="20"/>
          <w:szCs w:val="20"/>
          <w:color w:val="auto"/>
        </w:rPr>
      </w:pPr>
    </w:p>
    <w:p>
      <w:pPr>
        <w:jc w:val="both"/>
        <w:ind w:left="660" w:right="220" w:firstLine="1448"/>
        <w:spacing w:after="0" w:line="223" w:lineRule="auto"/>
        <w:tabs>
          <w:tab w:leader="none" w:pos="2591" w:val="left"/>
        </w:tabs>
        <w:numPr>
          <w:ilvl w:val="1"/>
          <w:numId w:val="23"/>
        </w:numPr>
        <w:rPr>
          <w:rFonts w:ascii="Arial" w:cs="Arial" w:eastAsia="Arial" w:hAnsi="Arial"/>
          <w:sz w:val="20"/>
          <w:szCs w:val="20"/>
          <w:color w:val="auto"/>
        </w:rPr>
      </w:pPr>
      <w:r>
        <w:rPr>
          <w:rFonts w:ascii="Arial" w:cs="Arial" w:eastAsia="Arial" w:hAnsi="Arial"/>
          <w:sz w:val="20"/>
          <w:szCs w:val="20"/>
          <w:color w:val="auto"/>
        </w:rPr>
        <w:t xml:space="preserve">The Participant hereby agrees to execute and deliver to the Agent any other agreements or documents as the Agent reasonably deems necessary or appropriate to carry out the purposes and intent of this </w:t>
      </w:r>
      <w:r>
        <w:rPr>
          <w:rFonts w:ascii="Arial" w:cs="Arial" w:eastAsia="Arial" w:hAnsi="Arial"/>
          <w:sz w:val="20"/>
          <w:szCs w:val="20"/>
          <w:u w:val="single" w:color="auto"/>
          <w:color w:val="auto"/>
        </w:rPr>
        <w:t>Section 3.2(a)</w:t>
      </w:r>
      <w:r>
        <w:rPr>
          <w:rFonts w:ascii="Arial" w:cs="Arial" w:eastAsia="Arial" w:hAnsi="Arial"/>
          <w:sz w:val="20"/>
          <w:szCs w:val="20"/>
          <w:color w:val="auto"/>
        </w:rPr>
        <w:t xml:space="preserve">. The Agent is a third-party beneficiary of this </w:t>
      </w:r>
      <w:r>
        <w:rPr>
          <w:rFonts w:ascii="Arial" w:cs="Arial" w:eastAsia="Arial" w:hAnsi="Arial"/>
          <w:sz w:val="20"/>
          <w:szCs w:val="20"/>
          <w:u w:val="single" w:color="auto"/>
          <w:color w:val="auto"/>
        </w:rPr>
        <w:t>Section 3.2(a)</w:t>
      </w:r>
      <w:r>
        <w:rPr>
          <w:rFonts w:ascii="Arial" w:cs="Arial" w:eastAsia="Arial" w:hAnsi="Arial"/>
          <w:sz w:val="20"/>
          <w:szCs w:val="20"/>
          <w:color w:val="auto"/>
        </w:rPr>
        <w:t>.</w:t>
      </w:r>
    </w:p>
    <w:p>
      <w:pPr>
        <w:spacing w:after="0" w:line="290" w:lineRule="exact"/>
        <w:rPr>
          <w:rFonts w:ascii="Arial" w:cs="Arial" w:eastAsia="Arial" w:hAnsi="Arial"/>
          <w:sz w:val="20"/>
          <w:szCs w:val="20"/>
          <w:color w:val="auto"/>
        </w:rPr>
      </w:pPr>
    </w:p>
    <w:p>
      <w:pPr>
        <w:ind w:left="660" w:firstLine="1448"/>
        <w:spacing w:after="0" w:line="229" w:lineRule="auto"/>
        <w:tabs>
          <w:tab w:leader="none" w:pos="2616" w:val="left"/>
        </w:tabs>
        <w:numPr>
          <w:ilvl w:val="1"/>
          <w:numId w:val="23"/>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3.2(a)</w:t>
      </w:r>
      <w:r>
        <w:rPr>
          <w:rFonts w:ascii="Arial" w:cs="Arial" w:eastAsia="Arial" w:hAnsi="Arial"/>
          <w:sz w:val="20"/>
          <w:szCs w:val="20"/>
          <w:color w:val="auto"/>
        </w:rPr>
        <w:t xml:space="preserve"> shall terminate not later than the date on which all tax withholding obligations arising in connection with the vesting or settlement of the Award have been satisfied.</w:t>
      </w:r>
    </w:p>
    <w:p>
      <w:pPr>
        <w:spacing w:after="0" w:line="209" w:lineRule="exact"/>
        <w:rPr>
          <w:rFonts w:ascii="Arial" w:cs="Arial" w:eastAsia="Arial" w:hAnsi="Arial"/>
          <w:sz w:val="20"/>
          <w:szCs w:val="20"/>
          <w:color w:val="auto"/>
        </w:rPr>
      </w:pPr>
    </w:p>
    <w:p>
      <w:pPr>
        <w:jc w:val="both"/>
        <w:ind w:firstLine="1297"/>
        <w:spacing w:after="0" w:line="215" w:lineRule="auto"/>
        <w:tabs>
          <w:tab w:leader="none" w:pos="1745"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98" w:lineRule="exact"/>
        <w:rPr>
          <w:rFonts w:ascii="Arial" w:cs="Arial" w:eastAsia="Arial" w:hAnsi="Arial"/>
          <w:sz w:val="20"/>
          <w:szCs w:val="20"/>
          <w:color w:val="auto"/>
        </w:rPr>
      </w:pPr>
    </w:p>
    <w:p>
      <w:pPr>
        <w:jc w:val="both"/>
        <w:ind w:right="220" w:firstLine="1297"/>
        <w:spacing w:after="0" w:line="228" w:lineRule="auto"/>
        <w:tabs>
          <w:tab w:leader="none" w:pos="1742"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Participant is ultimately liable and responsible for all taxes owed in connection with the RSUs, regardless of any action the Company or any Affiliate takes with respect to any tax withholding obligations that arise in connection with the RSUs. Neither the Company or any Affiliate makes any representation or undertaking regarding the treatment of any tax withholding in connection with the awarding, vesting or settlement of the RSUs or the subsequent sale of Shares or the Sell to Cover Election (or any transactions thereunder). The Company or any Affiliate does not commit and are under no obligation to structure the RSUs to reduce or eliminate Participant’s tax, insider trading or other liability.</w:t>
      </w:r>
    </w:p>
    <w:p>
      <w:pPr>
        <w:spacing w:after="0" w:line="207"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ARTICLE IV. OTHER PROVISIONS</w:t>
      </w:r>
    </w:p>
    <w:p>
      <w:pPr>
        <w:spacing w:after="0" w:line="249" w:lineRule="exact"/>
        <w:rPr>
          <w:sz w:val="20"/>
          <w:szCs w:val="20"/>
          <w:color w:val="auto"/>
        </w:rPr>
      </w:pPr>
    </w:p>
    <w:p>
      <w:pPr>
        <w:ind w:right="240" w:firstLine="647"/>
        <w:spacing w:after="0" w:line="27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the Shares subject to the RSUs are subject to adjustment, modification and termination in certain events as provided in this Agreement and the Plan.</w:t>
      </w:r>
    </w:p>
    <w:p>
      <w:pPr>
        <w:spacing w:after="0" w:line="177" w:lineRule="exact"/>
        <w:rPr>
          <w:sz w:val="20"/>
          <w:szCs w:val="20"/>
          <w:color w:val="auto"/>
        </w:rPr>
      </w:pPr>
    </w:p>
    <w:p>
      <w:pPr>
        <w:ind w:right="220" w:firstLine="647"/>
        <w:spacing w:after="0" w:line="23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w:t>
      </w:r>
    </w:p>
    <w:p>
      <w:pPr>
        <w:spacing w:after="0" w:line="222" w:lineRule="auto"/>
        <w:rPr>
          <w:sz w:val="20"/>
          <w:szCs w:val="20"/>
          <w:color w:val="auto"/>
        </w:rPr>
      </w:pPr>
      <w:r>
        <w:rPr>
          <w:rFonts w:ascii="Arial" w:cs="Arial" w:eastAsia="Arial" w:hAnsi="Arial"/>
          <w:sz w:val="19"/>
          <w:szCs w:val="19"/>
          <w:color w:val="auto"/>
        </w:rPr>
        <w:t>facsimile number. Any notice to be given under the terms of this Agreement to Participant must be in writing and addressed to</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Participant at Participant’s last known mailing address, email address or facsimile number in the Company’s personnel files. By a notice given pursuant to this Section, either party may designate a different address for notices to be given to that party. Any notice will</w:t>
      </w:r>
    </w:p>
    <w:p>
      <w:pPr>
        <w:spacing w:after="0" w:line="236" w:lineRule="auto"/>
        <w:rPr>
          <w:sz w:val="20"/>
          <w:szCs w:val="20"/>
          <w:color w:val="auto"/>
        </w:rPr>
      </w:pPr>
      <w:r>
        <w:rPr>
          <w:rFonts w:ascii="Arial" w:cs="Arial" w:eastAsia="Arial" w:hAnsi="Arial"/>
          <w:sz w:val="18"/>
          <w:szCs w:val="18"/>
          <w:color w:val="auto"/>
        </w:rPr>
        <w:t>be deemed duly given when actually received, when sent by email, when sent by certified mail (return receipt requested) and deposited</w:t>
      </w:r>
    </w:p>
    <w:p>
      <w:pPr>
        <w:spacing w:after="0" w:line="1"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color w:val="auto"/>
        </w:rPr>
        <w:t>with postage prepaid in a post office or branch post office regularly maintained by the United States Postal Service, when delivered by a nationally recognized express shipping company or upon receipt of a facsimile transmission confirmation.</w:t>
      </w:r>
    </w:p>
    <w:p>
      <w:pPr>
        <w:spacing w:after="0" w:line="224" w:lineRule="exact"/>
        <w:rPr>
          <w:sz w:val="20"/>
          <w:szCs w:val="20"/>
          <w:color w:val="auto"/>
        </w:rPr>
      </w:pPr>
    </w:p>
    <w:p>
      <w:pPr>
        <w:ind w:right="240" w:firstLine="647"/>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ectPr>
          <w:pgSz w:w="11900" w:h="16838" w:orient="portrait"/>
          <w:cols w:equalWidth="0" w:num="1">
            <w:col w:w="11000"/>
          </w:cols>
          <w:pgMar w:left="560" w:top="1440" w:right="339" w:bottom="1440" w:gutter="0" w:footer="0" w:header="0"/>
        </w:sectPr>
      </w:pPr>
    </w:p>
    <w:bookmarkStart w:id="58" w:name="page59"/>
    <w:bookmarkEnd w:id="58"/>
    <w:p>
      <w:pPr>
        <w:spacing w:after="0" w:line="209" w:lineRule="exact"/>
        <w:rPr>
          <w:sz w:val="20"/>
          <w:szCs w:val="20"/>
          <w:color w:val="auto"/>
        </w:rPr>
      </w:pPr>
    </w:p>
    <w:p>
      <w:pPr>
        <w:jc w:val="both"/>
        <w:ind w:right="220" w:firstLine="647"/>
        <w:spacing w:after="0" w:line="23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Plan, the Grant Notice[, the Sell to Cover Election] and this Agreement are intended to conform to the extent necessary with all Applicable Laws and, to the extent Applicable Laws permit,</w:t>
      </w:r>
    </w:p>
    <w:p>
      <w:pPr>
        <w:spacing w:after="0"/>
        <w:rPr>
          <w:sz w:val="20"/>
          <w:szCs w:val="20"/>
          <w:color w:val="auto"/>
        </w:rPr>
      </w:pPr>
      <w:r>
        <w:rPr>
          <w:rFonts w:ascii="Arial" w:cs="Arial" w:eastAsia="Arial" w:hAnsi="Arial"/>
          <w:sz w:val="20"/>
          <w:szCs w:val="20"/>
          <w:color w:val="auto"/>
        </w:rPr>
        <w:t>will be deemed amended as necessary to conform to Applicable Laws.</w:t>
      </w:r>
    </w:p>
    <w:p>
      <w:pPr>
        <w:spacing w:after="0" w:line="200" w:lineRule="exact"/>
        <w:rPr>
          <w:sz w:val="20"/>
          <w:szCs w:val="20"/>
          <w:color w:val="auto"/>
        </w:rPr>
      </w:pPr>
    </w:p>
    <w:p>
      <w:pPr>
        <w:ind w:firstLine="647"/>
        <w:spacing w:after="0" w:line="274"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Plan, this Agreement will be binding upon and inure to the benefit of the heirs, legatees, legal representatives, successors and assigns of the parties hereto.</w:t>
      </w:r>
    </w:p>
    <w:p>
      <w:pPr>
        <w:spacing w:after="0" w:line="197" w:lineRule="exact"/>
        <w:rPr>
          <w:sz w:val="20"/>
          <w:szCs w:val="20"/>
          <w:color w:val="auto"/>
        </w:rPr>
      </w:pPr>
    </w:p>
    <w:p>
      <w:pPr>
        <w:ind w:firstLine="647"/>
        <w:spacing w:after="0" w:line="24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Grant Notice, this Agreement, the RSUs will be subject to any</w:t>
      </w:r>
    </w:p>
    <w:p>
      <w:pPr>
        <w:spacing w:after="0" w:line="226" w:lineRule="auto"/>
        <w:rPr>
          <w:sz w:val="20"/>
          <w:szCs w:val="20"/>
          <w:color w:val="auto"/>
        </w:rPr>
      </w:pPr>
      <w:r>
        <w:rPr>
          <w:rFonts w:ascii="Arial" w:cs="Arial" w:eastAsia="Arial" w:hAnsi="Arial"/>
          <w:sz w:val="18"/>
          <w:szCs w:val="18"/>
          <w:color w:val="auto"/>
        </w:rPr>
        <w:t>additional limitations set forth in any applicable exemptive rule under Section 16 of the Exchange Act (including any amendment to Rule 16b-3) that are requirements for the application of such exemptive rule. To the extent Applicable Laws permit, this Agreement will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deemed amended as necessary to conform to such applicable exemptive rule.</w:t>
      </w:r>
    </w:p>
    <w:p>
      <w:pPr>
        <w:spacing w:after="0" w:line="200" w:lineRule="exact"/>
        <w:rPr>
          <w:sz w:val="20"/>
          <w:szCs w:val="20"/>
          <w:color w:val="auto"/>
        </w:rPr>
      </w:pPr>
    </w:p>
    <w:p>
      <w:pPr>
        <w:jc w:val="both"/>
        <w:ind w:right="240" w:firstLine="647"/>
        <w:spacing w:after="0" w:line="227"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11" w:lineRule="exact"/>
        <w:rPr>
          <w:sz w:val="20"/>
          <w:szCs w:val="20"/>
          <w:color w:val="auto"/>
        </w:rPr>
      </w:pPr>
    </w:p>
    <w:p>
      <w:pPr>
        <w:jc w:val="both"/>
        <w:ind w:firstLine="647"/>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213" w:lineRule="exact"/>
        <w:rPr>
          <w:sz w:val="20"/>
          <w:szCs w:val="20"/>
          <w:color w:val="auto"/>
        </w:rPr>
      </w:pPr>
    </w:p>
    <w:p>
      <w:pPr>
        <w:ind w:right="220" w:firstLine="647"/>
        <w:spacing w:after="0" w:line="23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may not be construed as</w:t>
      </w:r>
    </w:p>
    <w:p>
      <w:pPr>
        <w:ind w:right="220"/>
        <w:spacing w:after="0" w:line="255" w:lineRule="auto"/>
        <w:rPr>
          <w:sz w:val="20"/>
          <w:szCs w:val="20"/>
          <w:color w:val="auto"/>
        </w:rPr>
      </w:pPr>
      <w:r>
        <w:rPr>
          <w:rFonts w:ascii="Arial" w:cs="Arial" w:eastAsia="Arial" w:hAnsi="Arial"/>
          <w:sz w:val="16"/>
          <w:szCs w:val="16"/>
          <w:color w:val="auto"/>
        </w:rPr>
        <w:t>creating a trust. Neither the Plan nor any underlying program, in and of itself, has any assets. Participant will have only the rights of a general unsecured creditor of the Company with respect to amounts credited and benefits payable, if any, with respect to the RSUs, and</w:t>
      </w:r>
    </w:p>
    <w:p>
      <w:pPr>
        <w:spacing w:after="0" w:line="1"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rights no greater than the right to receive cash or the Shares as a general unsecured creditor with respect to the RSUs, as and when settled pursuant to the terms of this Agreement.</w:t>
      </w:r>
    </w:p>
    <w:p>
      <w:pPr>
        <w:spacing w:after="0" w:line="185"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w:t>
      </w:r>
    </w:p>
    <w:p>
      <w:pPr>
        <w:spacing w:after="0" w:line="226" w:lineRule="auto"/>
        <w:rPr>
          <w:sz w:val="20"/>
          <w:szCs w:val="20"/>
          <w:color w:val="auto"/>
        </w:rPr>
      </w:pPr>
      <w:r>
        <w:rPr>
          <w:rFonts w:ascii="Arial" w:cs="Arial" w:eastAsia="Arial" w:hAnsi="Arial"/>
          <w:sz w:val="18"/>
          <w:szCs w:val="18"/>
          <w:color w:val="auto"/>
        </w:rPr>
        <w:t>to continue in the employ or service of the Company or any Affiliate or interferes with or restricts in any way the rights of the Company and its Affiliates, which rights are hereby expressly reserved, to discharge or terminate the services of Participant at any time for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reason whatsoever, with or without Cause, except to the extent expressly provided otherwise in a written agreement between the Company or an Affiliate and Participant.</w:t>
      </w:r>
    </w:p>
    <w:p>
      <w:pPr>
        <w:spacing w:after="0" w:line="197" w:lineRule="exact"/>
        <w:rPr>
          <w:sz w:val="20"/>
          <w:szCs w:val="20"/>
          <w:color w:val="auto"/>
        </w:rPr>
      </w:pPr>
    </w:p>
    <w:p>
      <w:pPr>
        <w:jc w:val="both"/>
        <w:ind w:right="240" w:firstLine="647"/>
        <w:spacing w:after="0" w:line="28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8"/>
          <w:szCs w:val="18"/>
          <w:u w:val="single" w:color="auto"/>
          <w:color w:val="auto"/>
        </w:rPr>
        <w:t xml:space="preserve">Electronic Signature and Delivery. </w:t>
      </w:r>
      <w:r>
        <w:rPr>
          <w:rFonts w:ascii="Arial" w:cs="Arial" w:eastAsia="Arial" w:hAnsi="Arial"/>
          <w:sz w:val="18"/>
          <w:szCs w:val="18"/>
          <w:color w:val="auto"/>
        </w:rPr>
        <w:t>By accepting this Agreement, the Participant consents to the electronic delivery of</w:t>
      </w:r>
    </w:p>
    <w:p>
      <w:pPr>
        <w:ind w:right="240"/>
        <w:spacing w:after="0" w:line="226" w:lineRule="auto"/>
        <w:rPr>
          <w:sz w:val="20"/>
          <w:szCs w:val="20"/>
          <w:color w:val="auto"/>
        </w:rPr>
      </w:pPr>
      <w:r>
        <w:rPr>
          <w:rFonts w:ascii="Arial" w:cs="Arial" w:eastAsia="Arial" w:hAnsi="Arial"/>
          <w:sz w:val="18"/>
          <w:szCs w:val="18"/>
          <w:color w:val="auto"/>
        </w:rPr>
        <w:t>prospectuses, annual reports and other information required to be delivered by the U.S. Securities and Exchange Commission rules. Without limiting the foregoing, the Company may, in its sole discretion, decide to deliver any documents related to current or future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participation in the Plan by electronic means. The Participant hereby consents to receive such documents by electronic delivery and</w:t>
      </w:r>
    </w:p>
    <w:p>
      <w:pPr>
        <w:sectPr>
          <w:pgSz w:w="11900" w:h="16838" w:orient="portrait"/>
          <w:cols w:equalWidth="0" w:num="1">
            <w:col w:w="11000"/>
          </w:cols>
          <w:pgMar w:left="560" w:top="1440" w:right="339" w:bottom="1440" w:gutter="0" w:footer="0" w:header="0"/>
        </w:sectPr>
      </w:pPr>
    </w:p>
    <w:bookmarkStart w:id="59" w:name="page60"/>
    <w:bookmarkEnd w:id="59"/>
    <w:p>
      <w:pPr>
        <w:ind w:right="640"/>
        <w:spacing w:after="0" w:line="229" w:lineRule="auto"/>
        <w:rPr>
          <w:sz w:val="20"/>
          <w:szCs w:val="20"/>
          <w:color w:val="auto"/>
        </w:rPr>
      </w:pPr>
      <w:r>
        <w:rPr>
          <w:rFonts w:ascii="Arial" w:cs="Arial" w:eastAsia="Arial" w:hAnsi="Arial"/>
          <w:sz w:val="20"/>
          <w:szCs w:val="20"/>
          <w:color w:val="auto"/>
        </w:rPr>
        <w:t>agrees to participate in the Plan through an online or electronic system established and maintained by the Company or a third party designated by the Company.</w:t>
      </w:r>
    </w:p>
    <w:p>
      <w:pPr>
        <w:spacing w:after="0" w:line="196" w:lineRule="exact"/>
        <w:rPr>
          <w:sz w:val="20"/>
          <w:szCs w:val="20"/>
          <w:color w:val="auto"/>
        </w:rPr>
      </w:pPr>
    </w:p>
    <w:p>
      <w:pPr>
        <w:ind w:firstLine="647"/>
        <w:spacing w:after="0" w:line="24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The RSUs are intended to be exempt from, or compliant with, Section 409A of the Code. Notwithstanding the foregoing or any provision of the Plan or this Agreement, if any provision of the Plan or this Agreement contravenes Section 409A of</w:t>
      </w:r>
    </w:p>
    <w:p>
      <w:pPr>
        <w:spacing w:after="0" w:line="255" w:lineRule="auto"/>
        <w:rPr>
          <w:sz w:val="20"/>
          <w:szCs w:val="20"/>
          <w:color w:val="auto"/>
        </w:rPr>
      </w:pPr>
      <w:r>
        <w:rPr>
          <w:rFonts w:ascii="Arial" w:cs="Arial" w:eastAsia="Arial" w:hAnsi="Arial"/>
          <w:sz w:val="16"/>
          <w:szCs w:val="16"/>
          <w:color w:val="auto"/>
        </w:rPr>
        <w:t>the Code or could cause the Participant to incur any tax, interest or penalties under Section 409A of the Code, the Administrator may, in its sole discretion and without the Participant’s consent, modify such provision to (i) comply with, or avoid being subject to, Section 409A of</w:t>
      </w:r>
    </w:p>
    <w:p>
      <w:pPr>
        <w:spacing w:after="0" w:line="235" w:lineRule="auto"/>
        <w:rPr>
          <w:sz w:val="20"/>
          <w:szCs w:val="20"/>
          <w:color w:val="auto"/>
        </w:rPr>
      </w:pPr>
      <w:r>
        <w:rPr>
          <w:rFonts w:ascii="Arial" w:cs="Arial" w:eastAsia="Arial" w:hAnsi="Arial"/>
          <w:sz w:val="18"/>
          <w:szCs w:val="18"/>
          <w:color w:val="auto"/>
        </w:rPr>
        <w:t>the Code, or to avoid the incurrence of taxes, interest and penalties under Section 409A of the Code, and/or (iii) maintain, to the maximum</w:t>
      </w:r>
    </w:p>
    <w:p>
      <w:pPr>
        <w:spacing w:after="0" w:line="226" w:lineRule="auto"/>
        <w:rPr>
          <w:sz w:val="20"/>
          <w:szCs w:val="20"/>
          <w:color w:val="auto"/>
        </w:rPr>
      </w:pPr>
      <w:r>
        <w:rPr>
          <w:rFonts w:ascii="Arial" w:cs="Arial" w:eastAsia="Arial" w:hAnsi="Arial"/>
          <w:sz w:val="18"/>
          <w:szCs w:val="18"/>
          <w:color w:val="auto"/>
        </w:rPr>
        <w:t>extent practicable, the original interest and economic benefit to the Participant of the applicable provision without materially increasing the cost to the Company or contravening the provisions of Section 409A of the Code. This Section 4.13 does not create an obligation on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part of the Company to modify the Plan or this Agreement and does not guarantee that the RSUs will not be subject to interest and penalties under Section 409A of the Code.</w:t>
      </w:r>
    </w:p>
    <w:p>
      <w:pPr>
        <w:spacing w:after="0" w:line="18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9"/>
          <w:szCs w:val="19"/>
          <w:u w:val="single" w:color="auto"/>
          <w:color w:val="auto"/>
        </w:rPr>
        <w:t xml:space="preserve">Clawback. </w:t>
      </w:r>
      <w:r>
        <w:rPr>
          <w:rFonts w:ascii="Arial" w:cs="Arial" w:eastAsia="Arial" w:hAnsi="Arial"/>
          <w:sz w:val="19"/>
          <w:szCs w:val="19"/>
          <w:color w:val="auto"/>
        </w:rPr>
        <w:t>The RSUs shall at all times be subject to any clawback or similar policy or program established by the</w:t>
      </w:r>
    </w:p>
    <w:p>
      <w:pPr>
        <w:ind w:right="220"/>
        <w:spacing w:after="0" w:line="226" w:lineRule="auto"/>
        <w:rPr>
          <w:sz w:val="20"/>
          <w:szCs w:val="20"/>
          <w:color w:val="auto"/>
        </w:rPr>
      </w:pPr>
      <w:r>
        <w:rPr>
          <w:rFonts w:ascii="Arial" w:cs="Arial" w:eastAsia="Arial" w:hAnsi="Arial"/>
          <w:sz w:val="18"/>
          <w:szCs w:val="18"/>
          <w:color w:val="auto"/>
        </w:rPr>
        <w:t>Company, as may be amended from time to time (a “</w:t>
      </w:r>
      <w:r>
        <w:rPr>
          <w:rFonts w:ascii="Arial" w:cs="Arial" w:eastAsia="Arial" w:hAnsi="Arial"/>
          <w:sz w:val="18"/>
          <w:szCs w:val="18"/>
          <w:b w:val="1"/>
          <w:bCs w:val="1"/>
          <w:i w:val="1"/>
          <w:iCs w:val="1"/>
          <w:color w:val="auto"/>
        </w:rPr>
        <w:t>Clawback Policy</w:t>
      </w:r>
      <w:r>
        <w:rPr>
          <w:rFonts w:ascii="Arial" w:cs="Arial" w:eastAsia="Arial" w:hAnsi="Arial"/>
          <w:sz w:val="18"/>
          <w:szCs w:val="18"/>
          <w:color w:val="auto"/>
        </w:rPr>
        <w:t xml:space="preserve"> ”). In addition (and without limiting the Company’s rights and the Participant’s obligations under any Clawback Policy), to the extent required by applicable law or the rules and regulations of the</w:t>
      </w:r>
    </w:p>
    <w:p>
      <w:pPr>
        <w:spacing w:after="0" w:line="224" w:lineRule="auto"/>
        <w:rPr>
          <w:sz w:val="20"/>
          <w:szCs w:val="20"/>
          <w:color w:val="auto"/>
        </w:rPr>
      </w:pPr>
      <w:r>
        <w:rPr>
          <w:rFonts w:ascii="Arial" w:cs="Arial" w:eastAsia="Arial" w:hAnsi="Arial"/>
          <w:sz w:val="19"/>
          <w:szCs w:val="19"/>
          <w:color w:val="auto"/>
        </w:rPr>
        <w:t>Nasdaq Global Market or any other securities exchange or interdealer quotation on which the Common Stock is listed or quote, the</w:t>
      </w:r>
    </w:p>
    <w:p>
      <w:pPr>
        <w:ind w:right="220"/>
        <w:spacing w:after="0" w:line="220" w:lineRule="auto"/>
        <w:rPr>
          <w:sz w:val="20"/>
          <w:szCs w:val="20"/>
          <w:color w:val="auto"/>
        </w:rPr>
      </w:pPr>
      <w:r>
        <w:rPr>
          <w:rFonts w:ascii="Arial" w:cs="Arial" w:eastAsia="Arial" w:hAnsi="Arial"/>
          <w:sz w:val="20"/>
          <w:szCs w:val="20"/>
          <w:color w:val="auto"/>
        </w:rPr>
        <w:t>RSUs shall be subject (including on a retroactive basis) to clawback, forfeiture or similar requirements (and such requirements shall be deemed incorporated by reference into this Agreement).</w:t>
      </w:r>
    </w:p>
    <w:p>
      <w:pPr>
        <w:spacing w:after="0" w:line="210" w:lineRule="exact"/>
        <w:rPr>
          <w:sz w:val="20"/>
          <w:szCs w:val="20"/>
          <w:color w:val="auto"/>
        </w:rPr>
      </w:pPr>
    </w:p>
    <w:p>
      <w:pPr>
        <w:ind w:right="220" w:firstLine="647"/>
        <w:spacing w:after="0" w:line="223"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u w:val="single" w:color="auto"/>
          <w:color w:val="auto"/>
        </w:rPr>
        <w:t>Special Provisions for RSUs Granted to Participants Outside the U.S</w:t>
      </w:r>
      <w:r>
        <w:rPr>
          <w:rFonts w:ascii="Arial" w:cs="Arial" w:eastAsia="Arial" w:hAnsi="Arial"/>
          <w:sz w:val="19"/>
          <w:szCs w:val="19"/>
          <w:color w:val="auto"/>
        </w:rPr>
        <w:t>. If the Participant performs services for the Company outside of the United States, the RSUs shall be subject to the special provisions, if any, for the Participant’s country of</w:t>
      </w:r>
    </w:p>
    <w:p>
      <w:pPr>
        <w:spacing w:after="0" w:line="236" w:lineRule="auto"/>
        <w:rPr>
          <w:sz w:val="20"/>
          <w:szCs w:val="20"/>
          <w:color w:val="auto"/>
        </w:rPr>
      </w:pPr>
      <w:r>
        <w:rPr>
          <w:rFonts w:ascii="Arial" w:cs="Arial" w:eastAsia="Arial" w:hAnsi="Arial"/>
          <w:sz w:val="18"/>
          <w:szCs w:val="18"/>
          <w:color w:val="auto"/>
        </w:rPr>
        <w:t>residence, as set forth in the Foreign Annex. If the Participant relocates to the country included in the Foreign Annex during the life of</w:t>
      </w:r>
    </w:p>
    <w:p>
      <w:pPr>
        <w:jc w:val="both"/>
        <w:ind w:right="220"/>
        <w:spacing w:after="0" w:line="226" w:lineRule="auto"/>
        <w:rPr>
          <w:sz w:val="20"/>
          <w:szCs w:val="20"/>
          <w:color w:val="auto"/>
        </w:rPr>
      </w:pPr>
      <w:r>
        <w:rPr>
          <w:rFonts w:ascii="Arial" w:cs="Arial" w:eastAsia="Arial" w:hAnsi="Arial"/>
          <w:sz w:val="18"/>
          <w:szCs w:val="18"/>
          <w:color w:val="auto"/>
        </w:rPr>
        <w:t>the RSUs, the special provisions for such country shall apply to the Participant, to the extent the Company determines that the application of such provisions is necessary or advisable in order to comply with local law or facilitate the administration of the Plan.</w:t>
      </w:r>
    </w:p>
    <w:p>
      <w:pPr>
        <w:spacing w:after="0" w:line="236" w:lineRule="auto"/>
        <w:rPr>
          <w:sz w:val="20"/>
          <w:szCs w:val="20"/>
          <w:color w:val="auto"/>
        </w:rPr>
      </w:pPr>
      <w:r>
        <w:rPr>
          <w:rFonts w:ascii="Arial" w:cs="Arial" w:eastAsia="Arial" w:hAnsi="Arial"/>
          <w:sz w:val="18"/>
          <w:szCs w:val="18"/>
          <w:color w:val="auto"/>
        </w:rPr>
        <w:t>The Company reserves the right to impose other requirements on the RSUs and the Shares, to the extent the Company determines it is</w:t>
      </w:r>
    </w:p>
    <w:p>
      <w:pPr>
        <w:spacing w:after="0" w:line="1"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color w:val="auto"/>
        </w:rPr>
        <w:t>necessary or advisable in order to comply with local laws or facilitate the administration of the Plan, and to require the Participant to sign any additional agreements or undertakings that may be necessary to accomplish the foregoing.</w:t>
      </w:r>
    </w:p>
    <w:p>
      <w:pPr>
        <w:spacing w:after="0" w:line="200" w:lineRule="exact"/>
        <w:rPr>
          <w:sz w:val="20"/>
          <w:szCs w:val="20"/>
          <w:color w:val="auto"/>
        </w:rPr>
      </w:pPr>
    </w:p>
    <w:p>
      <w:pPr>
        <w:spacing w:after="0" w:line="396"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 * * * *</w:t>
      </w:r>
    </w:p>
    <w:p>
      <w:pPr>
        <w:sectPr>
          <w:pgSz w:w="11900" w:h="16838" w:orient="portrait"/>
          <w:cols w:equalWidth="0" w:num="1">
            <w:col w:w="11000"/>
          </w:cols>
          <w:pgMar w:left="560" w:top="1405" w:right="339" w:bottom="1440" w:gutter="0" w:footer="0" w:header="0"/>
        </w:sectPr>
      </w:pPr>
    </w:p>
    <w:bookmarkStart w:id="60" w:name="page61"/>
    <w:bookmarkEnd w:id="60"/>
    <w:p>
      <w:pPr>
        <w:ind w:left="9960"/>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ANNEX A-1</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TO RESTRICTED STOCK UNIT AGREEMENT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SPECIAL PROVISIONS FOR RSUS FOR PARTICIPANTS OUTSIDE THE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Annex A-1</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Foreign Annex</w:t>
      </w:r>
      <w:r>
        <w:rPr>
          <w:rFonts w:ascii="Arial" w:cs="Arial" w:eastAsia="Arial" w:hAnsi="Arial"/>
          <w:sz w:val="18"/>
          <w:szCs w:val="18"/>
          <w:color w:val="auto"/>
        </w:rPr>
        <w:t>”) includes special terms and conditions applicable to the Participants in the country or countries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below. These terms and conditions are in addition to those set forth in Restricted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Grant Notice and the Plan and to the extent there are any inconsistencies between these terms and conditions and those set forth in the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Agreement, Grant Notice or the Plan, these terms and conditions shall prevail. Any capitalized term used in this </w:t>
      </w:r>
      <w:r>
        <w:rPr>
          <w:rFonts w:ascii="Arial" w:cs="Arial" w:eastAsia="Arial" w:hAnsi="Arial"/>
          <w:sz w:val="19"/>
          <w:szCs w:val="19"/>
          <w:u w:val="single" w:color="auto"/>
          <w:color w:val="auto"/>
        </w:rPr>
        <w:t>Annex A-1</w:t>
      </w:r>
      <w:r>
        <w:rPr>
          <w:rFonts w:ascii="Arial" w:cs="Arial" w:eastAsia="Arial" w:hAnsi="Arial"/>
          <w:sz w:val="19"/>
          <w:szCs w:val="19"/>
          <w:color w:val="auto"/>
        </w:rPr>
        <w:t xml:space="preserve"> without definition shall have the meaning ascribed to such term in the Plan, Grant Notice or the Agreement, as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Foreign Annex also includes information relating to exchange control and other issues of which the Participant should be aware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with respect to his/her participation in the Plan. The information is based on the exchange control, securities and other laws in effect in the respective countries as of November 2021. Such laws are often complex and change frequently. As a result, the Company strongly</w:t>
      </w:r>
    </w:p>
    <w:p>
      <w:pPr>
        <w:spacing w:after="0" w:line="236" w:lineRule="auto"/>
        <w:rPr>
          <w:sz w:val="20"/>
          <w:szCs w:val="20"/>
          <w:color w:val="auto"/>
        </w:rPr>
      </w:pPr>
      <w:r>
        <w:rPr>
          <w:rFonts w:ascii="Arial" w:cs="Arial" w:eastAsia="Arial" w:hAnsi="Arial"/>
          <w:sz w:val="18"/>
          <w:szCs w:val="18"/>
          <w:color w:val="auto"/>
        </w:rPr>
        <w:t>recommends that the Participant not rely on the information herein as the only source of information relating to the consequences of</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participation in the Plan because the information may be out of date at the time the RSUs vest or Shares acquired under the Plan are sold.</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addition, the information is general in nature and may not apply to the particular situation of the Participant, and the Company is not in a position to assure Participant of any particular result. Accordingly, the Participant is advised to seek appropriate professional advice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as to how the relevant laws in his/her country may apply to his/her situation. Finally, if the Participant is a citizen or resident of a country other than the one in which he or she is currently working, the information contained herein may not be applicable to</w:t>
      </w:r>
    </w:p>
    <w:p>
      <w:pPr>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Agreement, together with the Plan and the Grant Notice, as amended pursuant to this Foreign Annex A-1 for Australia, forms the</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rules of the employee share scheme applicable to the Australia-based Participants of the Company and any Eligible Subsidiaries of the Company (the “</w:t>
      </w:r>
      <w:r>
        <w:rPr>
          <w:rFonts w:ascii="Arial" w:cs="Arial" w:eastAsia="Arial" w:hAnsi="Arial"/>
          <w:sz w:val="20"/>
          <w:szCs w:val="20"/>
          <w:b w:val="1"/>
          <w:bCs w:val="1"/>
          <w:i w:val="1"/>
          <w:iCs w:val="1"/>
          <w:color w:val="auto"/>
        </w:rPr>
        <w:t>Incentive Scheme</w:t>
      </w:r>
      <w:r>
        <w:rPr>
          <w:rFonts w:ascii="Arial" w:cs="Arial" w:eastAsia="Arial" w:hAnsi="Arial"/>
          <w:sz w:val="20"/>
          <w:szCs w:val="20"/>
          <w:color w:val="auto"/>
        </w:rPr>
        <w:t>”).</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The term "</w:t>
      </w:r>
      <w:r>
        <w:rPr>
          <w:rFonts w:ascii="Arial" w:cs="Arial" w:eastAsia="Arial" w:hAnsi="Arial"/>
          <w:sz w:val="20"/>
          <w:szCs w:val="20"/>
          <w:b w:val="1"/>
          <w:bCs w:val="1"/>
          <w:i w:val="1"/>
          <w:iCs w:val="1"/>
          <w:color w:val="auto"/>
        </w:rPr>
        <w:t>Eligible Subsidiary</w:t>
      </w:r>
      <w:r>
        <w:rPr>
          <w:rFonts w:ascii="Arial" w:cs="Arial" w:eastAsia="Arial" w:hAnsi="Arial"/>
          <w:sz w:val="20"/>
          <w:szCs w:val="20"/>
          <w:color w:val="auto"/>
        </w:rPr>
        <w:t xml:space="preserve">" as used in the Agreement for the Incentive Scheme shall have the meaning given to a "Subsidiary" in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 xml:space="preserve"> (Cth). For the avoidance of doubt, the term “</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as used in the Plan and the Agreement for the Incentive Scheme includes an Eligible Subsidiary.</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The Incentive Scheme forms the rules applicable to Australia-based Participants who are Employees, Consultants or Directors of the Company or one of its Eligible Subsidiaries (provided that any such Consultant or Director provides services to the</w:t>
      </w:r>
    </w:p>
    <w:p>
      <w:pPr>
        <w:jc w:val="both"/>
        <w:spacing w:after="0" w:line="226" w:lineRule="auto"/>
        <w:rPr>
          <w:sz w:val="20"/>
          <w:szCs w:val="20"/>
          <w:color w:val="auto"/>
        </w:rPr>
      </w:pPr>
      <w:r>
        <w:rPr>
          <w:rFonts w:ascii="Arial" w:cs="Arial" w:eastAsia="Arial" w:hAnsi="Arial"/>
          <w:sz w:val="18"/>
          <w:szCs w:val="18"/>
          <w:color w:val="auto"/>
        </w:rPr>
        <w:t xml:space="preserve">Company or Eligible Subsidiary in accordance with section 83A-325 of the </w:t>
      </w:r>
      <w:r>
        <w:rPr>
          <w:rFonts w:ascii="Arial" w:cs="Arial" w:eastAsia="Arial" w:hAnsi="Arial"/>
          <w:sz w:val="18"/>
          <w:szCs w:val="18"/>
          <w:i w:val="1"/>
          <w:iCs w:val="1"/>
          <w:color w:val="auto"/>
        </w:rPr>
        <w:t>Income Tax Assessment Act 1997</w:t>
      </w:r>
      <w:r>
        <w:rPr>
          <w:rFonts w:ascii="Arial" w:cs="Arial" w:eastAsia="Arial" w:hAnsi="Arial"/>
          <w:sz w:val="18"/>
          <w:szCs w:val="18"/>
          <w:color w:val="auto"/>
        </w:rPr>
        <w:t xml:space="preserve"> (Cth) (the "</w:t>
      </w:r>
      <w:r>
        <w:rPr>
          <w:rFonts w:ascii="Arial" w:cs="Arial" w:eastAsia="Arial" w:hAnsi="Arial"/>
          <w:sz w:val="18"/>
          <w:szCs w:val="18"/>
          <w:b w:val="1"/>
          <w:bCs w:val="1"/>
          <w:i w:val="1"/>
          <w:iCs w:val="1"/>
          <w:color w:val="auto"/>
        </w:rPr>
        <w:t>ITAA</w:t>
      </w:r>
      <w:r>
        <w:rPr>
          <w:rFonts w:ascii="Arial" w:cs="Arial" w:eastAsia="Arial" w:hAnsi="Arial"/>
          <w:sz w:val="18"/>
          <w:szCs w:val="18"/>
          <w:color w:val="auto"/>
        </w:rPr>
        <w:t>") and meets the requirement for any securities law exemption or relief being relied on) (each an "</w:t>
      </w:r>
      <w:r>
        <w:rPr>
          <w:rFonts w:ascii="Arial" w:cs="Arial" w:eastAsia="Arial" w:hAnsi="Arial"/>
          <w:sz w:val="18"/>
          <w:szCs w:val="18"/>
          <w:b w:val="1"/>
          <w:bCs w:val="1"/>
          <w:i w:val="1"/>
          <w:iCs w:val="1"/>
          <w:color w:val="auto"/>
        </w:rPr>
        <w:t>Australian Participant</w:t>
      </w:r>
      <w:r>
        <w:rPr>
          <w:rFonts w:ascii="Arial" w:cs="Arial" w:eastAsia="Arial" w:hAnsi="Arial"/>
          <w:sz w:val="18"/>
          <w:szCs w:val="18"/>
          <w:color w:val="auto"/>
        </w:rPr>
        <w:t>"). Only Australian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Participants are eligible to be granted RSUs or be issued Shares under the Incentive Scheme, and only to the extent that the underlying Shares are 'ordinary shares' for the purposes of the ITAA.</w:t>
      </w:r>
    </w:p>
    <w:p>
      <w:pPr>
        <w:sectPr>
          <w:pgSz w:w="11900" w:h="16838" w:orient="portrait"/>
          <w:cols w:equalWidth="0" w:num="1">
            <w:col w:w="10780"/>
          </w:cols>
          <w:pgMar w:left="560" w:top="738" w:right="559" w:bottom="1440" w:gutter="0" w:footer="0" w:header="0"/>
        </w:sectPr>
      </w:pPr>
    </w:p>
    <w:bookmarkStart w:id="61" w:name="page62"/>
    <w:bookmarkEnd w:id="61"/>
    <w:p>
      <w:pPr>
        <w:jc w:val="both"/>
        <w:ind w:right="20"/>
        <w:spacing w:after="0" w:line="236" w:lineRule="auto"/>
        <w:rPr>
          <w:sz w:val="20"/>
          <w:szCs w:val="20"/>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Notwithstanding Section 9.1 of the Plan, RSUs may not be sold, assigned, transferred, pledged or otherwise encumbered, except by will or the laws of descent and distribution. Prior to vesting of the RSUs (and, where the Award it not settled in</w:t>
      </w:r>
    </w:p>
    <w:p>
      <w:pPr>
        <w:jc w:val="both"/>
        <w:ind w:right="20"/>
        <w:spacing w:after="0" w:line="220" w:lineRule="auto"/>
        <w:rPr>
          <w:sz w:val="20"/>
          <w:szCs w:val="20"/>
          <w:color w:val="auto"/>
        </w:rPr>
      </w:pPr>
      <w:r>
        <w:rPr>
          <w:rFonts w:ascii="Arial" w:cs="Arial" w:eastAsia="Arial" w:hAnsi="Arial"/>
          <w:sz w:val="20"/>
          <w:szCs w:val="20"/>
          <w:color w:val="auto"/>
        </w:rPr>
        <w:t>cash, the subsequent delivery of the Shares to the Participant), the Participant shall not have any rights or privileges of a shareholder as to the Shares subject to the Award and is not able to call for Shares to be delivered at an earlier date.</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Unless notified otherwise, any payment contemplated as being made by the Company or an Affiliate to a Participant will be made by the entity which employs or engages the services of that Participant. Unless notified otherwise, any cash payment, including</w:t>
      </w:r>
    </w:p>
    <w:p>
      <w:pPr>
        <w:spacing w:after="0" w:line="235" w:lineRule="auto"/>
        <w:rPr>
          <w:sz w:val="20"/>
          <w:szCs w:val="20"/>
          <w:color w:val="auto"/>
        </w:rPr>
      </w:pPr>
      <w:r>
        <w:rPr>
          <w:rFonts w:ascii="Arial" w:cs="Arial" w:eastAsia="Arial" w:hAnsi="Arial"/>
          <w:sz w:val="18"/>
          <w:szCs w:val="18"/>
          <w:color w:val="auto"/>
        </w:rPr>
        <w:t>the payment of an amount in accordance with Section 2.2(b) of the Agreement, will be calculated in a manner which is inclusive of any</w:t>
      </w:r>
    </w:p>
    <w:p>
      <w:pPr>
        <w:jc w:val="both"/>
        <w:spacing w:after="0" w:line="226" w:lineRule="auto"/>
        <w:rPr>
          <w:sz w:val="20"/>
          <w:szCs w:val="20"/>
          <w:color w:val="auto"/>
        </w:rPr>
      </w:pPr>
      <w:r>
        <w:rPr>
          <w:rFonts w:ascii="Arial" w:cs="Arial" w:eastAsia="Arial" w:hAnsi="Arial"/>
          <w:sz w:val="18"/>
          <w:szCs w:val="18"/>
          <w:color w:val="auto"/>
        </w:rPr>
        <w:t>superannuation contributions which are required to be made in connection with the payment. The Company and its Affiliates have the authority to deduct or withhold, or require Participant to remit to the Company or any Affiliate, an amount sufficient to satisfy any</w:t>
      </w:r>
    </w:p>
    <w:p>
      <w:pPr>
        <w:spacing w:after="0" w:line="236" w:lineRule="auto"/>
        <w:rPr>
          <w:sz w:val="20"/>
          <w:szCs w:val="20"/>
          <w:color w:val="auto"/>
        </w:rPr>
      </w:pPr>
      <w:r>
        <w:rPr>
          <w:rFonts w:ascii="Arial" w:cs="Arial" w:eastAsia="Arial" w:hAnsi="Arial"/>
          <w:sz w:val="18"/>
          <w:szCs w:val="18"/>
          <w:color w:val="auto"/>
        </w:rPr>
        <w:t>applicable federal, state, local and foreign taxes required by Applicable Law to be withheld with respect to any taxable event arising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pursuant to the Agreement (as well as any superannuation contributions required to be paid by the Company or its Affiliates in connection with the event), in addition to their ability to deduct or withhold other amounts in accordance with the Agreement or Plan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(including section 3.2 of the Agreement). For the avoidance of doubt, the Company and its Affiliates have the authority to deduct any such amount from any amounts payable to Participant, including other amounts of compensation.</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u w:val="single" w:color="auto"/>
          <w:color w:val="auto"/>
        </w:rPr>
        <w:t>No future entitlements</w:t>
      </w:r>
      <w:r>
        <w:rPr>
          <w:rFonts w:ascii="Arial" w:cs="Arial" w:eastAsia="Arial" w:hAnsi="Arial"/>
          <w:sz w:val="18"/>
          <w:szCs w:val="18"/>
          <w:color w:val="auto"/>
        </w:rPr>
        <w:t>. The Company has granted RSUs to Participant in its sole discretion. The granting of the RSUs does not confer on Participant any right or entitlement to receive another RSU or any other equity-based award at any time in the future or in respect of</w:t>
      </w:r>
    </w:p>
    <w:p>
      <w:pPr>
        <w:jc w:val="both"/>
        <w:spacing w:after="0" w:line="226" w:lineRule="auto"/>
        <w:rPr>
          <w:sz w:val="20"/>
          <w:szCs w:val="20"/>
          <w:color w:val="auto"/>
        </w:rPr>
      </w:pPr>
      <w:r>
        <w:rPr>
          <w:rFonts w:ascii="Arial" w:cs="Arial" w:eastAsia="Arial" w:hAnsi="Arial"/>
          <w:sz w:val="18"/>
          <w:szCs w:val="18"/>
          <w:color w:val="auto"/>
        </w:rPr>
        <w:t>any future period. In addition, the granting of such RSUs does not confer on Participant any right or entitlement to receive compensation in any specific amount for any future period, and does not diminish in any way the Company’s discretion to determine</w:t>
      </w:r>
    </w:p>
    <w:p>
      <w:pPr>
        <w:spacing w:after="0" w:line="236" w:lineRule="auto"/>
        <w:rPr>
          <w:sz w:val="20"/>
          <w:szCs w:val="20"/>
          <w:color w:val="auto"/>
        </w:rPr>
      </w:pPr>
      <w:r>
        <w:rPr>
          <w:rFonts w:ascii="Arial" w:cs="Arial" w:eastAsia="Arial" w:hAnsi="Arial"/>
          <w:sz w:val="18"/>
          <w:szCs w:val="18"/>
          <w:color w:val="auto"/>
        </w:rPr>
        <w:t>the amount, if any, of Participant’s compensation. In addition, the RSUs are not part of Participant’s base salary, wages or fees and will</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not be taken into account in determining any other service-related rights Participant may have, such as rights to pension or termination/severance pay. Neither the RSUs nor the terms on which they are granted form part of the Participants contract of</w:t>
      </w:r>
    </w:p>
    <w:p>
      <w:pPr>
        <w:spacing w:after="0"/>
        <w:rPr>
          <w:sz w:val="20"/>
          <w:szCs w:val="20"/>
          <w:color w:val="auto"/>
        </w:rPr>
      </w:pPr>
      <w:r>
        <w:rPr>
          <w:rFonts w:ascii="Arial" w:cs="Arial" w:eastAsia="Arial" w:hAnsi="Arial"/>
          <w:sz w:val="20"/>
          <w:szCs w:val="20"/>
          <w:color w:val="auto"/>
        </w:rPr>
        <w:t>employment or service with the Company or any of its Affiliates.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u w:val="single" w:color="auto"/>
          <w:color w:val="auto"/>
        </w:rPr>
        <w:t>Currency</w:t>
      </w:r>
      <w:r>
        <w:rPr>
          <w:rFonts w:ascii="Arial" w:cs="Arial" w:eastAsia="Arial" w:hAnsi="Arial"/>
          <w:sz w:val="16"/>
          <w:szCs w:val="16"/>
          <w:color w:val="auto"/>
        </w:rPr>
        <w:t>. Participant understands that, any amounts related to the RSUs will be denominated in U.S. dollars and, where a cash payment is required, will be converted to Australian dollars using a prevailing exchange rate in effect at the time such conversion is performed,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determined by the Company. Participant understands and agrees that neither the Company nor any Affiliate shall be liable for any foreign exchange rate fluctuation between Australian dollars and the U.S. dollar that may affect the value of the RSUs, or of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amounts due to Participant or as a result of the subsequent sale of any Shares acquired under the RSUs.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u w:val="single" w:color="auto"/>
          <w:color w:val="auto"/>
        </w:rPr>
        <w:t>Tax Information</w:t>
      </w:r>
      <w:r>
        <w:rPr>
          <w:rFonts w:ascii="Arial" w:cs="Arial" w:eastAsia="Arial" w:hAnsi="Arial"/>
          <w:sz w:val="18"/>
          <w:szCs w:val="18"/>
          <w:color w:val="auto"/>
        </w:rPr>
        <w:t>. Subdivision 83A-C of the ITAA applies to the RSUs granted under the Incentive Scheme (subject to the requirements of the ITAA), unless the RSUs lapse or are cash settled. Participant acknowledges and confirms that Participant is responsible for</w:t>
      </w:r>
    </w:p>
    <w:p>
      <w:pPr>
        <w:jc w:val="both"/>
        <w:spacing w:after="0" w:line="226" w:lineRule="auto"/>
        <w:rPr>
          <w:sz w:val="20"/>
          <w:szCs w:val="20"/>
          <w:color w:val="auto"/>
        </w:rPr>
      </w:pPr>
      <w:r>
        <w:rPr>
          <w:rFonts w:ascii="Arial" w:cs="Arial" w:eastAsia="Arial" w:hAnsi="Arial"/>
          <w:sz w:val="18"/>
          <w:szCs w:val="18"/>
          <w:color w:val="auto"/>
        </w:rPr>
        <w:t>reporting and paying all taxes to the local tax authorities, unless the Company or an Affiliate is required by law to do so, and that this will be undertaken by Participant on a timely basis. Participant should consult with a personal tax advisor to understand the tax</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implications of the RSUs.</w:t>
      </w:r>
    </w:p>
    <w:p>
      <w:pPr>
        <w:spacing w:after="0" w:line="200"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xml:space="preserve"> . If Participant acquires Shares pursuant to RSUs and Participant offers the Shares for sale to a person or entity resident in Australia, the offer may be subject to disclosure requirements under Australian law. Participant should consult with his/her personal legal advisor on disclosure obligations prior to making any such offer.</w:t>
      </w:r>
    </w:p>
    <w:p>
      <w:pPr>
        <w:spacing w:after="0" w:line="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 Exchange control reporting is required for cash transactions exceeding AUD 10,000 and international fund transfers. The Australian bank assisting with the transaction will file the report. If there is no Australian bank involved in the</w:t>
      </w:r>
    </w:p>
    <w:p>
      <w:pPr>
        <w:jc w:val="both"/>
        <w:ind w:right="20"/>
        <w:spacing w:after="0" w:line="220" w:lineRule="auto"/>
        <w:rPr>
          <w:sz w:val="20"/>
          <w:szCs w:val="20"/>
          <w:color w:val="auto"/>
        </w:rPr>
      </w:pPr>
      <w:r>
        <w:rPr>
          <w:rFonts w:ascii="Arial" w:cs="Arial" w:eastAsia="Arial" w:hAnsi="Arial"/>
          <w:sz w:val="20"/>
          <w:szCs w:val="20"/>
          <w:color w:val="auto"/>
        </w:rPr>
        <w:t>transfer, Participant will be required to file the report. Participant is responsible for ensuring compliance with such regulations and should consult with his/her personal legal advisor for any details.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China</w:t>
      </w:r>
    </w:p>
    <w:p>
      <w:pPr>
        <w:sectPr>
          <w:pgSz w:w="11900" w:h="16838" w:orient="portrait"/>
          <w:cols w:equalWidth="0" w:num="1">
            <w:col w:w="10780"/>
          </w:cols>
          <w:pgMar w:left="560" w:top="1405" w:right="559" w:bottom="1440" w:gutter="0" w:footer="0" w:header="0"/>
        </w:sectPr>
      </w:pPr>
    </w:p>
    <w:bookmarkStart w:id="62" w:name="page63"/>
    <w:bookmarkEnd w:id="62"/>
    <w:p>
      <w:pPr>
        <w:spacing w:after="0" w:line="236" w:lineRule="auto"/>
        <w:rPr>
          <w:sz w:val="20"/>
          <w:szCs w:val="20"/>
          <w:color w:val="auto"/>
        </w:rPr>
      </w:pPr>
      <w:r>
        <w:rPr>
          <w:rFonts w:ascii="Arial" w:cs="Arial" w:eastAsia="Arial" w:hAnsi="Arial"/>
          <w:sz w:val="20"/>
          <w:szCs w:val="20"/>
          <w:i w:val="1"/>
          <w:iCs w:val="1"/>
          <w:color w:val="auto"/>
        </w:rPr>
        <w:t>The following provision shall apply to the Participant if the Participant is subject to exchange control restrictions in the People’s Republic of China (“</w:t>
      </w:r>
      <w:r>
        <w:rPr>
          <w:rFonts w:ascii="Arial" w:cs="Arial" w:eastAsia="Arial" w:hAnsi="Arial"/>
          <w:sz w:val="20"/>
          <w:szCs w:val="20"/>
          <w:b w:val="1"/>
          <w:bCs w:val="1"/>
          <w:i w:val="1"/>
          <w:iCs w:val="1"/>
          <w:color w:val="auto"/>
        </w:rPr>
        <w:t>PRC</w:t>
      </w:r>
      <w:r>
        <w:rPr>
          <w:rFonts w:ascii="Arial" w:cs="Arial" w:eastAsia="Arial" w:hAnsi="Arial"/>
          <w:sz w:val="20"/>
          <w:szCs w:val="20"/>
          <w:i w:val="1"/>
          <w:iCs w:val="1"/>
          <w:color w:val="auto"/>
        </w:rPr>
        <w:t>”), as determined by the Corporation in its sole discretion.</w:t>
      </w:r>
    </w:p>
    <w:p>
      <w:pPr>
        <w:spacing w:after="0" w:line="19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u w:val="single" w:color="auto"/>
          <w:color w:val="auto"/>
        </w:rPr>
        <w:t>Settlement of Restricted Stock Units.</w:t>
      </w:r>
      <w:r>
        <w:rPr>
          <w:rFonts w:ascii="Arial" w:cs="Arial" w:eastAsia="Arial" w:hAnsi="Arial"/>
          <w:sz w:val="18"/>
          <w:szCs w:val="18"/>
          <w:color w:val="auto"/>
        </w:rPr>
        <w:t xml:space="preserve"> Notwithstanding Section 2.1 (“Vesting; Forfeiture”) of the Agreement, due to exchange control regulations in the PRC, the Participant is not entitled to receive any Shares upon settlement of the RSUs. Instead, the Participant will</w:t>
      </w:r>
    </w:p>
    <w:p>
      <w:pPr>
        <w:ind w:right="180"/>
        <w:spacing w:after="0" w:line="239" w:lineRule="auto"/>
        <w:rPr>
          <w:sz w:val="20"/>
          <w:szCs w:val="20"/>
          <w:color w:val="auto"/>
        </w:rPr>
      </w:pPr>
      <w:r>
        <w:rPr>
          <w:rFonts w:ascii="Arial" w:cs="Arial" w:eastAsia="Arial" w:hAnsi="Arial"/>
          <w:sz w:val="19"/>
          <w:szCs w:val="19"/>
          <w:color w:val="auto"/>
        </w:rPr>
        <w:t>receive through local payroll a cash payment equal to the fair market value of the Shares subject to the vested RSUs, subject to any obligation to satisfy tax-related items. Any references to the issuance of Shares shall not apply to the Participant.</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Germany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Participant is aware of and consents to the fact that the Plan is not part of the Participant’s employment contract with his or her German employer. In particular, neither the grant of the RSUs nor any other financial benefits conferred upon the Participant in</w:t>
      </w:r>
    </w:p>
    <w:p>
      <w:pPr>
        <w:ind w:right="180"/>
        <w:spacing w:after="0" w:line="227" w:lineRule="auto"/>
        <w:rPr>
          <w:sz w:val="20"/>
          <w:szCs w:val="20"/>
          <w:color w:val="auto"/>
        </w:rPr>
      </w:pPr>
      <w:r>
        <w:rPr>
          <w:rFonts w:ascii="Arial" w:cs="Arial" w:eastAsia="Arial" w:hAnsi="Arial"/>
          <w:sz w:val="20"/>
          <w:szCs w:val="20"/>
          <w:color w:val="auto"/>
        </w:rPr>
        <w:t>connection with the Plan are part of the Participant’s entitlement to remuneration or benefits in terms of their employment with his or her German employer.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If the Participant receives cross-border payments in excess of €12,500 in connection with the sale of securities (including Shares acquired</w:t>
      </w:r>
    </w:p>
    <w:p>
      <w:pPr>
        <w:spacing w:after="0" w:line="236" w:lineRule="auto"/>
        <w:rPr>
          <w:sz w:val="20"/>
          <w:szCs w:val="20"/>
          <w:color w:val="auto"/>
        </w:rPr>
      </w:pPr>
      <w:r>
        <w:rPr>
          <w:rFonts w:ascii="Arial" w:cs="Arial" w:eastAsia="Arial" w:hAnsi="Arial"/>
          <w:sz w:val="18"/>
          <w:szCs w:val="18"/>
          <w:color w:val="auto"/>
        </w:rPr>
        <w:t>under the Plan) or the receipt of dividends paid on such Shares, the Participant must report by the fifth day of the month following the</w:t>
      </w:r>
    </w:p>
    <w:p>
      <w:pPr>
        <w:ind w:right="180"/>
        <w:spacing w:after="0" w:line="220" w:lineRule="auto"/>
        <w:rPr>
          <w:sz w:val="20"/>
          <w:szCs w:val="20"/>
          <w:color w:val="auto"/>
        </w:rPr>
      </w:pPr>
      <w:r>
        <w:rPr>
          <w:rFonts w:ascii="Arial" w:cs="Arial" w:eastAsia="Arial" w:hAnsi="Arial"/>
          <w:sz w:val="20"/>
          <w:szCs w:val="20"/>
          <w:color w:val="auto"/>
        </w:rPr>
        <w:t xml:space="preserve">month in which the payment was received. The report must be filed electronically. The form of report can be accessed via the German Federal Bank’s website at </w:t>
      </w:r>
      <w:r>
        <w:rPr>
          <w:rFonts w:ascii="Arial" w:cs="Arial" w:eastAsia="Arial" w:hAnsi="Arial"/>
          <w:sz w:val="20"/>
          <w:szCs w:val="20"/>
          <w:u w:val="single" w:color="auto"/>
          <w:color w:val="0000FF"/>
        </w:rPr>
        <w:t>www.bundesbank.de</w:t>
      </w:r>
      <w:r>
        <w:rPr>
          <w:rFonts w:ascii="Arial" w:cs="Arial" w:eastAsia="Arial" w:hAnsi="Arial"/>
          <w:sz w:val="20"/>
          <w:szCs w:val="20"/>
          <w:color w:val="auto"/>
        </w:rPr>
        <w:t xml:space="preserve"> and is available in both German and English.</w:t>
      </w:r>
    </w:p>
    <w:p>
      <w:pPr>
        <w:spacing w:after="0" w:line="29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the acquisition of Shares under the Plan leads to a “qualified participation” at any point during the calendar year, the Participant will need to report the acquisition when the Participant files his or her tax return for the</w:t>
      </w:r>
    </w:p>
    <w:p>
      <w:pPr>
        <w:spacing w:after="0" w:line="235" w:lineRule="auto"/>
        <w:rPr>
          <w:sz w:val="20"/>
          <w:szCs w:val="20"/>
          <w:color w:val="auto"/>
        </w:rPr>
      </w:pPr>
      <w:r>
        <w:rPr>
          <w:rFonts w:ascii="Arial" w:cs="Arial" w:eastAsia="Arial" w:hAnsi="Arial"/>
          <w:sz w:val="18"/>
          <w:szCs w:val="18"/>
          <w:color w:val="auto"/>
        </w:rPr>
        <w:t>relevant year. A “qualified participation” is attained if (i) the value of the Shares acquired exceeds €150,000 or (ii) in the unlikely event</w:t>
      </w:r>
    </w:p>
    <w:p>
      <w:pPr>
        <w:ind w:right="180"/>
        <w:spacing w:after="0" w:line="226" w:lineRule="auto"/>
        <w:rPr>
          <w:sz w:val="20"/>
          <w:szCs w:val="20"/>
          <w:color w:val="auto"/>
        </w:rPr>
      </w:pPr>
      <w:r>
        <w:rPr>
          <w:rFonts w:ascii="Arial" w:cs="Arial" w:eastAsia="Arial" w:hAnsi="Arial"/>
          <w:sz w:val="18"/>
          <w:szCs w:val="18"/>
          <w:color w:val="auto"/>
        </w:rPr>
        <w:t>the Participant holds Shares exceeding 10% of the total Common Stock. However, if Shares are listed on a stock exchange recognized in the U.S., the European Union or the European Economic Area or on any other foreign stock exchange recognized by the Federal</w:t>
      </w:r>
    </w:p>
    <w:p>
      <w:pPr>
        <w:spacing w:after="0" w:line="236" w:lineRule="auto"/>
        <w:rPr>
          <w:sz w:val="20"/>
          <w:szCs w:val="20"/>
          <w:color w:val="auto"/>
        </w:rPr>
      </w:pPr>
      <w:r>
        <w:rPr>
          <w:rFonts w:ascii="Arial" w:cs="Arial" w:eastAsia="Arial" w:hAnsi="Arial"/>
          <w:sz w:val="18"/>
          <w:szCs w:val="18"/>
          <w:color w:val="auto"/>
        </w:rPr>
        <w:t>Financial Supervisory Authority (</w:t>
      </w:r>
      <w:r>
        <w:rPr>
          <w:rFonts w:ascii="Arial" w:cs="Arial" w:eastAsia="Arial" w:hAnsi="Arial"/>
          <w:sz w:val="18"/>
          <w:szCs w:val="18"/>
          <w:i w:val="1"/>
          <w:iCs w:val="1"/>
          <w:color w:val="auto"/>
        </w:rPr>
        <w:t>Bundesanstalt für Finanzdienstleistungsaufsicht</w:t>
      </w:r>
      <w:r>
        <w:rPr>
          <w:rFonts w:ascii="Arial" w:cs="Arial" w:eastAsia="Arial" w:hAnsi="Arial"/>
          <w:sz w:val="18"/>
          <w:szCs w:val="18"/>
          <w:color w:val="auto"/>
        </w:rPr>
        <w:t>) and the Participant owns less than 1% of the total</w:t>
      </w:r>
    </w:p>
    <w:p>
      <w:pPr>
        <w:spacing w:after="0" w:line="197" w:lineRule="auto"/>
        <w:rPr>
          <w:sz w:val="20"/>
          <w:szCs w:val="20"/>
          <w:color w:val="auto"/>
        </w:rPr>
      </w:pPr>
      <w:r>
        <w:rPr>
          <w:rFonts w:ascii="Arial" w:cs="Arial" w:eastAsia="Arial" w:hAnsi="Arial"/>
          <w:sz w:val="20"/>
          <w:szCs w:val="20"/>
          <w:color w:val="auto"/>
        </w:rPr>
        <w:t>Common Stock,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€150,000 threshold will not apply.</w:t>
      </w:r>
    </w:p>
    <w:p>
      <w:pPr>
        <w:spacing w:after="0" w:line="213"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u w:val="single" w:color="auto"/>
          <w:color w:val="auto"/>
        </w:rPr>
        <w:t>Prohibition on Insider Dealing</w:t>
      </w:r>
      <w:r>
        <w:rPr>
          <w:rFonts w:ascii="Arial" w:cs="Arial" w:eastAsia="Arial" w:hAnsi="Arial"/>
          <w:sz w:val="18"/>
          <w:szCs w:val="18"/>
          <w:color w:val="auto"/>
        </w:rPr>
        <w:t>. Participant should be aware of the insider dealing rules of the Regulation (EU) No 596/2014 of the European Parliament and Council (Market Abuse Regulation) apply in Germany, which may affect transactions under the Plan such as</w:t>
      </w:r>
    </w:p>
    <w:p>
      <w:pPr>
        <w:ind w:right="180"/>
        <w:spacing w:after="0" w:line="266" w:lineRule="auto"/>
        <w:rPr>
          <w:sz w:val="20"/>
          <w:szCs w:val="20"/>
          <w:color w:val="auto"/>
        </w:rPr>
      </w:pPr>
      <w:r>
        <w:rPr>
          <w:rFonts w:ascii="Arial" w:cs="Arial" w:eastAsia="Arial" w:hAnsi="Arial"/>
          <w:sz w:val="18"/>
          <w:szCs w:val="18"/>
          <w:color w:val="auto"/>
        </w:rPr>
        <w:t>e.g. the subscription or participation, the suspension, the cancellation or an amending order, the acquisition or sale of Shares acquired under the Plan, if Participant has inside information regarding the Company. Participant is advised to determine carefully</w:t>
      </w:r>
    </w:p>
    <w:p>
      <w:pPr>
        <w:sectPr>
          <w:pgSz w:w="11900" w:h="16838" w:orient="portrait"/>
          <w:cols w:equalWidth="0" w:num="1">
            <w:col w:w="10960"/>
          </w:cols>
          <w:pgMar w:left="560" w:top="1324" w:right="379" w:bottom="1440" w:gutter="0" w:footer="0" w:header="0"/>
        </w:sectPr>
      </w:pPr>
    </w:p>
    <w:bookmarkStart w:id="63" w:name="page64"/>
    <w:bookmarkEnd w:id="63"/>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whether he or she has inside information in respect of the Company and whether and to what extend insider dealing rules can apply to him or her. In case of uncertainty, the Company recommends that Participant consults with a legal advisor.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Tax Provisions</w:t>
      </w:r>
      <w:r>
        <w:rPr>
          <w:rFonts w:ascii="Arial" w:cs="Arial" w:eastAsia="Arial" w:hAnsi="Arial"/>
          <w:sz w:val="20"/>
          <w:szCs w:val="20"/>
          <w:color w:val="auto"/>
        </w:rPr>
        <w:t>. Each Participant who is either (i) resident for tax purposes in Germany or</w:t>
      </w:r>
    </w:p>
    <w:p>
      <w:pPr>
        <w:jc w:val="both"/>
        <w:ind w:firstLine="2"/>
        <w:spacing w:after="0" w:line="223" w:lineRule="auto"/>
        <w:tabs>
          <w:tab w:leader="none" w:pos="292"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otherwise subject to German income tax and/or social security contributions in respect of earnings received from the Shares shall be obliged to notify the relevant Subsidiary or other Participant’s employing company (as applicable) of the grant, vesting, or payment of the RSUs and the Shares. Section 9.5 of the Plan and Sections 3.2(a) of this Agreement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regard to any deductions or withholdings, in particular with regard to wage tax, solidarity surcharge and social security contributions, required to be made by such Subsidiary or other Participant’s employing company under Applicable Law. The Participant shall indemnify and keep indemnified the Company and any of its Affiliates from and against any tax-related items required by law to be withheld with respect to any taxable event arising in connection with the RSUs.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Netherlands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This Restricted Stock United Agreement shall be governed by and interpreted in accordance with the laws of the Netherlands.</w:t>
      </w:r>
    </w:p>
    <w:p>
      <w:pPr>
        <w:spacing w:after="0" w:line="22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All disputes arising from or in connection with this Restricted Stock United Agreement shall be brought before the competent court in the district of Amsterdam, without prejudice to the right of appeal, including an appeal to the Dutch Supreme Court.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India</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 edits to the agreement from an Indian legal perspective as it adequately addresses the Indian tax and exchange control requirements.</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Philippines</w:t>
      </w:r>
    </w:p>
    <w:p>
      <w:pPr>
        <w:spacing w:after="0" w:line="2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RSUs constitute securities which have not been registered with the Philippine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the Securities Regulation Code and its implementing rules (the “</w:t>
      </w:r>
      <w:r>
        <w:rPr>
          <w:rFonts w:ascii="Arial" w:cs="Arial" w:eastAsia="Arial" w:hAnsi="Arial"/>
          <w:sz w:val="18"/>
          <w:szCs w:val="18"/>
          <w:b w:val="1"/>
          <w:bCs w:val="1"/>
          <w:i w:val="1"/>
          <w:iCs w:val="1"/>
          <w:color w:val="auto"/>
        </w:rPr>
        <w:t>Cod</w:t>
      </w:r>
      <w:r>
        <w:rPr>
          <w:rFonts w:ascii="Arial" w:cs="Arial" w:eastAsia="Arial" w:hAnsi="Arial"/>
          <w:sz w:val="18"/>
          <w:szCs w:val="18"/>
          <w:color w:val="auto"/>
        </w:rPr>
        <w:t>e”). The offer of these securities is made in the</w:t>
      </w:r>
    </w:p>
    <w:p>
      <w:pPr>
        <w:spacing w:after="0" w:line="227" w:lineRule="auto"/>
        <w:rPr>
          <w:sz w:val="20"/>
          <w:szCs w:val="20"/>
          <w:color w:val="auto"/>
        </w:rPr>
      </w:pPr>
      <w:r>
        <w:rPr>
          <w:rFonts w:ascii="Arial" w:cs="Arial" w:eastAsia="Arial" w:hAnsi="Arial"/>
          <w:sz w:val="20"/>
          <w:szCs w:val="20"/>
          <w:color w:val="auto"/>
        </w:rPr>
        <w:t>Philippines solely pursuant to Section 10.2 of the Code. Any further offer or sale of these RSUs may be subject to registration requirements under the Code, unless such offer or sale qualifies as an exempt transaction under the Code.</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Singapore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w:t>
      </w:r>
    </w:p>
    <w:p>
      <w:pPr>
        <w:spacing w:after="0" w:line="222" w:lineRule="exact"/>
        <w:rPr>
          <w:sz w:val="20"/>
          <w:szCs w:val="20"/>
          <w:color w:val="auto"/>
        </w:rPr>
      </w:pPr>
    </w:p>
    <w:p>
      <w:pPr>
        <w:jc w:val="both"/>
        <w:ind w:left="660" w:hanging="334"/>
        <w:spacing w:after="0" w:line="211" w:lineRule="auto"/>
        <w:tabs>
          <w:tab w:leader="none" w:pos="75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Participant is responsible for ensuring that any gains derived under this Agreement which are subject to income tax in Singapore are declared in the Participant’s income tax return for the relevant Year of Assessment (to the extent the information is not required to be submitted electronically to the Inland Revenue Authority of Singapore by the Participant’s employer under the Auto-Inclusion Scheme).</w:t>
      </w:r>
    </w:p>
    <w:p>
      <w:pPr>
        <w:spacing w:after="0" w:line="3" w:lineRule="exact"/>
        <w:rPr>
          <w:rFonts w:ascii="Arial" w:cs="Arial" w:eastAsia="Arial" w:hAnsi="Arial"/>
          <w:sz w:val="20"/>
          <w:szCs w:val="20"/>
          <w:color w:val="auto"/>
        </w:rPr>
      </w:pPr>
    </w:p>
    <w:p>
      <w:pPr>
        <w:ind w:left="680" w:hanging="354"/>
        <w:spacing w:after="0" w:line="211" w:lineRule="auto"/>
        <w:tabs>
          <w:tab w:leader="none" w:pos="6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Participant is responsible for the payment of income tax on taxable gains derived under this Agreement.</w:t>
      </w:r>
    </w:p>
    <w:p>
      <w:pPr>
        <w:jc w:val="both"/>
        <w:ind w:left="660" w:right="20" w:hanging="334"/>
        <w:spacing w:after="0" w:line="217" w:lineRule="auto"/>
        <w:tabs>
          <w:tab w:leader="none" w:pos="741"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 the extent the Participant is a non-Singapore citizen who, upon Termination of Service, retains unvested RSUs or Shares subject to selling restrictions and is therefore subject to tax on a “deemed exercise” basis, the Participant acknowledges that: (a) the fulfilment of such tax obligations forms</w:t>
      </w:r>
    </w:p>
    <w:p>
      <w:pPr>
        <w:sectPr>
          <w:pgSz w:w="11900" w:h="16838" w:orient="portrait"/>
          <w:cols w:equalWidth="0" w:num="1">
            <w:col w:w="10780"/>
          </w:cols>
          <w:pgMar w:left="560" w:top="1440" w:right="559" w:bottom="1440" w:gutter="0" w:footer="0" w:header="0"/>
        </w:sectPr>
      </w:pPr>
    </w:p>
    <w:bookmarkStart w:id="64" w:name="page65"/>
    <w:bookmarkEnd w:id="64"/>
    <w:p>
      <w:pPr>
        <w:spacing w:after="0" w:line="209" w:lineRule="exact"/>
        <w:rPr>
          <w:sz w:val="20"/>
          <w:szCs w:val="20"/>
          <w:color w:val="auto"/>
        </w:rPr>
      </w:pPr>
    </w:p>
    <w:p>
      <w:pPr>
        <w:spacing w:after="0" w:line="223" w:lineRule="auto"/>
        <w:rPr>
          <w:sz w:val="20"/>
          <w:szCs w:val="20"/>
          <w:color w:val="auto"/>
        </w:rPr>
      </w:pPr>
      <w:r>
        <w:rPr>
          <w:rFonts w:ascii="Arial" w:cs="Arial" w:eastAsia="Arial" w:hAnsi="Arial"/>
          <w:sz w:val="19"/>
          <w:szCs w:val="19"/>
          <w:color w:val="auto"/>
        </w:rPr>
        <w:t>part of the Participant’s tax clearance requirements; and (b) the Participant’s employer is legally required to carry out tax clearance procedures including withholding all monies due to the Participant from the date the employer is aware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Participant’s impending cessation of employment.</w:t>
      </w:r>
    </w:p>
    <w:p>
      <w:pPr>
        <w:sectPr>
          <w:pgSz w:w="11900" w:h="16838" w:orient="portrait"/>
          <w:cols w:equalWidth="0" w:num="1">
            <w:col w:w="10100"/>
          </w:cols>
          <w:pgMar w:left="1220" w:top="1440" w:right="579" w:bottom="1440" w:gutter="0" w:footer="0" w:header="0"/>
        </w:sectPr>
      </w:pPr>
    </w:p>
    <w:bookmarkStart w:id="65" w:name="page66"/>
    <w:bookmarkEnd w:id="65"/>
    <w:p>
      <w:pPr>
        <w:ind w:left="10220"/>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713232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FLUENCE ENERGY, INC.</w:t>
      </w:r>
    </w:p>
    <w:p>
      <w:pPr>
        <w:jc w:val="center"/>
        <w:spacing w:after="0"/>
        <w:rPr>
          <w:sz w:val="20"/>
          <w:szCs w:val="20"/>
          <w:color w:val="auto"/>
        </w:rPr>
      </w:pPr>
      <w:r>
        <w:rPr>
          <w:rFonts w:ascii="Arial" w:cs="Arial" w:eastAsia="Arial" w:hAnsi="Arial"/>
          <w:sz w:val="20"/>
          <w:szCs w:val="20"/>
          <w:b w:val="1"/>
          <w:bCs w:val="1"/>
          <w:color w:val="auto"/>
        </w:rPr>
        <w:t>2021 INCENTIVE AWARD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195"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Capitalized terms not specifically defined in this Restricted Stock Unit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have the meanings given to them in the 2021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of Fluence Energy,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Restricted Stock Units described in this Grant Notice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xml:space="preserve">”), subject to the terms and conditions of the Plan and the Restricted Stock Unit Agreement attached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special provisions for the Participant’s country of residence, if any, attached to the Agreement as Annex A-1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Annex</w:t>
      </w:r>
      <w:r>
        <w:rPr>
          <w:rFonts w:ascii="Arial" w:cs="Arial" w:eastAsia="Arial" w:hAnsi="Arial"/>
          <w:sz w:val="20"/>
          <w:szCs w:val="20"/>
          <w:color w:val="auto"/>
        </w:rPr>
        <w:t>”), both of which are incorporated into this Grant Notice by reference.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individual grant notice within the electronic Agreement provides grant details such as Participant Name, Grant Date, Number of RSUs, Vesting Commencement Date, and Vesting Schedule. The RSUs shall vest on the first anniversary of the Grant Date, subject to the</w:t>
      </w:r>
    </w:p>
    <w:p>
      <w:pPr>
        <w:spacing w:after="0"/>
        <w:rPr>
          <w:sz w:val="20"/>
          <w:szCs w:val="20"/>
          <w:color w:val="auto"/>
        </w:rPr>
      </w:pPr>
      <w:r>
        <w:rPr>
          <w:rFonts w:ascii="Arial" w:cs="Arial" w:eastAsia="Arial" w:hAnsi="Arial"/>
          <w:sz w:val="20"/>
          <w:szCs w:val="20"/>
          <w:color w:val="auto"/>
        </w:rPr>
        <w:t>Participant’s continuous and active service with the Company and its Affiliates through the vesting date.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By Participant’s signature below, Participant agrees to be bound by the terms of this Grant Notice, the Plan and the Agreement. Participant has reviewed the Plan, this Grant Notice, the Foreign Annex and the Agreement in their entirety, has had an opportunity to obtain</w:t>
      </w:r>
    </w:p>
    <w:p>
      <w:pPr>
        <w:spacing w:after="0" w:line="235" w:lineRule="auto"/>
        <w:rPr>
          <w:sz w:val="20"/>
          <w:szCs w:val="20"/>
          <w:color w:val="auto"/>
        </w:rPr>
      </w:pPr>
      <w:r>
        <w:rPr>
          <w:rFonts w:ascii="Arial" w:cs="Arial" w:eastAsia="Arial" w:hAnsi="Arial"/>
          <w:sz w:val="18"/>
          <w:szCs w:val="18"/>
          <w:color w:val="auto"/>
        </w:rPr>
        <w:t>the advice of counsel prior to executing this Grant Notice and fully understands all provisions of the Plan, this Grant Notice, the Foreign</w:t>
      </w:r>
    </w:p>
    <w:p>
      <w:pPr>
        <w:spacing w:after="0" w:line="220" w:lineRule="auto"/>
        <w:rPr>
          <w:sz w:val="20"/>
          <w:szCs w:val="20"/>
          <w:color w:val="auto"/>
        </w:rPr>
      </w:pPr>
      <w:r>
        <w:rPr>
          <w:rFonts w:ascii="Arial" w:cs="Arial" w:eastAsia="Arial" w:hAnsi="Arial"/>
          <w:sz w:val="20"/>
          <w:szCs w:val="20"/>
          <w:color w:val="auto"/>
        </w:rPr>
        <w:t>Annex and the Agreement. Participant hereby agrees to accept as binding, conclusive and final all decisions or interpretations of the Administrator upon any questions arising under the Plan, this Grant Notice, the Foreign Annex or the Agreement.</w:t>
      </w:r>
    </w:p>
    <w:p>
      <w:pPr>
        <w:sectPr>
          <w:pgSz w:w="11900" w:h="16838" w:orient="portrait"/>
          <w:cols w:equalWidth="0" w:num="1">
            <w:col w:w="11240"/>
          </w:cols>
          <w:pgMar w:left="320" w:top="104" w:right="339" w:bottom="1440" w:gutter="0" w:footer="0" w:header="0"/>
        </w:sect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FLUENCE ENERGY, INC.</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PARTICIPANT</w:t>
      </w:r>
    </w:p>
    <w:p>
      <w:pPr>
        <w:spacing w:after="0" w:line="98" w:lineRule="exact"/>
        <w:rPr>
          <w:sz w:val="20"/>
          <w:szCs w:val="20"/>
          <w:color w:val="auto"/>
        </w:rPr>
      </w:pPr>
    </w:p>
    <w:p>
      <w:pPr>
        <w:sectPr>
          <w:pgSz w:w="11900" w:h="16838" w:orient="portrait"/>
          <w:cols w:equalWidth="0" w:num="2">
            <w:col w:w="4980" w:space="720"/>
            <w:col w:w="5540"/>
          </w:cols>
          <w:pgMar w:left="320" w:top="104"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By:</w:t>
      </w:r>
    </w:p>
    <w:p>
      <w:pPr>
        <w:sectPr>
          <w:pgSz w:w="11900" w:h="16838" w:orient="portrait"/>
          <w:cols w:equalWidth="0" w:num="1">
            <w:col w:w="11240"/>
          </w:cols>
          <w:pgMar w:left="320" w:top="104" w:right="339" w:bottom="1440" w:gutter="0" w:footer="0" w:header="0"/>
          <w:type w:val="continuous"/>
        </w:sectPr>
      </w:pP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Participant Name</w:t>
      </w:r>
    </w:p>
    <w:p>
      <w:pPr>
        <w:spacing w:after="0" w:line="127" w:lineRule="exact"/>
        <w:rPr>
          <w:sz w:val="20"/>
          <w:szCs w:val="20"/>
          <w:color w:val="auto"/>
        </w:rPr>
      </w:pPr>
    </w:p>
    <w:p>
      <w:pPr>
        <w:sectPr>
          <w:pgSz w:w="11900" w:h="16838" w:orient="portrait"/>
          <w:cols w:equalWidth="0" w:num="2">
            <w:col w:w="4980" w:space="720"/>
            <w:col w:w="5540"/>
          </w:cols>
          <w:pgMar w:left="320" w:top="104"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40"/>
          </w:cols>
          <w:pgMar w:left="320" w:top="104" w:right="3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19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5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ind w:left="5140"/>
        <w:spacing w:after="0"/>
        <w:rPr>
          <w:sz w:val="20"/>
          <w:szCs w:val="20"/>
          <w:color w:val="auto"/>
        </w:rPr>
      </w:pPr>
      <w:r>
        <w:rPr>
          <w:rFonts w:ascii="Arial" w:cs="Arial" w:eastAsia="Arial" w:hAnsi="Arial"/>
          <w:sz w:val="20"/>
          <w:szCs w:val="20"/>
          <w:b w:val="1"/>
          <w:bCs w:val="1"/>
          <w:color w:val="auto"/>
        </w:rPr>
        <w:t>GENERAL</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 xml:space="preserve">Award of RSUs </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20" w:lineRule="auto"/>
        <w:tabs>
          <w:tab w:leader="none" w:pos="1813"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Company has granted the RSUs to Participant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set forth in this Agreement, the Plan and the Foreign Annex, which is incorporated herein by reference. In the event of any inconsistency between the Plan and this Agreement, the terms</w:t>
      </w:r>
    </w:p>
    <w:p>
      <w:pPr>
        <w:spacing w:after="0" w:line="227" w:lineRule="auto"/>
        <w:rPr>
          <w:sz w:val="20"/>
          <w:szCs w:val="20"/>
          <w:color w:val="auto"/>
        </w:rPr>
      </w:pPr>
      <w:r>
        <w:rPr>
          <w:rFonts w:ascii="Arial" w:cs="Arial" w:eastAsia="Arial" w:hAnsi="Arial"/>
          <w:sz w:val="20"/>
          <w:szCs w:val="20"/>
          <w:color w:val="auto"/>
        </w:rPr>
        <w:t>of the Plan will control. If the Foreign Annex applies to the Participant, in the event of a conflict between the terms of this Agreement, the Plan or the Foreign Annex, the terms of the Foreign Annex shall control.</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will at all times prior to settlement represent an unsecured Company obligation payable only from the Company’s general assets.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jc w:val="center"/>
        <w:spacing w:after="0"/>
        <w:rPr>
          <w:sz w:val="20"/>
          <w:szCs w:val="20"/>
          <w:color w:val="auto"/>
        </w:rPr>
      </w:pPr>
      <w:r>
        <w:rPr>
          <w:rFonts w:ascii="Arial" w:cs="Arial" w:eastAsia="Arial" w:hAnsi="Arial"/>
          <w:sz w:val="20"/>
          <w:szCs w:val="20"/>
          <w:b w:val="1"/>
          <w:bCs w:val="1"/>
          <w:color w:val="auto"/>
        </w:rPr>
        <w:t>VESTING; FORFEITURE AND SETTLEMENT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Forfeiture</w:t>
      </w:r>
      <w:r>
        <w:rPr>
          <w:rFonts w:ascii="Arial" w:cs="Arial" w:eastAsia="Arial" w:hAnsi="Arial"/>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w:t>
      </w:r>
    </w:p>
    <w:p>
      <w:pPr>
        <w:spacing w:after="0" w:line="239" w:lineRule="auto"/>
        <w:rPr>
          <w:sz w:val="20"/>
          <w:szCs w:val="20"/>
          <w:color w:val="auto"/>
        </w:rPr>
      </w:pPr>
      <w:r>
        <w:rPr>
          <w:rFonts w:ascii="Arial" w:cs="Arial" w:eastAsia="Arial" w:hAnsi="Arial"/>
          <w:sz w:val="19"/>
          <w:szCs w:val="19"/>
          <w:color w:val="auto"/>
        </w:rPr>
        <w:t>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14" w:lineRule="auto"/>
        <w:tabs>
          <w:tab w:leader="none" w:pos="1741" w:val="left"/>
        </w:tabs>
        <w:numPr>
          <w:ilvl w:val="0"/>
          <w:numId w:val="28"/>
        </w:numPr>
        <w:rPr>
          <w:rFonts w:ascii="Arial" w:cs="Arial" w:eastAsia="Arial" w:hAnsi="Arial"/>
          <w:sz w:val="20"/>
          <w:szCs w:val="20"/>
          <w:color w:val="auto"/>
        </w:rPr>
      </w:pPr>
      <w:r>
        <w:rPr>
          <w:rFonts w:ascii="Arial" w:cs="Arial" w:eastAsia="Arial" w:hAnsi="Arial"/>
          <w:sz w:val="20"/>
          <w:szCs w:val="20"/>
          <w:color w:val="auto"/>
        </w:rPr>
        <w:t>RSUs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73" w:lineRule="exact"/>
        <w:rPr>
          <w:rFonts w:ascii="Arial" w:cs="Arial" w:eastAsia="Arial" w:hAnsi="Arial"/>
          <w:sz w:val="20"/>
          <w:szCs w:val="20"/>
          <w:color w:val="auto"/>
        </w:rPr>
      </w:pPr>
    </w:p>
    <w:p>
      <w:pPr>
        <w:ind w:firstLine="1304"/>
        <w:spacing w:after="0" w:line="236" w:lineRule="auto"/>
        <w:tabs>
          <w:tab w:leader="none" w:pos="1743"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an RSU is paid in cash, the amount of cash paid with respect to the RSU will equal the Fair Market Value of a Share on the day immediately preceding the payment date.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Participant’s own tax advisors the tax consequences of this Award and the transactions contemplated by the Grant Notice and this Agreement. Participant is relying solely on such</w:t>
      </w:r>
    </w:p>
    <w:p>
      <w:pPr>
        <w:spacing w:after="0"/>
        <w:rPr>
          <w:sz w:val="20"/>
          <w:szCs w:val="20"/>
          <w:color w:val="auto"/>
        </w:rPr>
      </w:pPr>
      <w:r>
        <w:rPr>
          <w:rFonts w:ascii="Arial" w:cs="Arial" w:eastAsia="Arial" w:hAnsi="Arial"/>
          <w:sz w:val="20"/>
          <w:szCs w:val="20"/>
          <w:color w:val="auto"/>
        </w:rPr>
        <w:t>advisors and not on any statements or representations of the Company or any of its agents.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ectPr>
          <w:pgSz w:w="11900" w:h="16838" w:orient="portrait"/>
          <w:cols w:equalWidth="0" w:num="1">
            <w:col w:w="11240"/>
          </w:cols>
          <w:pgMar w:left="320" w:top="104" w:right="339" w:bottom="1440" w:gutter="0" w:footer="0" w:header="0"/>
        </w:sectPr>
      </w:pPr>
    </w:p>
    <w:bookmarkStart w:id="67" w:name="page68"/>
    <w:bookmarkEnd w:id="67"/>
    <w:p>
      <w:pPr>
        <w:jc w:val="both"/>
        <w:ind w:firstLine="1304"/>
        <w:spacing w:after="0" w:line="220" w:lineRule="auto"/>
        <w:tabs>
          <w:tab w:leader="none" w:pos="1812"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The provisions of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of the Plan are incorporated herein by reference and made a part hereof.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employees, agents or representatives.</w:t>
      </w:r>
    </w:p>
    <w:p>
      <w:pPr>
        <w:spacing w:after="0" w:line="169" w:lineRule="exact"/>
        <w:rPr>
          <w:rFonts w:ascii="Arial" w:cs="Arial" w:eastAsia="Arial" w:hAnsi="Arial"/>
          <w:sz w:val="20"/>
          <w:szCs w:val="20"/>
          <w:color w:val="auto"/>
        </w:rPr>
      </w:pPr>
    </w:p>
    <w:p>
      <w:pPr>
        <w:jc w:val="both"/>
        <w:ind w:firstLine="1304"/>
        <w:spacing w:after="0" w:line="239" w:lineRule="auto"/>
        <w:tabs>
          <w:tab w:leader="none" w:pos="17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RSUs, regardless of any action the Company or any Affiliate takes with respect to any tax withholding obligations that arise in connection with the RSUs. Neither the Company nor any Affiliate makes any representation or undertaking regarding the treatment of any tax withholding in connection with the awarding, vesting or payment of the RSUs or the subsequent sale of Shares. The Company and the Affiliates do not commit and are under no obligation to structure the RSUs to reduce or eliminate Participant’s tax liability.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the Shares subject to the RSUs are subject to adjustment, modification and termination in certain events as provided in this Agreement and the Plan.</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w:t>
      </w:r>
    </w:p>
    <w:p>
      <w:pPr>
        <w:spacing w:after="0" w:line="222" w:lineRule="auto"/>
        <w:rPr>
          <w:sz w:val="20"/>
          <w:szCs w:val="20"/>
          <w:color w:val="auto"/>
        </w:rPr>
      </w:pPr>
      <w:r>
        <w:rPr>
          <w:rFonts w:ascii="Arial" w:cs="Arial" w:eastAsia="Arial" w:hAnsi="Arial"/>
          <w:sz w:val="19"/>
          <w:szCs w:val="19"/>
          <w:color w:val="auto"/>
        </w:rPr>
        <w:t>number. Any notice to be given under the terms of this Agreement to Participant must be in writing and addressed to Participant 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Participant’s last known mailing address, email address or facsimile number in the Company’s personnel files. By a notice given pursuant to this Section, either party may designate a different address for notices to be given to that party. Any notice will be deemed duly given when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actually received, when sent by email, when sent by certified mail (return receipt requested) and deposited with postage prepaid in a post office or branch post office regularly maintained by the United States Postal Service, when delivered by a nationally recognized express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shipping company or upon receipt of a facsimile transmission confirmation.</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5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Plan, the Grant Notice and this Agreement are intended to</w:t>
      </w:r>
    </w:p>
    <w:p>
      <w:pPr>
        <w:spacing w:after="0" w:line="220" w:lineRule="auto"/>
        <w:rPr>
          <w:sz w:val="20"/>
          <w:szCs w:val="20"/>
          <w:color w:val="auto"/>
        </w:rPr>
      </w:pPr>
      <w:r>
        <w:rPr>
          <w:rFonts w:ascii="Arial" w:cs="Arial" w:eastAsia="Arial" w:hAnsi="Arial"/>
          <w:sz w:val="20"/>
          <w:szCs w:val="20"/>
          <w:color w:val="auto"/>
        </w:rPr>
        <w:t>conform to the extent necessary with all Applicable Laws and, to the extent Applicable Laws permit, will be deemed amended as necessary to conform to Applicable Laws.</w:t>
      </w:r>
    </w:p>
    <w:p>
      <w:pPr>
        <w:spacing w:after="0" w:line="15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w:t>
      </w:r>
    </w:p>
    <w:p>
      <w:pPr>
        <w:spacing w:after="0" w:line="226" w:lineRule="auto"/>
        <w:rPr>
          <w:sz w:val="20"/>
          <w:szCs w:val="20"/>
          <w:color w:val="auto"/>
        </w:rPr>
      </w:pPr>
      <w:r>
        <w:rPr>
          <w:rFonts w:ascii="Arial" w:cs="Arial" w:eastAsia="Arial" w:hAnsi="Arial"/>
          <w:sz w:val="18"/>
          <w:szCs w:val="18"/>
          <w:color w:val="auto"/>
        </w:rPr>
        <w:t>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parties hereto.</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xml:space="preserve"> . Notwithstanding any other provision of the Plan or this Agreement, if Participant is subject to Section 16 of the Exchange Act, the Plan, the Grant Notice, this Agreement, the RSUs will be subject to any additional</w:t>
      </w:r>
    </w:p>
    <w:p>
      <w:pPr>
        <w:spacing w:after="0" w:line="235" w:lineRule="auto"/>
        <w:rPr>
          <w:sz w:val="20"/>
          <w:szCs w:val="20"/>
          <w:color w:val="auto"/>
        </w:rPr>
      </w:pPr>
      <w:r>
        <w:rPr>
          <w:rFonts w:ascii="Arial" w:cs="Arial" w:eastAsia="Arial" w:hAnsi="Arial"/>
          <w:sz w:val="18"/>
          <w:szCs w:val="18"/>
          <w:color w:val="auto"/>
        </w:rPr>
        <w:t>limitations set forth in any applicable exemptive rule under Section 16 of the Exchange Act (including any amendment to Rule 16b-3) that</w:t>
      </w:r>
    </w:p>
    <w:p>
      <w:pPr>
        <w:spacing w:after="0" w:line="220" w:lineRule="auto"/>
        <w:rPr>
          <w:sz w:val="20"/>
          <w:szCs w:val="20"/>
          <w:color w:val="auto"/>
        </w:rPr>
      </w:pPr>
      <w:r>
        <w:rPr>
          <w:rFonts w:ascii="Arial" w:cs="Arial" w:eastAsia="Arial" w:hAnsi="Arial"/>
          <w:sz w:val="20"/>
          <w:szCs w:val="20"/>
          <w:color w:val="auto"/>
        </w:rPr>
        <w:t>are requirements for the application of such exemptive rule. To the extent Applicable Laws permit, this Agreement will be deemed amended as necessary to conform to such applicable exemptive rule.</w:t>
      </w:r>
    </w:p>
    <w:p>
      <w:pPr>
        <w:spacing w:after="0" w:line="1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Grant Notice and this Agreement (including any exhibit hereto) constitute the entire agreement</w:t>
      </w:r>
    </w:p>
    <w:p>
      <w:pPr>
        <w:spacing w:after="0" w:line="220" w:lineRule="auto"/>
        <w:rPr>
          <w:sz w:val="20"/>
          <w:szCs w:val="20"/>
          <w:color w:val="auto"/>
        </w:rPr>
      </w:pPr>
      <w:r>
        <w:rPr>
          <w:rFonts w:ascii="Arial" w:cs="Arial" w:eastAsia="Arial" w:hAnsi="Arial"/>
          <w:sz w:val="20"/>
          <w:szCs w:val="20"/>
          <w:color w:val="auto"/>
        </w:rPr>
        <w:t>of the parties and supersede in their entirety all prior undertakings and agreements of the Company and Participant with respect to the subject matter hereof.</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w:t>
      </w:r>
    </w:p>
    <w:p>
      <w:pPr>
        <w:sectPr>
          <w:pgSz w:w="11900" w:h="16838" w:orient="portrait"/>
          <w:cols w:equalWidth="0" w:num="1">
            <w:col w:w="11240"/>
          </w:cols>
          <w:pgMar w:left="320" w:top="1405" w:right="33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of the provision will not be construed to have any effect on, the remaining provisions of the Grant Notice or this Agreement.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xml:space="preserve"> . Participation in the Plan confers no rights or interests other than as herein provided. This Agreement creates only a contractual obligation on the part of the Company as to amounts payable and may not be construed as creating a</w:t>
      </w:r>
    </w:p>
    <w:p>
      <w:pPr>
        <w:spacing w:after="0"/>
        <w:rPr>
          <w:sz w:val="20"/>
          <w:szCs w:val="20"/>
          <w:color w:val="auto"/>
        </w:rPr>
      </w:pPr>
      <w:r>
        <w:rPr>
          <w:rFonts w:ascii="Arial" w:cs="Arial" w:eastAsia="Arial" w:hAnsi="Arial"/>
          <w:sz w:val="16"/>
          <w:szCs w:val="16"/>
          <w:color w:val="auto"/>
        </w:rPr>
        <w:t>trust. Neither the Plan nor any underlying program, in and of itself, has any assets. Participant will have only the rights of a general unsecured</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creditor of the Company with respect to amounts credited and benefits payable, if any, with respect to the RSUs, and rights no greater than the right to receive cash or the Shares as a general unsecured creditor with respect to the RSUs, as and when settled pursuant to the terms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this Agreement.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 to continue in the employ or service of the Company or any Affiliate or interferes with or restricts in any way the rights of the Company and its</w:t>
      </w:r>
    </w:p>
    <w:p>
      <w:pPr>
        <w:spacing w:after="0" w:line="235" w:lineRule="auto"/>
        <w:rPr>
          <w:sz w:val="20"/>
          <w:szCs w:val="20"/>
          <w:color w:val="auto"/>
        </w:rPr>
      </w:pPr>
      <w:r>
        <w:rPr>
          <w:rFonts w:ascii="Arial" w:cs="Arial" w:eastAsia="Arial" w:hAnsi="Arial"/>
          <w:sz w:val="18"/>
          <w:szCs w:val="18"/>
          <w:color w:val="auto"/>
        </w:rPr>
        <w:t>Subsidiaries, which rights are hereby expressly reserved, to discharge or terminate the services of Participant at any time for any reason</w:t>
      </w:r>
    </w:p>
    <w:p>
      <w:pPr>
        <w:spacing w:after="0" w:line="220" w:lineRule="auto"/>
        <w:rPr>
          <w:sz w:val="20"/>
          <w:szCs w:val="20"/>
          <w:color w:val="auto"/>
        </w:rPr>
      </w:pPr>
      <w:r>
        <w:rPr>
          <w:rFonts w:ascii="Arial" w:cs="Arial" w:eastAsia="Arial" w:hAnsi="Arial"/>
          <w:sz w:val="20"/>
          <w:szCs w:val="20"/>
          <w:color w:val="auto"/>
        </w:rPr>
        <w:t>whatsoever, with or without Cause, except to the extent expressly provided otherwise in a written agreement between the Company or an Affiliate and Participant.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xml:space="preserve"> By accepting this Agreement, the Participant consents to the electronic delivery of prospectuses, annual reports and other information required to be delivered by the U.S. Securities and Exchange Commission rules. Without</w:t>
      </w:r>
    </w:p>
    <w:p>
      <w:pPr>
        <w:spacing w:after="0" w:line="226" w:lineRule="auto"/>
        <w:rPr>
          <w:sz w:val="20"/>
          <w:szCs w:val="20"/>
          <w:color w:val="auto"/>
        </w:rPr>
      </w:pPr>
      <w:r>
        <w:rPr>
          <w:rFonts w:ascii="Arial" w:cs="Arial" w:eastAsia="Arial" w:hAnsi="Arial"/>
          <w:sz w:val="18"/>
          <w:szCs w:val="18"/>
          <w:color w:val="auto"/>
        </w:rPr>
        <w:t>limiting the foregoing, the Company may, in its sole discretion, decide to deliver any documents related to current or future participation in the Plan by electronic means. The Participant hereby consents to receive such documents by electronic delivery and agrees to participate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Plan through an online or electronic system established and maintained by the Company or a third party designated by the Company.</w:t>
      </w:r>
    </w:p>
    <w:p>
      <w:pPr>
        <w:spacing w:after="0" w:line="18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The RSUs are intended to be exempt from, or compliant with, Section 409A of the Code. Notwithstanding the foregoing or any provision of the Plan or this Agreement, if any provision of the Plan or this Agreement contravenes Section 409A of the</w:t>
      </w:r>
    </w:p>
    <w:p>
      <w:pPr>
        <w:spacing w:after="0" w:line="226" w:lineRule="auto"/>
        <w:rPr>
          <w:sz w:val="20"/>
          <w:szCs w:val="20"/>
          <w:color w:val="auto"/>
        </w:rPr>
      </w:pPr>
      <w:r>
        <w:rPr>
          <w:rFonts w:ascii="Arial" w:cs="Arial" w:eastAsia="Arial" w:hAnsi="Arial"/>
          <w:sz w:val="18"/>
          <w:szCs w:val="18"/>
          <w:color w:val="auto"/>
        </w:rPr>
        <w:t>Code or could cause the Participant to incur any tax, interest or penalties under Section 409A of the Code, the Administrator may, in its sole discretion and without the Participant’s consent, modify such provision to (i) comply with, or avoid being subject to, Section 409A of the</w:t>
      </w:r>
    </w:p>
    <w:p>
      <w:pPr>
        <w:spacing w:after="0" w:line="236" w:lineRule="auto"/>
        <w:rPr>
          <w:sz w:val="20"/>
          <w:szCs w:val="20"/>
          <w:color w:val="auto"/>
        </w:rPr>
      </w:pPr>
      <w:r>
        <w:rPr>
          <w:rFonts w:ascii="Arial" w:cs="Arial" w:eastAsia="Arial" w:hAnsi="Arial"/>
          <w:sz w:val="18"/>
          <w:szCs w:val="18"/>
          <w:color w:val="auto"/>
        </w:rPr>
        <w:t>Code, or to avoid the incurrence of taxes, interest and penalties under Section 409A of the Code, and/or (iii) maintain, to the maximum extent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practicable, the original interest and economic benefit to the Participant of the applicable provision without materially increasing the cost to the Company or contravening the provisions of Section 409A of the Code. This Section 4.13 does not create an obligation on the part of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Company to modify the Plan or this Agreement and does not guarantee that the RSUs will not be subject to interest and penalties under Section 409A of the Code.</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Clawback.</w:t>
      </w:r>
      <w:r>
        <w:rPr>
          <w:rFonts w:ascii="Arial" w:cs="Arial" w:eastAsia="Arial" w:hAnsi="Arial"/>
          <w:sz w:val="18"/>
          <w:szCs w:val="18"/>
          <w:color w:val="auto"/>
        </w:rPr>
        <w:t xml:space="preserve"> The RSUs shall at all times be subject to any clawback or similar policy or program established by the Company, as may be amended from time to time (a “</w:t>
      </w:r>
      <w:r>
        <w:rPr>
          <w:rFonts w:ascii="Arial" w:cs="Arial" w:eastAsia="Arial" w:hAnsi="Arial"/>
          <w:sz w:val="18"/>
          <w:szCs w:val="18"/>
          <w:u w:val="single" w:color="auto"/>
          <w:color w:val="auto"/>
        </w:rPr>
        <w:t>Clawback Policy</w:t>
      </w:r>
      <w:r>
        <w:rPr>
          <w:rFonts w:ascii="Arial" w:cs="Arial" w:eastAsia="Arial" w:hAnsi="Arial"/>
          <w:sz w:val="18"/>
          <w:szCs w:val="18"/>
          <w:color w:val="auto"/>
        </w:rPr>
        <w:t>”). In addition (and without limiting the Company’s rights and the Participant’s</w:t>
      </w:r>
    </w:p>
    <w:p>
      <w:pPr>
        <w:spacing w:after="0" w:line="226" w:lineRule="auto"/>
        <w:rPr>
          <w:sz w:val="20"/>
          <w:szCs w:val="20"/>
          <w:color w:val="auto"/>
        </w:rPr>
      </w:pPr>
      <w:r>
        <w:rPr>
          <w:rFonts w:ascii="Arial" w:cs="Arial" w:eastAsia="Arial" w:hAnsi="Arial"/>
          <w:sz w:val="18"/>
          <w:szCs w:val="18"/>
          <w:color w:val="auto"/>
        </w:rPr>
        <w:t>obligations under any Clawback Policy), to the extent required by applicable law or the rules and regulations of the Nasdaq Global Market or any other securities exchange or interdealer quotation on which the Common Stock is listed or quote, the RSUs shall be subject (including on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 retroactive basis) to clawback, forfeiture or similar requirements (and such requirements shall be deemed incorporated by reference into this Agreement).</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4.15 Special Provisions for RSUs Granted to Participants Outside the U.S. If the Participant performs services for the Company outside of the United States, the RSUs shall be subject to the special provisions, if any, for the Participant’s country of residence, as set forth</w:t>
      </w:r>
    </w:p>
    <w:p>
      <w:pPr>
        <w:spacing w:after="0" w:line="226" w:lineRule="auto"/>
        <w:rPr>
          <w:sz w:val="20"/>
          <w:szCs w:val="20"/>
          <w:color w:val="auto"/>
        </w:rPr>
      </w:pPr>
      <w:r>
        <w:rPr>
          <w:rFonts w:ascii="Arial" w:cs="Arial" w:eastAsia="Arial" w:hAnsi="Arial"/>
          <w:sz w:val="18"/>
          <w:szCs w:val="18"/>
          <w:color w:val="auto"/>
        </w:rPr>
        <w:t>in the Foreign Annex. If the Participant relocates to the country included in the Foreign Annex during the life of the RSUs, the special provisions for such country shall apply to the Participant, to the extent the Company determines that the application of such provisions is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necessary or advisable in order to comply with local law or facilitate the administration of the Plan. The Company reserves the right to impose other requirements on the RSUs</w:t>
      </w:r>
    </w:p>
    <w:p>
      <w:pPr>
        <w:sectPr>
          <w:pgSz w:w="11900" w:h="16838" w:orient="portrait"/>
          <w:cols w:equalWidth="0" w:num="1">
            <w:col w:w="11240"/>
          </w:cols>
          <w:pgMar w:left="320" w:top="1405" w:right="3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and the Shares, to the extent the Company determines it is necessary or advisable in order to comply with local laws or facilitate the</w:t>
      </w:r>
    </w:p>
    <w:p>
      <w:pPr>
        <w:spacing w:after="0" w:line="220" w:lineRule="auto"/>
        <w:rPr>
          <w:sz w:val="20"/>
          <w:szCs w:val="20"/>
          <w:color w:val="auto"/>
        </w:rPr>
      </w:pPr>
      <w:r>
        <w:rPr>
          <w:rFonts w:ascii="Arial" w:cs="Arial" w:eastAsia="Arial" w:hAnsi="Arial"/>
          <w:sz w:val="20"/>
          <w:szCs w:val="20"/>
          <w:color w:val="auto"/>
        </w:rPr>
        <w:t>administration of the Plan, and to require the Participant to sign any additional agreements or undertakings that may be necessary to accomplish the foregoing.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ectPr>
          <w:pgSz w:w="11900" w:h="16838" w:orient="portrait"/>
          <w:cols w:equalWidth="0" w:num="1">
            <w:col w:w="11240"/>
          </w:cols>
          <w:pgMar w:left="320" w:top="1405" w:right="339" w:bottom="1440" w:gutter="0" w:footer="0" w:header="0"/>
        </w:sectPr>
      </w:pPr>
    </w:p>
    <w:bookmarkStart w:id="70" w:name="page71"/>
    <w:bookmarkEnd w:id="70"/>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ANNEX A-1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STOCK UNIT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PROVISIONS FOR RSUS FOR PARTICIPANTS OUTSIDE THE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Annex A-1</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Foreign Annex</w:t>
      </w:r>
      <w:r>
        <w:rPr>
          <w:rFonts w:ascii="Arial" w:cs="Arial" w:eastAsia="Arial" w:hAnsi="Arial"/>
          <w:sz w:val="19"/>
          <w:szCs w:val="19"/>
          <w:color w:val="auto"/>
        </w:rPr>
        <w:t>”) includes special terms and conditions applicable to the Participants in the country or countries</w:t>
      </w:r>
    </w:p>
    <w:p>
      <w:pPr>
        <w:spacing w:after="0" w:line="226" w:lineRule="auto"/>
        <w:rPr>
          <w:sz w:val="20"/>
          <w:szCs w:val="20"/>
          <w:color w:val="auto"/>
        </w:rPr>
      </w:pPr>
      <w:r>
        <w:rPr>
          <w:rFonts w:ascii="Arial" w:cs="Arial" w:eastAsia="Arial" w:hAnsi="Arial"/>
          <w:sz w:val="18"/>
          <w:szCs w:val="18"/>
          <w:color w:val="auto"/>
        </w:rPr>
        <w:t>below. These terms and conditions are in addition to those set forth in Restricted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and to the extent there are any inconsistencies between these terms and conditions and those set forth in the Agreement or the Plan, these terms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and conditions shall prevail. Any capitalized term used in this </w:t>
      </w:r>
      <w:r>
        <w:rPr>
          <w:rFonts w:ascii="Arial" w:cs="Arial" w:eastAsia="Arial" w:hAnsi="Arial"/>
          <w:sz w:val="20"/>
          <w:szCs w:val="20"/>
          <w:u w:val="single" w:color="auto"/>
          <w:color w:val="auto"/>
        </w:rPr>
        <w:t>Annex A-1</w:t>
      </w:r>
      <w:r>
        <w:rPr>
          <w:rFonts w:ascii="Arial" w:cs="Arial" w:eastAsia="Arial" w:hAnsi="Arial"/>
          <w:sz w:val="20"/>
          <w:szCs w:val="20"/>
          <w:color w:val="auto"/>
        </w:rPr>
        <w:t xml:space="preserve"> without definition shall have the meaning ascribed to such term in the Plan or the Agreement, as applicable.</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Foreign Annex also includes information relating to exchange control and other issues of which the Participant should be aware with respect to his/her participation in the Plan. The information is based on the exchange control, securities and other laws in effect in the</w:t>
      </w:r>
    </w:p>
    <w:p>
      <w:pPr>
        <w:spacing w:after="0" w:line="215" w:lineRule="auto"/>
        <w:rPr>
          <w:sz w:val="20"/>
          <w:szCs w:val="20"/>
          <w:color w:val="auto"/>
        </w:rPr>
      </w:pPr>
      <w:r>
        <w:rPr>
          <w:rFonts w:ascii="Arial" w:cs="Arial" w:eastAsia="Arial" w:hAnsi="Arial"/>
          <w:sz w:val="19"/>
          <w:szCs w:val="19"/>
          <w:color w:val="auto"/>
        </w:rPr>
        <w:t>respective countries as of November 2021. Such laws are often complex and change frequently. As a result, the Company strongly recommends that the Participant not rely on the information herein as the only source of information relating to the consequences of</w:t>
      </w:r>
    </w:p>
    <w:p>
      <w:pPr>
        <w:spacing w:after="0"/>
        <w:rPr>
          <w:sz w:val="20"/>
          <w:szCs w:val="20"/>
          <w:color w:val="auto"/>
        </w:rPr>
      </w:pPr>
      <w:r>
        <w:rPr>
          <w:rFonts w:ascii="Arial" w:cs="Arial" w:eastAsia="Arial" w:hAnsi="Arial"/>
          <w:sz w:val="18"/>
          <w:szCs w:val="18"/>
          <w:color w:val="auto"/>
        </w:rPr>
        <w:t>participation in the Plan because the information may be out of date at the time the RSUS vest or Shares acquired under the Plan are sold.</w:t>
      </w:r>
    </w:p>
    <w:p>
      <w:pPr>
        <w:spacing w:after="0" w:line="19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addition, the information is general in nature and may not apply to the particular situation of the Participant, and the Company is not in a position to assure Participant of any particular result. Accordingly, the Participant is advised to seek appropriate professional advice as to how</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the relevant laws in his/her country may apply to his/her situation. Finally, if the Participant is a citizen or resident of a country other than the one in which he or she is currently working, the information contained herein may not be applicable to Participant.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Germany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Participant is aware of and consents to the fact that the Plan is not part of the Participant’s employment or self-employment contract with his or her German employer or principal. In particular, neither the grant of the RSUs nor any other financial benefits conferred upon the</w:t>
      </w:r>
    </w:p>
    <w:p>
      <w:pPr>
        <w:spacing w:after="0" w:line="220" w:lineRule="auto"/>
        <w:rPr>
          <w:sz w:val="20"/>
          <w:szCs w:val="20"/>
          <w:color w:val="auto"/>
        </w:rPr>
      </w:pPr>
      <w:r>
        <w:rPr>
          <w:rFonts w:ascii="Arial" w:cs="Arial" w:eastAsia="Arial" w:hAnsi="Arial"/>
          <w:sz w:val="20"/>
          <w:szCs w:val="20"/>
          <w:color w:val="auto"/>
        </w:rPr>
        <w:t>Participant in connection with the Plan are part of the Participant’s entitlement to remuneration or benefits in terms of their employment or self-employment with his or her German employer or principal.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9" w:lineRule="exact"/>
        <w:rPr>
          <w:sz w:val="20"/>
          <w:szCs w:val="20"/>
          <w:color w:val="auto"/>
        </w:rPr>
      </w:pPr>
    </w:p>
    <w:p>
      <w:pPr>
        <w:spacing w:after="0" w:line="26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If the Participant receives cross-border payments in excess of €12,500 in connection with the sale of securities (including Shares acquired under the</w:t>
      </w:r>
    </w:p>
    <w:p>
      <w:pPr>
        <w:spacing w:after="0" w:line="236" w:lineRule="auto"/>
        <w:rPr>
          <w:sz w:val="20"/>
          <w:szCs w:val="20"/>
          <w:color w:val="auto"/>
        </w:rPr>
      </w:pPr>
      <w:r>
        <w:rPr>
          <w:rFonts w:ascii="Arial" w:cs="Arial" w:eastAsia="Arial" w:hAnsi="Arial"/>
          <w:sz w:val="18"/>
          <w:szCs w:val="18"/>
          <w:color w:val="auto"/>
        </w:rPr>
        <w:t>Plan) or the receipt of dividends paid on such Shares, the Participant must report by the fifth day of the month following the month in which</w:t>
      </w:r>
    </w:p>
    <w:p>
      <w:pPr>
        <w:spacing w:after="0" w:line="220" w:lineRule="auto"/>
        <w:rPr>
          <w:sz w:val="20"/>
          <w:szCs w:val="20"/>
          <w:color w:val="auto"/>
        </w:rPr>
      </w:pPr>
      <w:r>
        <w:rPr>
          <w:rFonts w:ascii="Arial" w:cs="Arial" w:eastAsia="Arial" w:hAnsi="Arial"/>
          <w:sz w:val="20"/>
          <w:szCs w:val="20"/>
          <w:color w:val="auto"/>
        </w:rPr>
        <w:t xml:space="preserve">the payment was received. The report must be filed electronically. The form of report can be accessed via the German Federal Bank’s website at </w:t>
      </w:r>
      <w:r>
        <w:rPr>
          <w:rFonts w:ascii="Arial" w:cs="Arial" w:eastAsia="Arial" w:hAnsi="Arial"/>
          <w:sz w:val="20"/>
          <w:szCs w:val="20"/>
          <w:u w:val="single" w:color="auto"/>
          <w:color w:val="0000FF"/>
        </w:rPr>
        <w:t>www.bundesbank.de</w:t>
      </w:r>
      <w:r>
        <w:rPr>
          <w:rFonts w:ascii="Arial" w:cs="Arial" w:eastAsia="Arial" w:hAnsi="Arial"/>
          <w:sz w:val="20"/>
          <w:szCs w:val="20"/>
          <w:color w:val="auto"/>
        </w:rPr>
        <w:t xml:space="preserve"> and is available in both German and English.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the acquisition of Shares under the Plan leads to a “qualified participation” at any point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during the calendar year, the Participant will need to report the acquisition when the Participant files his or her tax return for the relevant year. A “qualified participation” is attained if (i) the value of the Shares acquired exceeds €150,000 or (ii) in the unlikely event the Participant</w:t>
      </w:r>
    </w:p>
    <w:p>
      <w:pPr>
        <w:spacing w:after="0" w:line="236" w:lineRule="auto"/>
        <w:rPr>
          <w:sz w:val="20"/>
          <w:szCs w:val="20"/>
          <w:color w:val="auto"/>
        </w:rPr>
      </w:pPr>
      <w:r>
        <w:rPr>
          <w:rFonts w:ascii="Arial" w:cs="Arial" w:eastAsia="Arial" w:hAnsi="Arial"/>
          <w:sz w:val="18"/>
          <w:szCs w:val="18"/>
          <w:color w:val="auto"/>
        </w:rPr>
        <w:t>holds Shares exceeding 10% of the total Common Stock. However, if Shares are listed on a stock exchange recognized in the U.S.,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European Union or the European Economic Area or on any other foreign stock exchange recognized by the Federal Financial Supervisory Authority</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Bundesanstalt für Finanzdienstleistungsaufsicht</w:t>
      </w:r>
      <w:r>
        <w:rPr>
          <w:rFonts w:ascii="Arial" w:cs="Arial" w:eastAsia="Arial" w:hAnsi="Arial"/>
          <w:sz w:val="20"/>
          <w:szCs w:val="20"/>
          <w:color w:val="auto"/>
        </w:rPr>
        <w:t>) and the Participant owns less than 1% of the total Common Stock, this €150,000 threshold will not apply.</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u w:val="single" w:color="auto"/>
          <w:color w:val="auto"/>
        </w:rPr>
        <w:t>Prohibition on Insider Dealing</w:t>
      </w:r>
      <w:r>
        <w:rPr>
          <w:rFonts w:ascii="Arial" w:cs="Arial" w:eastAsia="Arial" w:hAnsi="Arial"/>
          <w:sz w:val="18"/>
          <w:szCs w:val="18"/>
          <w:color w:val="auto"/>
        </w:rPr>
        <w:t>. Participant should be aware of the insider dealing rules of the Regulation (EU) No 596/2014 of the European Parliament and Council (Market Abuse Regulation) apply in Germany, which may affect transactions under the Plan such as e.g. the</w:t>
      </w:r>
    </w:p>
    <w:p>
      <w:pPr>
        <w:spacing w:after="0" w:line="226" w:lineRule="auto"/>
        <w:rPr>
          <w:sz w:val="20"/>
          <w:szCs w:val="20"/>
          <w:color w:val="auto"/>
        </w:rPr>
      </w:pPr>
      <w:r>
        <w:rPr>
          <w:rFonts w:ascii="Arial" w:cs="Arial" w:eastAsia="Arial" w:hAnsi="Arial"/>
          <w:sz w:val="18"/>
          <w:szCs w:val="18"/>
          <w:color w:val="auto"/>
        </w:rPr>
        <w:t>subscription or participation, the suspension, the cancellation or an amending order, the acquisition or sale of Shares acquired under the Plan, if Participant has inside information regarding the Company. Participant is advised to determine carefully whether he or she has inside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information in respect of the Company and whether and to what extend insider dealing rules can apply to him or her. In case of uncertainty, the Company recommends that Participant consults with a legal advisor.</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u w:val="single" w:color="auto"/>
          <w:color w:val="auto"/>
        </w:rPr>
        <w:t>Additional Tax Provisions</w:t>
      </w:r>
      <w:r>
        <w:rPr>
          <w:rFonts w:ascii="Arial" w:cs="Arial" w:eastAsia="Arial" w:hAnsi="Arial"/>
          <w:sz w:val="18"/>
          <w:szCs w:val="18"/>
          <w:color w:val="auto"/>
        </w:rPr>
        <w:t>. Each Participant who is either (i) resident for tax purposes in Germany or (ii) otherwise subject to German income tax and/or social security contributions in respect of earnings received from the Shares shall be obliged to notify the relevant Subsidiary or</w:t>
      </w:r>
    </w:p>
    <w:p>
      <w:pPr>
        <w:spacing w:after="0" w:line="226" w:lineRule="auto"/>
        <w:rPr>
          <w:sz w:val="20"/>
          <w:szCs w:val="20"/>
          <w:color w:val="auto"/>
        </w:rPr>
      </w:pPr>
      <w:r>
        <w:rPr>
          <w:rFonts w:ascii="Arial" w:cs="Arial" w:eastAsia="Arial" w:hAnsi="Arial"/>
          <w:sz w:val="18"/>
          <w:szCs w:val="18"/>
          <w:color w:val="auto"/>
        </w:rPr>
        <w:t xml:space="preserve">other Participant’s employing company (as applicable) of the grant, vesting, or payment of the RSUs and the Shares. Section 9.5 of the Plan and Sections 3.2(a) of this Agreement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regard to any deductions or withholdings, in particular with regard to</w:t>
      </w:r>
    </w:p>
    <w:p>
      <w:pPr>
        <w:spacing w:after="0" w:line="236" w:lineRule="auto"/>
        <w:rPr>
          <w:sz w:val="20"/>
          <w:szCs w:val="20"/>
          <w:color w:val="auto"/>
        </w:rPr>
      </w:pPr>
      <w:r>
        <w:rPr>
          <w:rFonts w:ascii="Arial" w:cs="Arial" w:eastAsia="Arial" w:hAnsi="Arial"/>
          <w:sz w:val="18"/>
          <w:szCs w:val="18"/>
          <w:color w:val="auto"/>
        </w:rPr>
        <w:t>wage tax, solidarity surcharge and social security contributions, required to be made by such Subsidiary or other Participant’s employing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company under Applicable Law. If a Participant is resident for tax purposes in Germany </w:t>
      </w:r>
      <w:r>
        <w:rPr>
          <w:rFonts w:ascii="Arial" w:cs="Arial" w:eastAsia="Arial" w:hAnsi="Arial"/>
          <w:sz w:val="18"/>
          <w:szCs w:val="18"/>
          <w:b w:val="1"/>
          <w:bCs w:val="1"/>
          <w:color w:val="auto"/>
        </w:rPr>
        <w:t>but not subject to German wage withholding tax</w:t>
      </w:r>
      <w:r>
        <w:rPr>
          <w:rFonts w:ascii="Arial" w:cs="Arial" w:eastAsia="Arial" w:hAnsi="Arial"/>
          <w:sz w:val="18"/>
          <w:szCs w:val="18"/>
          <w:color w:val="auto"/>
        </w:rPr>
        <w:t xml:space="preserve"> (i.e. because the Participant receives income from self-employment) the Participant is – in deviation to Section 9.5 of the Plan and Sections</w:t>
      </w:r>
    </w:p>
    <w:p>
      <w:pPr>
        <w:spacing w:after="0" w:line="224" w:lineRule="auto"/>
        <w:rPr>
          <w:sz w:val="20"/>
          <w:szCs w:val="20"/>
          <w:color w:val="auto"/>
        </w:rPr>
      </w:pPr>
      <w:r>
        <w:rPr>
          <w:rFonts w:ascii="Arial" w:cs="Arial" w:eastAsia="Arial" w:hAnsi="Arial"/>
          <w:sz w:val="19"/>
          <w:szCs w:val="19"/>
          <w:color w:val="auto"/>
        </w:rPr>
        <w:t>3.2 (a) of this Agreement – obliged to declare income from his or her self-employed activity in connection with the Company and/or its</w:t>
      </w:r>
    </w:p>
    <w:p>
      <w:pPr>
        <w:spacing w:after="0" w:line="226" w:lineRule="auto"/>
        <w:rPr>
          <w:sz w:val="20"/>
          <w:szCs w:val="20"/>
          <w:color w:val="auto"/>
        </w:rPr>
      </w:pPr>
      <w:r>
        <w:rPr>
          <w:rFonts w:ascii="Arial" w:cs="Arial" w:eastAsia="Arial" w:hAnsi="Arial"/>
          <w:sz w:val="18"/>
          <w:szCs w:val="18"/>
          <w:color w:val="auto"/>
        </w:rPr>
        <w:t>Affiliates in his or her income tax return both at the time of the Settlement and at the time of the Sale of the Shares. The Participant shall indemnify and keep indemnified the Company and any of its Affiliates from and against any tax-related items required by law to be withheld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any taxable event arising in connection with the RSUs.</w:t>
      </w:r>
    </w:p>
    <w:p>
      <w:pPr>
        <w:sectPr>
          <w:pgSz w:w="11900" w:h="16838" w:orient="portrait"/>
          <w:cols w:equalWidth="0" w:num="1">
            <w:col w:w="11240"/>
          </w:cols>
          <w:pgMar w:left="320" w:top="1405" w:right="339" w:bottom="1440" w:gutter="0" w:footer="0" w:header="0"/>
        </w:sectPr>
      </w:pPr>
    </w:p>
    <w:bookmarkStart w:id="72" w:name="page73"/>
    <w:bookmarkEnd w:id="7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Julian Nebreda, certify that:</w:t>
      </w:r>
    </w:p>
    <w:p>
      <w:pPr>
        <w:spacing w:after="0" w:line="14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5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660" w:firstLine="320"/>
        <w:spacing w:after="0" w:line="263" w:lineRule="auto"/>
        <w:tabs>
          <w:tab w:leader="none" w:pos="12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660" w:right="320" w:firstLine="320"/>
        <w:spacing w:after="0" w:line="342" w:lineRule="auto"/>
        <w:tabs>
          <w:tab w:leader="none" w:pos="1229"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firstLine="320"/>
        <w:spacing w:after="0" w:line="308" w:lineRule="auto"/>
        <w:tabs>
          <w:tab w:leader="none" w:pos="124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660" w:firstLine="320"/>
        <w:spacing w:after="0" w:line="277" w:lineRule="auto"/>
        <w:tabs>
          <w:tab w:leader="none" w:pos="123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ectPr>
          <w:pgSz w:w="11900" w:h="16838" w:orient="portrait"/>
          <w:cols w:equalWidth="0" w:num="1">
            <w:col w:w="11240"/>
          </w:cols>
          <w:pgMar w:left="320" w:top="10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22860</wp:posOffset>
            </wp:positionV>
            <wp:extent cx="33864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Julian Nebreda</w:t>
      </w:r>
    </w:p>
    <w:p>
      <w:pPr>
        <w:ind w:left="4800"/>
        <w:spacing w:after="0"/>
        <w:rPr>
          <w:sz w:val="20"/>
          <w:szCs w:val="20"/>
          <w:color w:val="auto"/>
        </w:rPr>
      </w:pPr>
      <w:r>
        <w:rPr>
          <w:rFonts w:ascii="Arial" w:cs="Arial" w:eastAsia="Arial" w:hAnsi="Arial"/>
          <w:sz w:val="18"/>
          <w:szCs w:val="18"/>
          <w:i w:val="1"/>
          <w:iCs w:val="1"/>
          <w:color w:val="auto"/>
        </w:rPr>
        <w:t>Chief Executive Officer and President (Principal Executive Officer)</w:t>
      </w:r>
    </w:p>
    <w:p>
      <w:pPr>
        <w:sectPr>
          <w:pgSz w:w="11900" w:h="16838" w:orient="portrait"/>
          <w:cols w:equalWidth="0" w:num="1">
            <w:col w:w="10120"/>
          </w:cols>
          <w:pgMar w:left="1440" w:top="108" w:right="339" w:bottom="1440" w:gutter="0" w:footer="0" w:header="0"/>
        </w:sectPr>
      </w:pPr>
    </w:p>
    <w:bookmarkStart w:id="74" w:name="page75"/>
    <w:bookmarkEnd w:id="7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Manavendra Sial, certify that:</w:t>
      </w:r>
    </w:p>
    <w:p>
      <w:pPr>
        <w:spacing w:after="0" w:line="14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660" w:firstLine="320"/>
        <w:spacing w:after="0" w:line="263" w:lineRule="auto"/>
        <w:tabs>
          <w:tab w:leader="none" w:pos="12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320" w:firstLine="320"/>
        <w:spacing w:after="0" w:line="342" w:lineRule="auto"/>
        <w:tabs>
          <w:tab w:leader="none" w:pos="1229"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660" w:firstLine="320"/>
        <w:spacing w:after="0" w:line="308" w:lineRule="auto"/>
        <w:tabs>
          <w:tab w:leader="none" w:pos="124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660" w:firstLine="320"/>
        <w:spacing w:after="0" w:line="277" w:lineRule="auto"/>
        <w:tabs>
          <w:tab w:leader="none" w:pos="12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ectPr>
          <w:pgSz w:w="11900" w:h="16838" w:orient="portrait"/>
          <w:cols w:equalWidth="0" w:num="1">
            <w:col w:w="11240"/>
          </w:cols>
          <w:pgMar w:left="320" w:top="10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22860</wp:posOffset>
            </wp:positionV>
            <wp:extent cx="31375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Manavendra Sial</w:t>
      </w:r>
    </w:p>
    <w:p>
      <w:pPr>
        <w:ind w:left="5140"/>
        <w:spacing w:after="0" w:line="203" w:lineRule="auto"/>
        <w:rPr>
          <w:sz w:val="20"/>
          <w:szCs w:val="20"/>
          <w:color w:val="auto"/>
        </w:rPr>
      </w:pPr>
      <w:r>
        <w:rPr>
          <w:rFonts w:ascii="Arial" w:cs="Arial" w:eastAsia="Arial" w:hAnsi="Arial"/>
          <w:sz w:val="18"/>
          <w:szCs w:val="18"/>
          <w:i w:val="1"/>
          <w:iCs w:val="1"/>
          <w:color w:val="auto"/>
        </w:rPr>
        <w:t>Senior Vice President and Chief Financial Officer (Principal</w:t>
      </w:r>
    </w:p>
    <w:p>
      <w:pPr>
        <w:ind w:left="5140"/>
        <w:spacing w:after="0"/>
        <w:rPr>
          <w:sz w:val="20"/>
          <w:szCs w:val="20"/>
          <w:color w:val="auto"/>
        </w:rPr>
      </w:pPr>
      <w:r>
        <w:rPr>
          <w:rFonts w:ascii="Arial" w:cs="Arial" w:eastAsia="Arial" w:hAnsi="Arial"/>
          <w:sz w:val="18"/>
          <w:szCs w:val="18"/>
          <w:i w:val="1"/>
          <w:iCs w:val="1"/>
          <w:color w:val="auto"/>
        </w:rPr>
        <w:t>Financial Officer)</w:t>
      </w:r>
    </w:p>
    <w:p>
      <w:pPr>
        <w:sectPr>
          <w:pgSz w:w="11900" w:h="16838" w:orient="portrait"/>
          <w:cols w:equalWidth="0" w:num="1">
            <w:col w:w="10120"/>
          </w:cols>
          <w:pgMar w:left="1440" w:top="10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356"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In connection with the Quarterly Report on Form 10-Q of Fluence Energy, Inc. (the “Company”) for the quarter ended March 31, 2023 as filed with the Securities and Exchange Commission on the date hereof (the “Report”), I, Julian Nebreda, Chief Executive Officer and President of the Company, certifies, pursuant to 18 U.S.C. Section 1350, as adopted pursuant to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that, to the best of my knowledge:</w:t>
      </w:r>
    </w:p>
    <w:p>
      <w:pPr>
        <w:spacing w:after="0" w:line="136" w:lineRule="exact"/>
        <w:rPr>
          <w:sz w:val="20"/>
          <w:szCs w:val="20"/>
          <w:color w:val="auto"/>
        </w:rPr>
      </w:pPr>
    </w:p>
    <w:p>
      <w:pPr>
        <w:ind w:left="580" w:hanging="167"/>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23495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Julian Nebreda</w:t>
      </w:r>
    </w:p>
    <w:p>
      <w:pPr>
        <w:ind w:left="6240"/>
        <w:spacing w:after="0" w:line="203" w:lineRule="auto"/>
        <w:rPr>
          <w:sz w:val="20"/>
          <w:szCs w:val="20"/>
          <w:color w:val="auto"/>
        </w:rPr>
      </w:pPr>
      <w:r>
        <w:rPr>
          <w:rFonts w:ascii="Arial" w:cs="Arial" w:eastAsia="Arial" w:hAnsi="Arial"/>
          <w:sz w:val="18"/>
          <w:szCs w:val="18"/>
          <w:i w:val="1"/>
          <w:iCs w:val="1"/>
          <w:color w:val="auto"/>
        </w:rPr>
        <w:t>Chief Executive Officer and President (Principal</w:t>
      </w:r>
    </w:p>
    <w:p>
      <w:pPr>
        <w:ind w:left="6240"/>
        <w:spacing w:after="0"/>
        <w:rPr>
          <w:sz w:val="20"/>
          <w:szCs w:val="20"/>
          <w:color w:val="auto"/>
        </w:rPr>
      </w:pPr>
      <w:r>
        <w:rPr>
          <w:rFonts w:ascii="Arial" w:cs="Arial" w:eastAsia="Arial" w:hAnsi="Arial"/>
          <w:sz w:val="18"/>
          <w:szCs w:val="18"/>
          <w:i w:val="1"/>
          <w:iCs w:val="1"/>
          <w:color w:val="auto"/>
        </w:rPr>
        <w:t>Executive Officer)</w:t>
      </w:r>
    </w:p>
    <w:p>
      <w:pPr>
        <w:sectPr>
          <w:pgSz w:w="11900" w:h="16838" w:orient="portrait"/>
          <w:cols w:equalWidth="0" w:num="1">
            <w:col w:w="11240"/>
          </w:cols>
          <w:pgMar w:left="320" w:top="83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356" w:lineRule="exact"/>
        <w:rPr>
          <w:sz w:val="20"/>
          <w:szCs w:val="20"/>
          <w:color w:val="auto"/>
        </w:rPr>
      </w:pPr>
    </w:p>
    <w:p>
      <w:pPr>
        <w:ind w:firstLine="324"/>
        <w:spacing w:after="0" w:line="220" w:lineRule="exact"/>
        <w:rPr>
          <w:sz w:val="20"/>
          <w:szCs w:val="20"/>
          <w:color w:val="auto"/>
        </w:rPr>
      </w:pPr>
      <w:r>
        <w:rPr>
          <w:rFonts w:ascii="Arial" w:cs="Arial" w:eastAsia="Arial" w:hAnsi="Arial"/>
          <w:sz w:val="18"/>
          <w:szCs w:val="18"/>
          <w:color w:val="auto"/>
        </w:rPr>
        <w:t>In connection with the Quarterly Report on Form 10-Q of Fluence Energy, Inc. (the “Company”) for the quarter ended March 31, 2023 as filed with the Securities and Exchange Commission on the date hereof (the “Report”), I, Manavendra Sial, Senior Vice President and Chief Financial Officer of the Company, certifies,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the best of my knowledge:</w:t>
      </w:r>
    </w:p>
    <w:p>
      <w:pPr>
        <w:spacing w:after="0" w:line="136" w:lineRule="exact"/>
        <w:rPr>
          <w:sz w:val="20"/>
          <w:szCs w:val="20"/>
          <w:color w:val="auto"/>
        </w:rPr>
      </w:pPr>
    </w:p>
    <w:p>
      <w:pPr>
        <w:ind w:left="580" w:hanging="167"/>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198"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032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Manavendra Sial</w:t>
      </w:r>
    </w:p>
    <w:p>
      <w:pPr>
        <w:ind w:left="6260"/>
        <w:spacing w:after="0" w:line="203" w:lineRule="auto"/>
        <w:rPr>
          <w:sz w:val="20"/>
          <w:szCs w:val="20"/>
          <w:color w:val="auto"/>
        </w:rPr>
      </w:pPr>
      <w:r>
        <w:rPr>
          <w:rFonts w:ascii="Arial" w:cs="Arial" w:eastAsia="Arial" w:hAnsi="Arial"/>
          <w:sz w:val="18"/>
          <w:szCs w:val="18"/>
          <w:i w:val="1"/>
          <w:iCs w:val="1"/>
          <w:color w:val="auto"/>
        </w:rPr>
        <w:t>Senior Vice President and Chief Financial Officer (Principal</w:t>
      </w:r>
    </w:p>
    <w:p>
      <w:pPr>
        <w:ind w:left="6260"/>
        <w:spacing w:after="0"/>
        <w:rPr>
          <w:sz w:val="20"/>
          <w:szCs w:val="20"/>
          <w:color w:val="auto"/>
        </w:rPr>
      </w:pPr>
      <w:r>
        <w:rPr>
          <w:rFonts w:ascii="Arial" w:cs="Arial" w:eastAsia="Arial" w:hAnsi="Arial"/>
          <w:sz w:val="18"/>
          <w:szCs w:val="18"/>
          <w:i w:val="1"/>
          <w:iCs w:val="1"/>
          <w:color w:val="auto"/>
        </w:rPr>
        <w:t>Financial Officer)</w:t>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1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Roman"/>
      <w:start w:val="2"/>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2"/>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2"/>
    </w:lvl>
  </w:abstractNum>
  <w:abstractNum w:abstractNumId="16">
    <w:nsid w:val="79838CB2"/>
    <w:multiLevelType w:val="hybridMultilevel"/>
    <w:lvl w:ilvl="0">
      <w:lvlJc w:val="left"/>
      <w:lvlText w:val="*"/>
      <w:numFmt w:val="bullet"/>
      <w:start w:val="1"/>
    </w:lvl>
    <w:lvl w:ilvl="1">
      <w:lvlJc w:val="left"/>
      <w:lvlText w:val="%2"/>
      <w:numFmt w:val="decimal"/>
      <w:start w:val="104"/>
    </w:lvl>
  </w:abstractNum>
  <w:abstractNum w:abstractNumId="17">
    <w:nsid w:val="4353D0CD"/>
    <w:multiLevelType w:val="hybridMultilevel"/>
    <w:lvl w:ilvl="0">
      <w:lvlJc w:val="left"/>
      <w:lvlText w:val="**"/>
      <w:numFmt w:val="bullet"/>
      <w:start w:val="1"/>
    </w:lvl>
    <w:lvl w:ilvl="1">
      <w:lvlJc w:val="left"/>
      <w:lvlText w:val="%2"/>
      <w:numFmt w:val="decimal"/>
      <w:start w:val="1"/>
    </w:lvl>
  </w:abstractNum>
  <w:abstractNum w:abstractNumId="18">
    <w:nsid w:val="B03E0C6"/>
    <w:multiLevelType w:val="hybridMultilevel"/>
    <w:lvl w:ilvl="0">
      <w:lvlJc w:val="left"/>
      <w:lvlText w:val="1"/>
      <w:numFmt w:val="bullet"/>
      <w:start w:val="1"/>
    </w:lvl>
  </w:abstractNum>
  <w:abstractNum w:abstractNumId="19">
    <w:nsid w:val="189A769B"/>
    <w:multiLevelType w:val="hybridMultilevel"/>
    <w:lvl w:ilvl="0">
      <w:lvlJc w:val="left"/>
      <w:lvlText w:val="2"/>
      <w:numFmt w:val="bullet"/>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lvl w:ilvl="1">
      <w:lvlJc w:val="left"/>
      <w:lvlText w:val="(%2)"/>
      <w:numFmt w:val="lowerRoman"/>
      <w:start w:val="1"/>
    </w:lvl>
  </w:abstractNum>
  <w:abstractNum w:abstractNumId="22">
    <w:nsid w:val="2CA88611"/>
    <w:multiLevelType w:val="hybridMultilevel"/>
    <w:lvl w:ilvl="0">
      <w:lvlJc w:val="left"/>
      <w:lvlText w:val="%1"/>
      <w:numFmt w:val="lowerLetter"/>
      <w:start w:val="1"/>
    </w:lvl>
    <w:lvl w:ilvl="1">
      <w:lvlJc w:val="left"/>
      <w:lvlText w:val="(%2)"/>
      <w:numFmt w:val="lowerRoman"/>
      <w:start w:val="4"/>
    </w:lvl>
  </w:abstractNum>
  <w:abstractNum w:abstractNumId="23">
    <w:nsid w:val="836C40E"/>
    <w:multiLevelType w:val="hybridMultilevel"/>
    <w:lvl w:ilvl="0">
      <w:lvlJc w:val="left"/>
      <w:lvlText w:val="(%1)"/>
      <w:numFmt w:val="lowerLetter"/>
      <w:start w:val="2"/>
    </w:lvl>
    <w:lvl w:ilvl="1">
      <w:lvlJc w:val="left"/>
      <w:lvlText w:val="%2"/>
      <w:numFmt w:val="lowerRoman"/>
      <w:start w:val="1"/>
    </w:lvl>
  </w:abstractNum>
  <w:abstractNum w:abstractNumId="24">
    <w:nsid w:val="2901D82"/>
    <w:multiLevelType w:val="hybridMultilevel"/>
    <w:lvl w:ilvl="0">
      <w:lvlJc w:val="left"/>
      <w:lvlText w:val="(%1)"/>
      <w:numFmt w:val="lowerRoman"/>
      <w:start w:val="2"/>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jpe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82" Type="http://schemas.openxmlformats.org/officeDocument/2006/relationships/hyperlink" Target="https://www.sec.gov/Archives/edgar/data/0001868941/000110465921133771/tm2120236d16_ex3-1.htm" TargetMode="External"/><Relationship Id="rId83" Type="http://schemas.openxmlformats.org/officeDocument/2006/relationships/hyperlink" Target="https://www.sec.gov/Archives/edgar/data/1868941/000186894122000124/fluence-charteramendmentop.htm" TargetMode="External"/><Relationship Id="rId84" Type="http://schemas.openxmlformats.org/officeDocument/2006/relationships/hyperlink" Target="https://www.sec.gov/Archives/edgar/data/0001868941/000110465921133771/tm2120236d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2023-05-11T16:35:13Z</dcterms:created>
  <dcterms:modified xsi:type="dcterms:W3CDTF">2023-05-11T16:35:13Z</dcterms:modified>
</cp:coreProperties>
</file>