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8" w:lineRule="exact"/>
        <w:rPr>
          <w:sz w:val="24"/>
          <w:szCs w:val="24"/>
          <w:color w:val="auto"/>
        </w:rPr>
      </w:pPr>
    </w:p>
    <w:p>
      <w:pPr>
        <w:ind w:left="460" w:hanging="43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001-40978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Fluence Energy,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233" w:right="319" w:bottom="1440" w:gutter="0" w:footer="0" w:header="0"/>
        </w:sectPr>
      </w:pPr>
    </w:p>
    <w:p>
      <w:pPr>
        <w:spacing w:after="0" w:line="200" w:lineRule="exact"/>
        <w:rPr>
          <w:sz w:val="24"/>
          <w:szCs w:val="24"/>
          <w:color w:val="auto"/>
        </w:rPr>
      </w:pPr>
    </w:p>
    <w:p>
      <w:pPr>
        <w:spacing w:after="0" w:line="26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63"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incorporation or organization)</w:t>
      </w:r>
    </w:p>
    <w:p>
      <w:pPr>
        <w:spacing w:after="0" w:line="136"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4601 Fairfax Drive, Suite 600</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Arlington, Virginia</w:t>
      </w:r>
    </w:p>
    <w:p>
      <w:pPr>
        <w:spacing w:after="0" w:line="45"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85" w:lineRule="exact"/>
        <w:rPr>
          <w:sz w:val="24"/>
          <w:szCs w:val="24"/>
          <w:color w:val="auto"/>
        </w:rPr>
      </w:pPr>
    </w:p>
    <w:p>
      <w:pPr>
        <w:jc w:val="center"/>
        <w:ind w:left="3640"/>
        <w:spacing w:after="0"/>
        <w:rPr>
          <w:sz w:val="20"/>
          <w:szCs w:val="20"/>
          <w:color w:val="auto"/>
        </w:rPr>
      </w:pPr>
      <w:r>
        <w:rPr>
          <w:rFonts w:ascii="Arial" w:cs="Arial" w:eastAsia="Arial" w:hAnsi="Arial"/>
          <w:sz w:val="16"/>
          <w:szCs w:val="16"/>
          <w:b w:val="1"/>
          <w:bCs w:val="1"/>
          <w:color w:val="auto"/>
        </w:rPr>
        <w:t>(833)358-3623</w:t>
      </w:r>
    </w:p>
    <w:p>
      <w:pPr>
        <w:spacing w:after="0" w:line="23" w:lineRule="exact"/>
        <w:rPr>
          <w:sz w:val="24"/>
          <w:szCs w:val="24"/>
          <w:color w:val="auto"/>
        </w:rPr>
      </w:pPr>
    </w:p>
    <w:p>
      <w:pPr>
        <w:jc w:val="center"/>
        <w:ind w:left="3640"/>
        <w:spacing w:after="0"/>
        <w:rPr>
          <w:sz w:val="20"/>
          <w:szCs w:val="20"/>
          <w:color w:val="auto"/>
        </w:rPr>
      </w:pPr>
      <w:r>
        <w:rPr>
          <w:rFonts w:ascii="Arial" w:cs="Arial" w:eastAsia="Arial" w:hAnsi="Arial"/>
          <w:sz w:val="16"/>
          <w:szCs w:val="16"/>
          <w:color w:val="auto"/>
        </w:rPr>
        <w:t>Registrant's telephone number, including area code</w:t>
      </w:r>
    </w:p>
    <w:p>
      <w:pPr>
        <w:spacing w:after="0" w:line="8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87-1304612</w:t>
      </w:r>
    </w:p>
    <w:p>
      <w:pPr>
        <w:spacing w:after="0" w:line="26" w:lineRule="exact"/>
        <w:rPr>
          <w:sz w:val="24"/>
          <w:szCs w:val="24"/>
          <w:color w:val="auto"/>
        </w:rPr>
      </w:pPr>
    </w:p>
    <w:p>
      <w:pPr>
        <w:ind w:left="60"/>
        <w:spacing w:after="0"/>
        <w:rPr>
          <w:sz w:val="20"/>
          <w:szCs w:val="20"/>
          <w:color w:val="auto"/>
        </w:rPr>
      </w:pPr>
      <w:r>
        <w:rPr>
          <w:rFonts w:ascii="Arial" w:cs="Arial" w:eastAsia="Arial" w:hAnsi="Arial"/>
          <w:sz w:val="15"/>
          <w:szCs w:val="15"/>
          <w:color w:val="auto"/>
        </w:rPr>
        <w:t>(I.R.S. Employer</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33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22203</w:t>
      </w:r>
    </w:p>
    <w:p>
      <w:pPr>
        <w:spacing w:after="0" w:line="90"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1034" w:lineRule="exact"/>
        <w:rPr>
          <w:sz w:val="24"/>
          <w:szCs w:val="24"/>
          <w:color w:val="auto"/>
        </w:rPr>
      </w:pPr>
    </w:p>
    <w:p>
      <w:pPr>
        <w:sectPr>
          <w:pgSz w:w="11900" w:h="16838" w:orient="portrait"/>
          <w:cols w:equalWidth="0" w:num="2">
            <w:col w:w="7600" w:space="220"/>
            <w:col w:w="3440"/>
          </w:cols>
          <w:pgMar w:left="320" w:top="233" w:right="319" w:bottom="1440" w:gutter="0" w:footer="0" w:header="0"/>
          <w:type w:val="continuous"/>
        </w:sectPr>
      </w:pPr>
    </w:p>
    <w:tbl>
      <w:tblPr>
        <w:tblLayout w:type="fixed"/>
        <w:tblInd w:w="10"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9"/>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 $0.00001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FLNC</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D0D0D"/>
                <w:w w:val="91"/>
              </w:rPr>
              <w:t>The Nasdaq Global Select Market</w:t>
            </w:r>
          </w:p>
        </w:tc>
      </w:tr>
    </w:tbl>
    <w:p>
      <w:pPr>
        <w:spacing w:after="0" w:line="71" w:lineRule="exact"/>
        <w:rPr>
          <w:sz w:val="24"/>
          <w:szCs w:val="24"/>
          <w:color w:val="auto"/>
        </w:rPr>
      </w:pPr>
    </w:p>
    <w:p>
      <w:pPr>
        <w:ind w:right="400"/>
        <w:spacing w:after="0" w:line="31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120" w:lineRule="exact"/>
        <w:rPr>
          <w:sz w:val="24"/>
          <w:szCs w:val="24"/>
          <w:color w:val="auto"/>
        </w:rPr>
      </w:pPr>
    </w:p>
    <w:p>
      <w:pPr>
        <w:jc w:val="both"/>
        <w:ind w:right="660"/>
        <w:spacing w:after="0" w:line="26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80"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720"/>
              <w:spacing w:after="0"/>
              <w:rPr>
                <w:sz w:val="20"/>
                <w:szCs w:val="20"/>
                <w:color w:val="auto"/>
              </w:rPr>
            </w:pPr>
            <w:r>
              <w:rPr>
                <w:rFonts w:ascii="Arial" w:cs="Arial" w:eastAsia="Arial" w:hAnsi="Arial"/>
                <w:sz w:val="18"/>
                <w:szCs w:val="18"/>
                <w:color w:val="auto"/>
              </w:rPr>
              <w:t>o</w:t>
            </w:r>
          </w:p>
        </w:tc>
        <w:tc>
          <w:tcPr>
            <w:tcW w:w="4820" w:type="dxa"/>
            <w:vAlign w:val="bottom"/>
          </w:tcPr>
          <w:p>
            <w:pPr>
              <w:ind w:left="1800"/>
              <w:spacing w:after="0"/>
              <w:rPr>
                <w:sz w:val="20"/>
                <w:szCs w:val="20"/>
                <w:color w:val="auto"/>
              </w:rPr>
            </w:pPr>
            <w:r>
              <w:rPr>
                <w:rFonts w:ascii="Arial" w:cs="Arial" w:eastAsia="Arial" w:hAnsi="Arial"/>
                <w:sz w:val="16"/>
                <w:szCs w:val="16"/>
                <w:color w:val="auto"/>
              </w:rPr>
              <w:t>Accelerated filer</w:t>
            </w:r>
          </w:p>
        </w:tc>
        <w:tc>
          <w:tcPr>
            <w:tcW w:w="1360" w:type="dxa"/>
            <w:vAlign w:val="bottom"/>
          </w:tcPr>
          <w:p>
            <w:pPr>
              <w:ind w:left="1260"/>
              <w:spacing w:after="0"/>
              <w:rPr>
                <w:sz w:val="20"/>
                <w:szCs w:val="20"/>
                <w:color w:val="auto"/>
              </w:rPr>
            </w:pPr>
            <w:r>
              <w:rPr>
                <w:rFonts w:ascii="Arial" w:cs="Arial" w:eastAsia="Arial" w:hAnsi="Arial"/>
                <w:sz w:val="18"/>
                <w:szCs w:val="18"/>
                <w:color w:val="auto"/>
                <w:w w:val="79"/>
              </w:rPr>
              <w:t>o</w:t>
            </w:r>
          </w:p>
        </w:tc>
      </w:tr>
      <w:tr>
        <w:trPr>
          <w:trHeight w:val="243"/>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720"/>
              <w:spacing w:after="0"/>
              <w:rPr>
                <w:sz w:val="20"/>
                <w:szCs w:val="20"/>
                <w:color w:val="auto"/>
              </w:rPr>
            </w:pPr>
            <w:r>
              <w:rPr>
                <w:rFonts w:ascii="Arial" w:cs="Arial" w:eastAsia="Arial" w:hAnsi="Arial"/>
                <w:sz w:val="18"/>
                <w:szCs w:val="18"/>
                <w:color w:val="auto"/>
              </w:rPr>
              <w:t>x</w:t>
            </w:r>
          </w:p>
        </w:tc>
        <w:tc>
          <w:tcPr>
            <w:tcW w:w="4820" w:type="dxa"/>
            <w:vAlign w:val="bottom"/>
          </w:tcPr>
          <w:p>
            <w:pPr>
              <w:ind w:left="1800"/>
              <w:spacing w:after="0"/>
              <w:rPr>
                <w:sz w:val="20"/>
                <w:szCs w:val="20"/>
                <w:color w:val="auto"/>
              </w:rPr>
            </w:pPr>
            <w:r>
              <w:rPr>
                <w:rFonts w:ascii="Arial" w:cs="Arial" w:eastAsia="Arial" w:hAnsi="Arial"/>
                <w:sz w:val="16"/>
                <w:szCs w:val="16"/>
                <w:color w:val="auto"/>
              </w:rPr>
              <w:t>Smaller reporting company</w:t>
            </w:r>
          </w:p>
        </w:tc>
        <w:tc>
          <w:tcPr>
            <w:tcW w:w="1360" w:type="dxa"/>
            <w:vAlign w:val="bottom"/>
          </w:tcPr>
          <w:p>
            <w:pPr>
              <w:ind w:left="1260"/>
              <w:spacing w:after="0"/>
              <w:rPr>
                <w:sz w:val="20"/>
                <w:szCs w:val="20"/>
                <w:color w:val="auto"/>
              </w:rPr>
            </w:pPr>
            <w:r>
              <w:rPr>
                <w:rFonts w:ascii="Arial" w:cs="Arial" w:eastAsia="Arial" w:hAnsi="Arial"/>
                <w:sz w:val="18"/>
                <w:szCs w:val="18"/>
                <w:color w:val="auto"/>
                <w:w w:val="79"/>
              </w:rPr>
              <w:t>o</w:t>
            </w:r>
          </w:p>
        </w:tc>
      </w:tr>
      <w:tr>
        <w:trPr>
          <w:trHeight w:val="243"/>
        </w:trPr>
        <w:tc>
          <w:tcPr>
            <w:tcW w:w="22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4820" w:type="dxa"/>
            <w:vAlign w:val="bottom"/>
          </w:tcPr>
          <w:p>
            <w:pPr>
              <w:ind w:left="1800"/>
              <w:spacing w:after="0"/>
              <w:rPr>
                <w:sz w:val="20"/>
                <w:szCs w:val="20"/>
                <w:color w:val="auto"/>
              </w:rPr>
            </w:pPr>
            <w:r>
              <w:rPr>
                <w:rFonts w:ascii="Arial" w:cs="Arial" w:eastAsia="Arial" w:hAnsi="Arial"/>
                <w:sz w:val="16"/>
                <w:szCs w:val="16"/>
                <w:color w:val="auto"/>
              </w:rPr>
              <w:t>Emerging growth company</w:t>
            </w:r>
          </w:p>
        </w:tc>
        <w:tc>
          <w:tcPr>
            <w:tcW w:w="1360" w:type="dxa"/>
            <w:vAlign w:val="bottom"/>
          </w:tcPr>
          <w:p>
            <w:pPr>
              <w:ind w:left="1260"/>
              <w:spacing w:after="0"/>
              <w:rPr>
                <w:sz w:val="20"/>
                <w:szCs w:val="20"/>
                <w:color w:val="auto"/>
              </w:rPr>
            </w:pPr>
            <w:r>
              <w:rPr>
                <w:rFonts w:ascii="Arial" w:cs="Arial" w:eastAsia="Arial" w:hAnsi="Arial"/>
                <w:sz w:val="18"/>
                <w:szCs w:val="18"/>
                <w:color w:val="auto"/>
                <w:w w:val="88"/>
              </w:rPr>
              <w:t>x</w:t>
            </w:r>
          </w:p>
        </w:tc>
      </w:tr>
    </w:tbl>
    <w:p>
      <w:pPr>
        <w:spacing w:after="0" w:line="206" w:lineRule="exact"/>
        <w:rPr>
          <w:sz w:val="24"/>
          <w:szCs w:val="24"/>
          <w:color w:val="auto"/>
        </w:rPr>
      </w:pPr>
    </w:p>
    <w:p>
      <w:pPr>
        <w:ind w:right="600"/>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Arial" w:cs="Arial" w:eastAsia="Arial" w:hAnsi="Arial"/>
          <w:sz w:val="17"/>
          <w:szCs w:val="17"/>
          <w:color w:val="auto"/>
        </w:rPr>
        <w:t>o</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Arial" w:cs="Arial" w:eastAsia="Arial" w:hAnsi="Arial"/>
          <w:sz w:val="17"/>
          <w:szCs w:val="17"/>
          <w:color w:val="auto"/>
        </w:rPr>
        <w:t>x</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9, 2022, the registrant had 54,143,275 shares of Class A common stock outstanding and 117,173,390 shares of Class B-1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gridSpan w:val="4"/>
          </w:tcPr>
          <w:p>
            <w:pPr>
              <w:ind w:left="200"/>
              <w:spacing w:after="0"/>
              <w:rPr>
                <w:sz w:val="20"/>
                <w:szCs w:val="20"/>
                <w:color w:val="auto"/>
              </w:rPr>
            </w:pPr>
            <w:r>
              <w:rPr>
                <w:rFonts w:ascii="Arial" w:cs="Arial" w:eastAsia="Arial" w:hAnsi="Arial"/>
                <w:sz w:val="18"/>
                <w:szCs w:val="18"/>
                <w:b w:val="1"/>
                <w:bCs w:val="1"/>
                <w:color w:val="auto"/>
              </w:rPr>
              <w:t>Page</w:t>
            </w: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320" w:type="dxa"/>
            <w:vAlign w:val="bottom"/>
            <w:tcBorders>
              <w:top w:val="single" w:sz="8" w:color="CCEEFF"/>
              <w:bottom w:val="single" w:sz="8" w:color="0000EE"/>
            </w:tcBorders>
            <w:gridSpan w:val="8"/>
            <w:shd w:val="clear" w:color="auto" w:fill="CCEEFF"/>
          </w:tcPr>
          <w:p>
            <w:pPr>
              <w:spacing w:after="0" w:line="182" w:lineRule="exact"/>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 Financial Information</w:t>
              </w:r>
            </w:hyperlink>
          </w:p>
        </w:tc>
        <w:tc>
          <w:tcPr>
            <w:tcW w:w="7980" w:type="dxa"/>
            <w:vAlign w:val="bottom"/>
            <w:tcBorders>
              <w:top w:val="single" w:sz="8" w:color="CCEEFF"/>
              <w:bottom w:val="single" w:sz="8" w:color="CCEEFF"/>
            </w:tcBorders>
            <w:gridSpan w:val="15"/>
            <w:shd w:val="clear" w:color="auto" w:fill="CCEEFF"/>
          </w:tcPr>
          <w:p>
            <w:pPr>
              <w:spacing w:after="0"/>
              <w:rPr>
                <w:sz w:val="17"/>
                <w:szCs w:val="17"/>
                <w:color w:val="auto"/>
              </w:rPr>
            </w:pPr>
          </w:p>
        </w:tc>
        <w:tc>
          <w:tcPr>
            <w:tcW w:w="6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right w:val="single" w:sz="8" w:color="CCEEFF"/>
            </w:tcBorders>
            <w:shd w:val="clear" w:color="auto" w:fill="CCEEFF"/>
          </w:tcPr>
          <w:p>
            <w:pPr>
              <w:jc w:val="right"/>
              <w:spacing w:after="0" w:line="182" w:lineRule="exact"/>
              <w:rPr>
                <w:rFonts w:ascii="Arial" w:cs="Arial" w:eastAsia="Arial" w:hAnsi="Arial"/>
                <w:sz w:val="18"/>
                <w:szCs w:val="18"/>
                <w:color w:val="auto"/>
                <w:w w:val="79"/>
              </w:rPr>
            </w:pPr>
            <w:hyperlink w:anchor="page2">
              <w:r>
                <w:rPr>
                  <w:rFonts w:ascii="Arial" w:cs="Arial" w:eastAsia="Arial" w:hAnsi="Arial"/>
                  <w:sz w:val="18"/>
                  <w:szCs w:val="18"/>
                  <w:color w:val="auto"/>
                  <w:w w:val="79"/>
                </w:rPr>
                <w:t>3</w:t>
              </w:r>
            </w:hyperlink>
          </w:p>
        </w:tc>
        <w:tc>
          <w:tcPr>
            <w:tcW w:w="1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400" w:type="dxa"/>
            <w:vAlign w:val="bottom"/>
            <w:gridSpan w:val="19"/>
          </w:tcPr>
          <w:p>
            <w:pPr>
              <w:ind w:left="120"/>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 xml:space="preserve">Financial Statements </w:t>
              </w:r>
            </w:hyperlink>
            <w:r>
              <w:rPr>
                <w:rFonts w:ascii="Arial" w:cs="Arial" w:eastAsia="Arial" w:hAnsi="Arial"/>
                <w:sz w:val="18"/>
                <w:szCs w:val="18"/>
                <w:color w:val="0000EE"/>
              </w:rPr>
              <w:t>(Unaudited)</w:t>
            </w:r>
          </w:p>
        </w:tc>
        <w:tc>
          <w:tcPr>
            <w:tcW w:w="780" w:type="dxa"/>
            <w:vAlign w:val="bottom"/>
            <w:gridSpan w:val="3"/>
          </w:tcPr>
          <w:p>
            <w:pPr>
              <w:jc w:val="right"/>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0" w:type="dxa"/>
            <w:vAlign w:val="bottom"/>
            <w:gridSpan w:val="19"/>
          </w:tcPr>
          <w:p>
            <w:pPr>
              <w:ind w:left="1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Loss</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Changes in Stockholders’ Equity, Members’ Deficit, and </w:t>
              </w:r>
            </w:hyperlink>
            <w:r>
              <w:rPr>
                <w:rFonts w:ascii="Arial" w:cs="Arial" w:eastAsia="Arial" w:hAnsi="Arial"/>
                <w:sz w:val="18"/>
                <w:szCs w:val="18"/>
                <w:color w:val="0000EE"/>
              </w:rPr>
              <w:t xml:space="preserve">Mezzanine </w:t>
            </w:r>
            <w:hyperlink w:anchor="page4">
              <w:r>
                <w:rPr>
                  <w:rFonts w:ascii="Arial" w:cs="Arial" w:eastAsia="Arial" w:hAnsi="Arial"/>
                  <w:sz w:val="18"/>
                  <w:szCs w:val="18"/>
                  <w:color w:val="0000EE"/>
                </w:rPr>
                <w:t>Equity</w:t>
              </w:r>
            </w:hyperlink>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0" w:type="dxa"/>
            <w:vAlign w:val="bottom"/>
            <w:gridSpan w:val="19"/>
          </w:tcPr>
          <w:p>
            <w:pPr>
              <w:ind w:left="1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6</w:t>
              </w:r>
            </w:hyperlink>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rFonts w:ascii="Arial" w:cs="Arial" w:eastAsia="Arial" w:hAnsi="Arial"/>
                <w:sz w:val="18"/>
                <w:szCs w:val="18"/>
                <w:color w:val="0000FF"/>
              </w:rPr>
            </w:pPr>
            <w:r>
              <w:rPr>
                <w:rFonts w:ascii="Arial" w:cs="Arial" w:eastAsia="Arial" w:hAnsi="Arial"/>
                <w:sz w:val="18"/>
                <w:szCs w:val="18"/>
                <w:color w:val="0000FF"/>
              </w:rPr>
              <w:t xml:space="preserve">Notes </w:t>
            </w:r>
            <w:hyperlink w:anchor="page6">
              <w:r>
                <w:rPr>
                  <w:rFonts w:ascii="Arial" w:cs="Arial" w:eastAsia="Arial" w:hAnsi="Arial"/>
                  <w:sz w:val="18"/>
                  <w:szCs w:val="18"/>
                  <w:color w:val="0000FF"/>
                </w:rPr>
                <w:t>to Condensed Consolidated Financial Statements</w:t>
              </w:r>
            </w:hyperlink>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400" w:type="dxa"/>
            <w:vAlign w:val="bottom"/>
            <w:gridSpan w:val="19"/>
          </w:tcPr>
          <w:p>
            <w:pPr>
              <w:ind w:left="120"/>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0300" w:type="dxa"/>
            <w:vAlign w:val="bottom"/>
            <w:gridSpan w:val="23"/>
          </w:tcPr>
          <w:p>
            <w:pPr>
              <w:spacing w:after="0" w:line="189"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9400" w:type="dxa"/>
            <w:vAlign w:val="bottom"/>
            <w:gridSpan w:val="19"/>
          </w:tcPr>
          <w:p>
            <w:pPr>
              <w:ind w:left="120"/>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5.</w:t>
              </w:r>
            </w:hyperlink>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780" w:type="dxa"/>
            <w:vAlign w:val="bottom"/>
            <w:gridSpan w:val="3"/>
          </w:tcPr>
          <w:p>
            <w:pPr>
              <w:jc w:val="right"/>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Exhibits and financial statements.</w:t>
              </w:r>
            </w:hyperlink>
          </w:p>
        </w:tc>
        <w:tc>
          <w:tcPr>
            <w:tcW w:w="780" w:type="dxa"/>
            <w:vAlign w:val="bottom"/>
            <w:tcBorders>
              <w:right w:val="single" w:sz="8" w:color="CCEEFF"/>
            </w:tcBorders>
            <w:gridSpan w:val="3"/>
            <w:shd w:val="clear" w:color="auto" w:fill="CCEEFF"/>
          </w:tcPr>
          <w:p>
            <w:pPr>
              <w:jc w:val="right"/>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41</w:t>
              </w:r>
            </w:hyperlink>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gridSpan w:val="3"/>
          </w:tcPr>
          <w:p>
            <w:pPr>
              <w:jc w:val="right"/>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42</w:t>
              </w:r>
            </w:hyperlink>
          </w:p>
        </w:tc>
        <w:tc>
          <w:tcPr>
            <w:tcW w:w="140" w:type="dxa"/>
            <w:vAlign w:val="bottom"/>
          </w:tcPr>
          <w:p>
            <w:pPr>
              <w:spacing w:after="0"/>
              <w:rPr>
                <w:sz w:val="16"/>
                <w:szCs w:val="16"/>
                <w:color w:val="auto"/>
              </w:rPr>
            </w:pPr>
          </w:p>
        </w:tc>
      </w:tr>
      <w:tr>
        <w:trPr>
          <w:trHeight w:val="92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15"/>
          </w:tcPr>
          <w:p>
            <w:pPr>
              <w:ind w:left="46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D2EDF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2EDF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D2EDFE"/>
          </w:tcPr>
          <w:p>
            <w:pPr>
              <w:spacing w:after="0"/>
              <w:rPr>
                <w:sz w:val="17"/>
                <w:szCs w:val="17"/>
                <w:color w:val="auto"/>
              </w:rPr>
            </w:pPr>
          </w:p>
        </w:tc>
        <w:tc>
          <w:tcPr>
            <w:tcW w:w="1520" w:type="dxa"/>
            <w:vAlign w:val="bottom"/>
            <w:shd w:val="clear" w:color="auto" w:fill="D2EDFE"/>
          </w:tcPr>
          <w:p>
            <w:pPr>
              <w:spacing w:after="0"/>
              <w:rPr>
                <w:sz w:val="17"/>
                <w:szCs w:val="17"/>
                <w:color w:val="auto"/>
              </w:rPr>
            </w:pPr>
          </w:p>
        </w:tc>
        <w:tc>
          <w:tcPr>
            <w:tcW w:w="100" w:type="dxa"/>
            <w:vAlign w:val="bottom"/>
            <w:shd w:val="clear" w:color="auto" w:fill="D2EDFE"/>
          </w:tcPr>
          <w:p>
            <w:pPr>
              <w:spacing w:after="0"/>
              <w:rPr>
                <w:sz w:val="17"/>
                <w:szCs w:val="17"/>
                <w:color w:val="auto"/>
              </w:rPr>
            </w:pPr>
          </w:p>
        </w:tc>
        <w:tc>
          <w:tcPr>
            <w:tcW w:w="220" w:type="dxa"/>
            <w:vAlign w:val="bottom"/>
            <w:shd w:val="clear" w:color="auto" w:fill="D2EDFE"/>
          </w:tcPr>
          <w:p>
            <w:pPr>
              <w:spacing w:after="0"/>
              <w:rPr>
                <w:sz w:val="17"/>
                <w:szCs w:val="17"/>
                <w:color w:val="auto"/>
              </w:rPr>
            </w:pPr>
          </w:p>
        </w:tc>
        <w:tc>
          <w:tcPr>
            <w:tcW w:w="1440" w:type="dxa"/>
            <w:vAlign w:val="bottom"/>
            <w:shd w:val="clear" w:color="auto" w:fill="D2EDF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D2EDFE"/>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632,143</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36,829</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w w:val="98"/>
              </w:rPr>
              <w:t>Trade receivables, net of allowances ($88 and $90 at December 31 and September 30, 2021, respectively)</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46,664</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Unbilled receivables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86,933</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101,975</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Receivables from related parties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33,362</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Advances to suppliers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40,586</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9,741</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Inventory, net</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442,356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389,787</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D2EDFE"/>
          </w:tcPr>
          <w:p>
            <w:pPr>
              <w:spacing w:after="0"/>
              <w:rPr>
                <w:sz w:val="19"/>
                <w:szCs w:val="19"/>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74,793</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14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43,157</w:t>
            </w: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1,381,335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661,515</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color w:val="auto"/>
              </w:rPr>
              <w:t>Non-current assets: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8,206</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35,145</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36,057</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9,176</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Deferred income tax asset</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D2EDFE"/>
            </w:tcBorders>
          </w:tcPr>
          <w:p>
            <w:pPr>
              <w:ind w:left="24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47,256</w:t>
            </w:r>
          </w:p>
        </w:tc>
        <w:tc>
          <w:tcPr>
            <w:tcW w:w="100" w:type="dxa"/>
            <w:vAlign w:val="bottom"/>
            <w:tcBorders>
              <w:bottom w:val="single" w:sz="8" w:color="D2EDF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10"/>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color w:val="auto"/>
              </w:rPr>
              <w:t>Total non-current assets</w:t>
            </w:r>
          </w:p>
        </w:tc>
        <w:tc>
          <w:tcPr>
            <w:tcW w:w="280" w:type="dxa"/>
            <w:vAlign w:val="bottom"/>
            <w:tcBorders>
              <w:bottom w:val="single" w:sz="8" w:color="auto"/>
            </w:tcBorders>
            <w:shd w:val="clear" w:color="auto" w:fill="D2EDFE"/>
          </w:tcPr>
          <w:p>
            <w:pPr>
              <w:spacing w:after="0"/>
              <w:rPr>
                <w:sz w:val="18"/>
                <w:szCs w:val="18"/>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101,319</w:t>
            </w:r>
          </w:p>
        </w:tc>
        <w:tc>
          <w:tcPr>
            <w:tcW w:w="100" w:type="dxa"/>
            <w:vAlign w:val="bottom"/>
            <w:shd w:val="clear" w:color="auto" w:fill="D2EDFE"/>
          </w:tcPr>
          <w:p>
            <w:pPr>
              <w:spacing w:after="0"/>
              <w:rPr>
                <w:sz w:val="18"/>
                <w:szCs w:val="18"/>
                <w:color w:val="auto"/>
              </w:rPr>
            </w:pPr>
          </w:p>
        </w:tc>
        <w:tc>
          <w:tcPr>
            <w:tcW w:w="220" w:type="dxa"/>
            <w:vAlign w:val="bottom"/>
            <w:tcBorders>
              <w:bottom w:val="single" w:sz="8" w:color="auto"/>
            </w:tcBorders>
            <w:shd w:val="clear" w:color="auto" w:fill="D2EDFE"/>
          </w:tcPr>
          <w:p>
            <w:pPr>
              <w:spacing w:after="0"/>
              <w:rPr>
                <w:sz w:val="18"/>
                <w:szCs w:val="18"/>
                <w:color w:val="auto"/>
              </w:rPr>
            </w:pPr>
          </w:p>
        </w:tc>
        <w:tc>
          <w:tcPr>
            <w:tcW w:w="14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56,160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1,482,654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717,675</w:t>
            </w:r>
          </w:p>
        </w:tc>
        <w:tc>
          <w:tcPr>
            <w:tcW w:w="0" w:type="dxa"/>
            <w:vAlign w:val="bottom"/>
          </w:tcPr>
          <w:p>
            <w:pPr>
              <w:spacing w:after="0"/>
              <w:rPr>
                <w:sz w:val="1"/>
                <w:szCs w:val="1"/>
                <w:color w:val="auto"/>
              </w:rPr>
            </w:pPr>
          </w:p>
        </w:tc>
      </w:tr>
      <w:tr>
        <w:trPr>
          <w:trHeight w:val="20"/>
        </w:trPr>
        <w:tc>
          <w:tcPr>
            <w:tcW w:w="7680" w:type="dxa"/>
            <w:vAlign w:val="bottom"/>
            <w:tcBorders>
              <w:bottom w:val="single" w:sz="8" w:color="D2EDF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DF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b w:val="1"/>
                <w:bCs w:val="1"/>
                <w:color w:val="auto"/>
              </w:rPr>
              <w:t>Liabilities, Stockholders’ Equity, Members’ Deficit, and Mezzanine Equity</w:t>
            </w:r>
          </w:p>
        </w:tc>
        <w:tc>
          <w:tcPr>
            <w:tcW w:w="280" w:type="dxa"/>
            <w:vAlign w:val="bottom"/>
            <w:shd w:val="clear" w:color="auto" w:fill="D2EDFE"/>
          </w:tcPr>
          <w:p>
            <w:pPr>
              <w:spacing w:after="0"/>
              <w:rPr>
                <w:sz w:val="15"/>
                <w:szCs w:val="15"/>
                <w:color w:val="auto"/>
              </w:rPr>
            </w:pPr>
          </w:p>
        </w:tc>
        <w:tc>
          <w:tcPr>
            <w:tcW w:w="1520" w:type="dxa"/>
            <w:vAlign w:val="bottom"/>
            <w:shd w:val="clear" w:color="auto" w:fill="D2EDFE"/>
          </w:tcPr>
          <w:p>
            <w:pPr>
              <w:spacing w:after="0"/>
              <w:rPr>
                <w:sz w:val="15"/>
                <w:szCs w:val="15"/>
                <w:color w:val="auto"/>
              </w:rPr>
            </w:pPr>
          </w:p>
        </w:tc>
        <w:tc>
          <w:tcPr>
            <w:tcW w:w="100" w:type="dxa"/>
            <w:vAlign w:val="bottom"/>
            <w:shd w:val="clear" w:color="auto" w:fill="D2EDFE"/>
          </w:tcPr>
          <w:p>
            <w:pPr>
              <w:spacing w:after="0"/>
              <w:rPr>
                <w:sz w:val="15"/>
                <w:szCs w:val="15"/>
                <w:color w:val="auto"/>
              </w:rPr>
            </w:pPr>
          </w:p>
        </w:tc>
        <w:tc>
          <w:tcPr>
            <w:tcW w:w="220" w:type="dxa"/>
            <w:vAlign w:val="bottom"/>
            <w:shd w:val="clear" w:color="auto" w:fill="D2EDFE"/>
          </w:tcPr>
          <w:p>
            <w:pPr>
              <w:spacing w:after="0"/>
              <w:rPr>
                <w:sz w:val="15"/>
                <w:szCs w:val="15"/>
                <w:color w:val="auto"/>
              </w:rPr>
            </w:pPr>
          </w:p>
        </w:tc>
        <w:tc>
          <w:tcPr>
            <w:tcW w:w="1440" w:type="dxa"/>
            <w:vAlign w:val="bottom"/>
            <w:shd w:val="clear" w:color="auto" w:fill="D2EDF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D2EDFE"/>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92,802</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158,366</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145,765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71,365</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Borrowing from line of credit</w:t>
            </w:r>
          </w:p>
        </w:tc>
        <w:tc>
          <w:tcPr>
            <w:tcW w:w="280" w:type="dxa"/>
            <w:vAlign w:val="bottom"/>
            <w:shd w:val="clear" w:color="auto" w:fill="D2EDFE"/>
          </w:tcPr>
          <w:p>
            <w:pPr>
              <w:spacing w:after="0"/>
              <w:rPr>
                <w:sz w:val="19"/>
                <w:szCs w:val="19"/>
                <w:color w:val="auto"/>
              </w:rPr>
            </w:pPr>
          </w:p>
        </w:tc>
        <w:tc>
          <w:tcPr>
            <w:tcW w:w="1620" w:type="dxa"/>
            <w:vAlign w:val="bottom"/>
            <w:gridSpan w:val="2"/>
            <w:shd w:val="clear" w:color="auto" w:fill="D2EDFE"/>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Borrowing from related parties</w:t>
            </w:r>
          </w:p>
        </w:tc>
        <w:tc>
          <w:tcPr>
            <w:tcW w:w="2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Personnel related liabilities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22,990</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12,861</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Accruals and provisions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214,838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186,143</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Payables and deferred revenue with related parties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206,021</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227,925</w:t>
            </w: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17,764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12,892</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D2EDFE"/>
          </w:tcPr>
          <w:p>
            <w:pPr>
              <w:spacing w:after="0"/>
              <w:rPr>
                <w:sz w:val="19"/>
                <w:szCs w:val="19"/>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2,175</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14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702,355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771,493</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Personnel related liabilities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Accruals and provisions</w:t>
            </w:r>
          </w:p>
        </w:tc>
        <w:tc>
          <w:tcPr>
            <w:tcW w:w="280" w:type="dxa"/>
            <w:vAlign w:val="bottom"/>
            <w:tcBorders>
              <w:bottom w:val="single" w:sz="8" w:color="auto"/>
            </w:tcBorders>
            <w:shd w:val="clear" w:color="auto" w:fill="D2EDFE"/>
          </w:tcPr>
          <w:p>
            <w:pPr>
              <w:spacing w:after="0"/>
              <w:rPr>
                <w:sz w:val="19"/>
                <w:szCs w:val="19"/>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14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06"/>
        </w:trPr>
        <w:tc>
          <w:tcPr>
            <w:tcW w:w="7680" w:type="dxa"/>
            <w:vAlign w:val="bottom"/>
            <w:tcBorders>
              <w:bottom w:val="single" w:sz="8" w:color="D2EDFE"/>
            </w:tcBorders>
          </w:tcPr>
          <w:p>
            <w:pPr>
              <w:ind w:left="2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bottom w:val="single" w:sz="8" w:color="D2EDF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3"/>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D2EDFE"/>
          </w:tcPr>
          <w:p>
            <w:pPr>
              <w:spacing w:after="0"/>
              <w:rPr>
                <w:sz w:val="18"/>
                <w:szCs w:val="18"/>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704,554</w:t>
            </w:r>
          </w:p>
        </w:tc>
        <w:tc>
          <w:tcPr>
            <w:tcW w:w="100" w:type="dxa"/>
            <w:vAlign w:val="bottom"/>
            <w:shd w:val="clear" w:color="auto" w:fill="D2EDFE"/>
          </w:tcPr>
          <w:p>
            <w:pPr>
              <w:spacing w:after="0"/>
              <w:rPr>
                <w:sz w:val="18"/>
                <w:szCs w:val="18"/>
                <w:color w:val="auto"/>
              </w:rPr>
            </w:pPr>
          </w:p>
        </w:tc>
        <w:tc>
          <w:tcPr>
            <w:tcW w:w="220" w:type="dxa"/>
            <w:vAlign w:val="bottom"/>
            <w:tcBorders>
              <w:bottom w:val="single" w:sz="8" w:color="auto"/>
            </w:tcBorders>
            <w:shd w:val="clear" w:color="auto" w:fill="D2EDFE"/>
          </w:tcPr>
          <w:p>
            <w:pPr>
              <w:spacing w:after="0"/>
              <w:rPr>
                <w:sz w:val="18"/>
                <w:szCs w:val="18"/>
                <w:color w:val="auto"/>
              </w:rPr>
            </w:pPr>
          </w:p>
        </w:tc>
        <w:tc>
          <w:tcPr>
            <w:tcW w:w="14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773,874</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color w:val="auto"/>
                <w:w w:val="91"/>
              </w:rPr>
              <w:t>Mezzanine equity (0 and 18,493,275 units issued and outstanding as of December 31, 2021 and September 30, 2021,</w:t>
            </w:r>
          </w:p>
        </w:tc>
        <w:tc>
          <w:tcPr>
            <w:tcW w:w="280" w:type="dxa"/>
            <w:vAlign w:val="bottom"/>
            <w:shd w:val="clear" w:color="auto" w:fill="D2EDFE"/>
          </w:tcPr>
          <w:p>
            <w:pPr>
              <w:spacing w:after="0"/>
              <w:rPr>
                <w:sz w:val="18"/>
                <w:szCs w:val="18"/>
                <w:color w:val="auto"/>
              </w:rPr>
            </w:pPr>
          </w:p>
        </w:tc>
        <w:tc>
          <w:tcPr>
            <w:tcW w:w="152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220" w:type="dxa"/>
            <w:vAlign w:val="bottom"/>
            <w:shd w:val="clear" w:color="auto" w:fill="D2EDFE"/>
          </w:tcPr>
          <w:p>
            <w:pPr>
              <w:spacing w:after="0"/>
              <w:rPr>
                <w:sz w:val="18"/>
                <w:szCs w:val="18"/>
                <w:color w:val="auto"/>
              </w:rPr>
            </w:pPr>
          </w:p>
        </w:tc>
        <w:tc>
          <w:tcPr>
            <w:tcW w:w="1440" w:type="dxa"/>
            <w:vAlign w:val="bottom"/>
            <w:shd w:val="clear" w:color="auto" w:fill="D2EDF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80" w:type="dxa"/>
            <w:vAlign w:val="bottom"/>
            <w:shd w:val="clear" w:color="auto" w:fill="D2EDFE"/>
          </w:tcPr>
          <w:p>
            <w:pPr>
              <w:ind w:left="18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D2EDFE"/>
          </w:tcPr>
          <w:p>
            <w:pPr>
              <w:spacing w:after="0"/>
              <w:rPr>
                <w:sz w:val="19"/>
                <w:szCs w:val="19"/>
                <w:color w:val="auto"/>
              </w:rPr>
            </w:pPr>
          </w:p>
        </w:tc>
        <w:tc>
          <w:tcPr>
            <w:tcW w:w="1620" w:type="dxa"/>
            <w:vAlign w:val="bottom"/>
            <w:gridSpan w:val="2"/>
            <w:shd w:val="clear" w:color="auto" w:fill="D2EDFE"/>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117,235</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Stockholders’ Equity / Members’ Deficit</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60"/>
              <w:spacing w:after="0"/>
              <w:rPr>
                <w:sz w:val="20"/>
                <w:szCs w:val="20"/>
                <w:color w:val="auto"/>
              </w:rPr>
            </w:pPr>
            <w:r>
              <w:rPr>
                <w:rFonts w:ascii="Arial" w:cs="Arial" w:eastAsia="Arial" w:hAnsi="Arial"/>
                <w:sz w:val="16"/>
                <w:szCs w:val="16"/>
                <w:color w:val="auto"/>
              </w:rPr>
              <w:t>Members’ capital contributions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106,152</w:t>
            </w:r>
          </w:p>
        </w:tc>
        <w:tc>
          <w:tcPr>
            <w:tcW w:w="0" w:type="dxa"/>
            <w:vAlign w:val="bottom"/>
          </w:tcPr>
          <w:p>
            <w:pPr>
              <w:spacing w:after="0"/>
              <w:rPr>
                <w:sz w:val="1"/>
                <w:szCs w:val="1"/>
                <w:color w:val="auto"/>
              </w:rPr>
            </w:pPr>
          </w:p>
        </w:tc>
      </w:tr>
      <w:tr>
        <w:trPr>
          <w:trHeight w:val="166"/>
        </w:trPr>
        <w:tc>
          <w:tcPr>
            <w:tcW w:w="7680" w:type="dxa"/>
            <w:vAlign w:val="bottom"/>
          </w:tcPr>
          <w:p>
            <w:pPr>
              <w:ind w:left="240"/>
              <w:spacing w:after="0" w:line="166" w:lineRule="exact"/>
              <w:rPr>
                <w:sz w:val="20"/>
                <w:szCs w:val="20"/>
                <w:color w:val="auto"/>
              </w:rPr>
            </w:pPr>
            <w:r>
              <w:rPr>
                <w:rFonts w:ascii="Arial" w:cs="Arial" w:eastAsia="Arial" w:hAnsi="Arial"/>
                <w:sz w:val="16"/>
                <w:szCs w:val="16"/>
                <w:color w:val="auto"/>
                <w:w w:val="97"/>
              </w:rPr>
              <w:t xml:space="preserve">Preferred stock, </w:t>
            </w:r>
            <w:r>
              <w:rPr>
                <w:rFonts w:ascii="Arial" w:cs="Arial" w:eastAsia="Arial" w:hAnsi="Arial"/>
                <w:sz w:val="16"/>
                <w:szCs w:val="16"/>
                <w:color w:val="0D0D0D"/>
                <w:w w:val="97"/>
              </w:rPr>
              <w:t>$0.00001 per share, 10,000,000 shares authorized; no shares issued and outstanding as of</w:t>
            </w:r>
          </w:p>
        </w:tc>
        <w:tc>
          <w:tcPr>
            <w:tcW w:w="28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0D0D0D"/>
              </w:rPr>
              <w:t>December 31, 2021.</w:t>
            </w:r>
          </w:p>
        </w:tc>
        <w:tc>
          <w:tcPr>
            <w:tcW w:w="2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D2EDFE"/>
          </w:tcPr>
          <w:p>
            <w:pPr>
              <w:ind w:left="240"/>
              <w:spacing w:after="0" w:line="169" w:lineRule="exact"/>
              <w:rPr>
                <w:sz w:val="20"/>
                <w:szCs w:val="20"/>
                <w:color w:val="auto"/>
              </w:rPr>
            </w:pPr>
            <w:r>
              <w:rPr>
                <w:rFonts w:ascii="Arial" w:cs="Arial" w:eastAsia="Arial" w:hAnsi="Arial"/>
                <w:sz w:val="16"/>
                <w:szCs w:val="16"/>
                <w:color w:val="auto"/>
                <w:w w:val="90"/>
              </w:rPr>
              <w:t>Class A common stock, $0.00001 par value per share, 1,200,000,000 shares authorized; 54,143,275 shares issued</w:t>
            </w:r>
          </w:p>
        </w:tc>
        <w:tc>
          <w:tcPr>
            <w:tcW w:w="280" w:type="dxa"/>
            <w:vAlign w:val="bottom"/>
            <w:shd w:val="clear" w:color="auto" w:fill="D2EDFE"/>
          </w:tcPr>
          <w:p>
            <w:pPr>
              <w:spacing w:after="0"/>
              <w:rPr>
                <w:sz w:val="14"/>
                <w:szCs w:val="14"/>
                <w:color w:val="auto"/>
              </w:rPr>
            </w:pPr>
          </w:p>
        </w:tc>
        <w:tc>
          <w:tcPr>
            <w:tcW w:w="1620" w:type="dxa"/>
            <w:vAlign w:val="bottom"/>
            <w:gridSpan w:val="2"/>
            <w:vMerge w:val="restart"/>
            <w:shd w:val="clear" w:color="auto" w:fill="D2EDFE"/>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2EDFE"/>
          </w:tcPr>
          <w:p>
            <w:pPr>
              <w:spacing w:after="0"/>
              <w:rPr>
                <w:sz w:val="14"/>
                <w:szCs w:val="14"/>
                <w:color w:val="auto"/>
              </w:rPr>
            </w:pPr>
          </w:p>
        </w:tc>
        <w:tc>
          <w:tcPr>
            <w:tcW w:w="1440" w:type="dxa"/>
            <w:vAlign w:val="bottom"/>
            <w:vMerge w:val="restart"/>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and outstanding as of December 31, 2021.</w:t>
            </w:r>
          </w:p>
        </w:tc>
        <w:tc>
          <w:tcPr>
            <w:tcW w:w="280" w:type="dxa"/>
            <w:vAlign w:val="bottom"/>
            <w:shd w:val="clear" w:color="auto" w:fill="D2EDFE"/>
          </w:tcPr>
          <w:p>
            <w:pPr>
              <w:spacing w:after="0"/>
              <w:rPr>
                <w:sz w:val="18"/>
                <w:szCs w:val="18"/>
                <w:color w:val="auto"/>
              </w:rPr>
            </w:pPr>
          </w:p>
        </w:tc>
        <w:tc>
          <w:tcPr>
            <w:tcW w:w="1620" w:type="dxa"/>
            <w:vAlign w:val="bottom"/>
            <w:gridSpan w:val="2"/>
            <w:vMerge w:val="continue"/>
            <w:shd w:val="clear" w:color="auto" w:fill="D2EDFE"/>
          </w:tcPr>
          <w:p>
            <w:pPr>
              <w:spacing w:after="0"/>
              <w:rPr>
                <w:sz w:val="18"/>
                <w:szCs w:val="18"/>
                <w:color w:val="auto"/>
              </w:rPr>
            </w:pPr>
          </w:p>
        </w:tc>
        <w:tc>
          <w:tcPr>
            <w:tcW w:w="220" w:type="dxa"/>
            <w:vAlign w:val="bottom"/>
            <w:shd w:val="clear" w:color="auto" w:fill="D2EDFE"/>
          </w:tcPr>
          <w:p>
            <w:pPr>
              <w:spacing w:after="0"/>
              <w:rPr>
                <w:sz w:val="18"/>
                <w:szCs w:val="18"/>
                <w:color w:val="auto"/>
              </w:rPr>
            </w:pPr>
          </w:p>
        </w:tc>
        <w:tc>
          <w:tcPr>
            <w:tcW w:w="1440" w:type="dxa"/>
            <w:vAlign w:val="bottom"/>
            <w:vMerge w:val="continue"/>
            <w:shd w:val="clear" w:color="auto" w:fill="D2EDF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40"/>
              <w:spacing w:after="0" w:line="166" w:lineRule="exact"/>
              <w:rPr>
                <w:sz w:val="20"/>
                <w:szCs w:val="20"/>
                <w:color w:val="auto"/>
              </w:rPr>
            </w:pPr>
            <w:r>
              <w:rPr>
                <w:rFonts w:ascii="Arial" w:cs="Arial" w:eastAsia="Arial" w:hAnsi="Arial"/>
                <w:sz w:val="16"/>
                <w:szCs w:val="16"/>
                <w:color w:val="auto"/>
                <w:w w:val="89"/>
              </w:rPr>
              <w:t>Class B-1 common stock, $0.00001 par value per share, 300,000,000 shares authorized; 117,173,390 shares issued</w:t>
            </w:r>
          </w:p>
        </w:tc>
        <w:tc>
          <w:tcPr>
            <w:tcW w:w="28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80" w:type="dxa"/>
            <w:vAlign w:val="bottom"/>
          </w:tcPr>
          <w:p>
            <w:pPr>
              <w:ind w:left="240"/>
              <w:spacing w:after="0"/>
              <w:rPr>
                <w:sz w:val="20"/>
                <w:szCs w:val="20"/>
                <w:color w:val="auto"/>
              </w:rPr>
            </w:pPr>
            <w:r>
              <w:rPr>
                <w:rFonts w:ascii="Arial" w:cs="Arial" w:eastAsia="Arial" w:hAnsi="Arial"/>
                <w:sz w:val="16"/>
                <w:szCs w:val="16"/>
                <w:color w:val="auto"/>
              </w:rPr>
              <w:t>and outstanding as of December 31, 2021</w:t>
            </w:r>
          </w:p>
        </w:tc>
        <w:tc>
          <w:tcPr>
            <w:tcW w:w="2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D2EDFE"/>
          </w:tcPr>
          <w:p>
            <w:pPr>
              <w:ind w:left="240"/>
              <w:spacing w:after="0" w:line="169" w:lineRule="exact"/>
              <w:rPr>
                <w:sz w:val="20"/>
                <w:szCs w:val="20"/>
                <w:color w:val="auto"/>
              </w:rPr>
            </w:pPr>
            <w:r>
              <w:rPr>
                <w:rFonts w:ascii="Arial" w:cs="Arial" w:eastAsia="Arial" w:hAnsi="Arial"/>
                <w:sz w:val="16"/>
                <w:szCs w:val="16"/>
                <w:color w:val="auto"/>
                <w:w w:val="94"/>
              </w:rPr>
              <w:t>Class B-2 common stock, $0.00001 par value per share, 300,000,000 shares authorized; no shares issued and</w:t>
            </w:r>
          </w:p>
        </w:tc>
        <w:tc>
          <w:tcPr>
            <w:tcW w:w="280" w:type="dxa"/>
            <w:vAlign w:val="bottom"/>
            <w:shd w:val="clear" w:color="auto" w:fill="D2EDFE"/>
          </w:tcPr>
          <w:p>
            <w:pPr>
              <w:spacing w:after="0"/>
              <w:rPr>
                <w:sz w:val="14"/>
                <w:szCs w:val="14"/>
                <w:color w:val="auto"/>
              </w:rPr>
            </w:pPr>
          </w:p>
        </w:tc>
        <w:tc>
          <w:tcPr>
            <w:tcW w:w="1620" w:type="dxa"/>
            <w:vAlign w:val="bottom"/>
            <w:gridSpan w:val="2"/>
            <w:vMerge w:val="restart"/>
            <w:shd w:val="clear" w:color="auto" w:fill="D2EDFE"/>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2EDFE"/>
          </w:tcPr>
          <w:p>
            <w:pPr>
              <w:spacing w:after="0"/>
              <w:rPr>
                <w:sz w:val="14"/>
                <w:szCs w:val="14"/>
                <w:color w:val="auto"/>
              </w:rPr>
            </w:pPr>
          </w:p>
        </w:tc>
        <w:tc>
          <w:tcPr>
            <w:tcW w:w="1440" w:type="dxa"/>
            <w:vAlign w:val="bottom"/>
            <w:vMerge w:val="restart"/>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outstanding as of December 31, 2021</w:t>
            </w:r>
          </w:p>
        </w:tc>
        <w:tc>
          <w:tcPr>
            <w:tcW w:w="280" w:type="dxa"/>
            <w:vAlign w:val="bottom"/>
            <w:shd w:val="clear" w:color="auto" w:fill="D2EDFE"/>
          </w:tcPr>
          <w:p>
            <w:pPr>
              <w:spacing w:after="0"/>
              <w:rPr>
                <w:sz w:val="18"/>
                <w:szCs w:val="18"/>
                <w:color w:val="auto"/>
              </w:rPr>
            </w:pPr>
          </w:p>
        </w:tc>
        <w:tc>
          <w:tcPr>
            <w:tcW w:w="1620" w:type="dxa"/>
            <w:vAlign w:val="bottom"/>
            <w:gridSpan w:val="2"/>
            <w:vMerge w:val="continue"/>
            <w:shd w:val="clear" w:color="auto" w:fill="D2EDFE"/>
          </w:tcPr>
          <w:p>
            <w:pPr>
              <w:spacing w:after="0"/>
              <w:rPr>
                <w:sz w:val="18"/>
                <w:szCs w:val="18"/>
                <w:color w:val="auto"/>
              </w:rPr>
            </w:pPr>
          </w:p>
        </w:tc>
        <w:tc>
          <w:tcPr>
            <w:tcW w:w="220" w:type="dxa"/>
            <w:vAlign w:val="bottom"/>
            <w:shd w:val="clear" w:color="auto" w:fill="D2EDFE"/>
          </w:tcPr>
          <w:p>
            <w:pPr>
              <w:spacing w:after="0"/>
              <w:rPr>
                <w:sz w:val="18"/>
                <w:szCs w:val="18"/>
                <w:color w:val="auto"/>
              </w:rPr>
            </w:pPr>
          </w:p>
        </w:tc>
        <w:tc>
          <w:tcPr>
            <w:tcW w:w="1440" w:type="dxa"/>
            <w:vAlign w:val="bottom"/>
            <w:vMerge w:val="continue"/>
            <w:shd w:val="clear" w:color="auto" w:fill="D2EDF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281,347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D2EDFE"/>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D2EDFE"/>
            </w:tcBorders>
          </w:tcPr>
          <w:p>
            <w:pPr>
              <w:ind w:left="24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(28,805)</w:t>
            </w:r>
          </w:p>
        </w:tc>
        <w:tc>
          <w:tcPr>
            <w:tcW w:w="100" w:type="dxa"/>
            <w:vAlign w:val="bottom"/>
            <w:tcBorders>
              <w:bottom w:val="single" w:sz="8" w:color="D2EDF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(279,301)</w:t>
            </w:r>
          </w:p>
        </w:tc>
        <w:tc>
          <w:tcPr>
            <w:tcW w:w="0" w:type="dxa"/>
            <w:vAlign w:val="bottom"/>
          </w:tcPr>
          <w:p>
            <w:pPr>
              <w:spacing w:after="0"/>
              <w:rPr>
                <w:sz w:val="1"/>
                <w:szCs w:val="1"/>
                <w:color w:val="auto"/>
              </w:rPr>
            </w:pPr>
          </w:p>
        </w:tc>
      </w:tr>
      <w:tr>
        <w:trPr>
          <w:trHeight w:val="213"/>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color w:val="auto"/>
              </w:rPr>
              <w:t>Total stockholders’ equity attributable to Fluence Energy, Inc./ Members’ deficit</w:t>
            </w:r>
          </w:p>
        </w:tc>
        <w:tc>
          <w:tcPr>
            <w:tcW w:w="280" w:type="dxa"/>
            <w:vAlign w:val="bottom"/>
            <w:shd w:val="clear" w:color="auto" w:fill="D2EDFE"/>
          </w:tcPr>
          <w:p>
            <w:pPr>
              <w:spacing w:after="0"/>
              <w:rPr>
                <w:sz w:val="18"/>
                <w:szCs w:val="18"/>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252,547</w:t>
            </w:r>
          </w:p>
        </w:tc>
        <w:tc>
          <w:tcPr>
            <w:tcW w:w="100" w:type="dxa"/>
            <w:vAlign w:val="bottom"/>
            <w:shd w:val="clear" w:color="auto" w:fill="D2EDFE"/>
          </w:tcPr>
          <w:p>
            <w:pPr>
              <w:spacing w:after="0"/>
              <w:rPr>
                <w:sz w:val="18"/>
                <w:szCs w:val="18"/>
                <w:color w:val="auto"/>
              </w:rPr>
            </w:pPr>
          </w:p>
        </w:tc>
        <w:tc>
          <w:tcPr>
            <w:tcW w:w="220" w:type="dxa"/>
            <w:vAlign w:val="bottom"/>
            <w:shd w:val="clear" w:color="auto" w:fill="D2EDFE"/>
          </w:tcPr>
          <w:p>
            <w:pPr>
              <w:spacing w:after="0"/>
              <w:rPr>
                <w:sz w:val="18"/>
                <w:szCs w:val="18"/>
                <w:color w:val="auto"/>
              </w:rPr>
            </w:pPr>
          </w:p>
        </w:tc>
        <w:tc>
          <w:tcPr>
            <w:tcW w:w="14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(173,434)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D2EDFE"/>
            </w:tcBorders>
          </w:tcPr>
          <w:p>
            <w:pPr>
              <w:ind w:left="18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525,553</w:t>
            </w:r>
          </w:p>
        </w:tc>
        <w:tc>
          <w:tcPr>
            <w:tcW w:w="100" w:type="dxa"/>
            <w:vAlign w:val="bottom"/>
            <w:tcBorders>
              <w:bottom w:val="single" w:sz="8" w:color="D2EDF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80" w:type="dxa"/>
            <w:vAlign w:val="bottom"/>
            <w:shd w:val="clear" w:color="auto" w:fill="D2EDFE"/>
          </w:tcPr>
          <w:p>
            <w:pPr>
              <w:ind w:left="20"/>
              <w:spacing w:after="0"/>
              <w:rPr>
                <w:sz w:val="20"/>
                <w:szCs w:val="20"/>
                <w:color w:val="auto"/>
              </w:rPr>
            </w:pPr>
            <w:r>
              <w:rPr>
                <w:rFonts w:ascii="Arial" w:cs="Arial" w:eastAsia="Arial" w:hAnsi="Arial"/>
                <w:sz w:val="16"/>
                <w:szCs w:val="16"/>
                <w:color w:val="auto"/>
              </w:rPr>
              <w:t>Total stockholders’ equity and members’ deficit</w:t>
            </w:r>
          </w:p>
        </w:tc>
        <w:tc>
          <w:tcPr>
            <w:tcW w:w="280" w:type="dxa"/>
            <w:vAlign w:val="bottom"/>
            <w:tcBorders>
              <w:bottom w:val="single" w:sz="8" w:color="auto"/>
            </w:tcBorders>
            <w:shd w:val="clear" w:color="auto" w:fill="D2EDFE"/>
          </w:tcPr>
          <w:p>
            <w:pPr>
              <w:spacing w:after="0"/>
              <w:rPr>
                <w:sz w:val="18"/>
                <w:szCs w:val="18"/>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778,100</w:t>
            </w:r>
          </w:p>
        </w:tc>
        <w:tc>
          <w:tcPr>
            <w:tcW w:w="100" w:type="dxa"/>
            <w:vAlign w:val="bottom"/>
            <w:shd w:val="clear" w:color="auto" w:fill="D2EDFE"/>
          </w:tcPr>
          <w:p>
            <w:pPr>
              <w:spacing w:after="0"/>
              <w:rPr>
                <w:sz w:val="18"/>
                <w:szCs w:val="18"/>
                <w:color w:val="auto"/>
              </w:rPr>
            </w:pPr>
          </w:p>
        </w:tc>
        <w:tc>
          <w:tcPr>
            <w:tcW w:w="220" w:type="dxa"/>
            <w:vAlign w:val="bottom"/>
            <w:tcBorders>
              <w:bottom w:val="single" w:sz="8" w:color="auto"/>
            </w:tcBorders>
            <w:shd w:val="clear" w:color="auto" w:fill="D2EDFE"/>
          </w:tcPr>
          <w:p>
            <w:pPr>
              <w:spacing w:after="0"/>
              <w:rPr>
                <w:sz w:val="18"/>
                <w:szCs w:val="18"/>
                <w:color w:val="auto"/>
              </w:rPr>
            </w:pPr>
          </w:p>
        </w:tc>
        <w:tc>
          <w:tcPr>
            <w:tcW w:w="14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6"/>
                <w:szCs w:val="16"/>
                <w:color w:val="auto"/>
              </w:rPr>
              <w:t>(173,434)</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Total liabilities, stockholders’ equity, members’ deficit, and mezzanine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1,482,654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717,675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125" w:right="339"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77"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December 31,</w:t>
            </w:r>
          </w:p>
        </w:tc>
      </w:tr>
      <w:tr>
        <w:trPr>
          <w:trHeight w:val="187"/>
        </w:trPr>
        <w:tc>
          <w:tcPr>
            <w:tcW w:w="7520" w:type="dxa"/>
            <w:vAlign w:val="bottom"/>
            <w:tcBorders>
              <w:bottom w:val="single" w:sz="8" w:color="D2EDFE"/>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D2EDF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r>
      <w:tr>
        <w:trPr>
          <w:trHeight w:val="224"/>
        </w:trPr>
        <w:tc>
          <w:tcPr>
            <w:tcW w:w="75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D2EDFE"/>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27,054</w:t>
            </w: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97,828</w:t>
            </w:r>
          </w:p>
        </w:tc>
      </w:tr>
      <w:tr>
        <w:trPr>
          <w:trHeight w:val="230"/>
        </w:trPr>
        <w:tc>
          <w:tcPr>
            <w:tcW w:w="75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Revenue from related parties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147,833</w:t>
            </w:r>
          </w:p>
        </w:tc>
        <w:tc>
          <w:tcPr>
            <w:tcW w:w="8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18,405</w:t>
            </w:r>
          </w:p>
        </w:tc>
      </w:tr>
      <w:tr>
        <w:trPr>
          <w:trHeight w:val="223"/>
        </w:trPr>
        <w:tc>
          <w:tcPr>
            <w:tcW w:w="7520" w:type="dxa"/>
            <w:vAlign w:val="bottom"/>
            <w:shd w:val="clear" w:color="auto" w:fill="D2EDFE"/>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174,887</w:t>
            </w: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116,233</w:t>
            </w:r>
          </w:p>
        </w:tc>
      </w:tr>
      <w:tr>
        <w:trPr>
          <w:trHeight w:val="230"/>
        </w:trPr>
        <w:tc>
          <w:tcPr>
            <w:tcW w:w="75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Cost of goods and services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228,036</w:t>
            </w:r>
          </w:p>
        </w:tc>
        <w:tc>
          <w:tcPr>
            <w:tcW w:w="8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111,434</w:t>
            </w:r>
          </w:p>
        </w:tc>
      </w:tr>
      <w:tr>
        <w:trPr>
          <w:trHeight w:val="223"/>
        </w:trPr>
        <w:tc>
          <w:tcPr>
            <w:tcW w:w="7520" w:type="dxa"/>
            <w:vAlign w:val="bottom"/>
            <w:shd w:val="clear" w:color="auto" w:fill="D2EDFE"/>
          </w:tcPr>
          <w:p>
            <w:pPr>
              <w:ind w:left="20"/>
              <w:spacing w:after="0"/>
              <w:rPr>
                <w:sz w:val="20"/>
                <w:szCs w:val="20"/>
                <w:color w:val="auto"/>
              </w:rPr>
            </w:pPr>
            <w:r>
              <w:rPr>
                <w:rFonts w:ascii="Arial" w:cs="Arial" w:eastAsia="Arial" w:hAnsi="Arial"/>
                <w:sz w:val="18"/>
                <w:szCs w:val="18"/>
                <w:color w:val="auto"/>
              </w:rPr>
              <w:t>Gross (loss) profit</w:t>
            </w:r>
          </w:p>
        </w:tc>
        <w:tc>
          <w:tcPr>
            <w:tcW w:w="44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(53,149)</w:t>
            </w: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4,799</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5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10,758</w:t>
            </w: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4,144</w:t>
            </w: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4,741</w:t>
            </w:r>
          </w:p>
        </w:tc>
      </w:tr>
      <w:tr>
        <w:trPr>
          <w:trHeight w:val="230"/>
        </w:trPr>
        <w:tc>
          <w:tcPr>
            <w:tcW w:w="75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31,201</w:t>
            </w: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6,722</w:t>
            </w: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30"/>
        </w:trPr>
        <w:tc>
          <w:tcPr>
            <w:tcW w:w="7520" w:type="dxa"/>
            <w:vAlign w:val="bottom"/>
            <w:shd w:val="clear" w:color="auto" w:fill="D2EDFE"/>
          </w:tcPr>
          <w:p>
            <w:pPr>
              <w:ind w:left="26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D2EDFE"/>
          </w:tcPr>
          <w:p>
            <w:pPr>
              <w:spacing w:after="0"/>
              <w:rPr>
                <w:sz w:val="19"/>
                <w:szCs w:val="19"/>
                <w:color w:val="auto"/>
              </w:rPr>
            </w:pPr>
          </w:p>
        </w:tc>
        <w:tc>
          <w:tcPr>
            <w:tcW w:w="15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75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7520" w:type="dxa"/>
            <w:vAlign w:val="bottom"/>
            <w:shd w:val="clear" w:color="auto" w:fill="D2EDFE"/>
          </w:tcPr>
          <w:p>
            <w:pPr>
              <w:ind w:left="2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auto"/>
            </w:tcBorders>
            <w:shd w:val="clear" w:color="auto" w:fill="D2EDFE"/>
          </w:tcPr>
          <w:p>
            <w:pPr>
              <w:spacing w:after="0"/>
              <w:rPr>
                <w:sz w:val="19"/>
                <w:szCs w:val="19"/>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(111,102)</w:t>
            </w:r>
          </w:p>
        </w:tc>
        <w:tc>
          <w:tcPr>
            <w:tcW w:w="80" w:type="dxa"/>
            <w:vAlign w:val="bottom"/>
            <w:shd w:val="clear" w:color="auto" w:fill="D2EDFE"/>
          </w:tcPr>
          <w:p>
            <w:pPr>
              <w:spacing w:after="0"/>
              <w:rPr>
                <w:sz w:val="19"/>
                <w:szCs w:val="19"/>
                <w:color w:val="auto"/>
              </w:rPr>
            </w:pPr>
          </w:p>
        </w:tc>
        <w:tc>
          <w:tcPr>
            <w:tcW w:w="400" w:type="dxa"/>
            <w:vAlign w:val="bottom"/>
            <w:tcBorders>
              <w:bottom w:val="single" w:sz="8" w:color="auto"/>
            </w:tcBorders>
            <w:shd w:val="clear" w:color="auto" w:fill="D2EDFE"/>
          </w:tcPr>
          <w:p>
            <w:pPr>
              <w:spacing w:after="0"/>
              <w:rPr>
                <w:sz w:val="19"/>
                <w:szCs w:val="19"/>
                <w:color w:val="auto"/>
              </w:rPr>
            </w:pPr>
          </w:p>
        </w:tc>
        <w:tc>
          <w:tcPr>
            <w:tcW w:w="12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(11,811)</w:t>
            </w:r>
          </w:p>
        </w:tc>
      </w:tr>
      <w:tr>
        <w:trPr>
          <w:trHeight w:val="223"/>
        </w:trPr>
        <w:tc>
          <w:tcPr>
            <w:tcW w:w="75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75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D2EDFE"/>
          </w:tcPr>
          <w:p>
            <w:pPr>
              <w:spacing w:after="0"/>
              <w:rPr>
                <w:sz w:val="19"/>
                <w:szCs w:val="19"/>
                <w:color w:val="auto"/>
              </w:rPr>
            </w:pPr>
          </w:p>
        </w:tc>
        <w:tc>
          <w:tcPr>
            <w:tcW w:w="15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(111,460)</w:t>
            </w:r>
          </w:p>
        </w:tc>
        <w:tc>
          <w:tcPr>
            <w:tcW w:w="80" w:type="dxa"/>
            <w:vAlign w:val="bottom"/>
            <w:shd w:val="clear" w:color="auto" w:fill="D2EDFE"/>
          </w:tcPr>
          <w:p>
            <w:pPr>
              <w:spacing w:after="0"/>
              <w:rPr>
                <w:sz w:val="19"/>
                <w:szCs w:val="19"/>
                <w:color w:val="auto"/>
              </w:rPr>
            </w:pPr>
          </w:p>
        </w:tc>
        <w:tc>
          <w:tcPr>
            <w:tcW w:w="400" w:type="dxa"/>
            <w:vAlign w:val="bottom"/>
            <w:tcBorders>
              <w:bottom w:val="single" w:sz="8" w:color="auto"/>
            </w:tcBorders>
            <w:shd w:val="clear" w:color="auto" w:fill="D2EDFE"/>
          </w:tcPr>
          <w:p>
            <w:pPr>
              <w:spacing w:after="0"/>
              <w:rPr>
                <w:sz w:val="19"/>
                <w:szCs w:val="19"/>
                <w:color w:val="auto"/>
              </w:rPr>
            </w:pPr>
          </w:p>
        </w:tc>
        <w:tc>
          <w:tcPr>
            <w:tcW w:w="12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(12,496)</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(82,655)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(12,496)</w:t>
            </w:r>
          </w:p>
        </w:tc>
      </w:tr>
      <w:tr>
        <w:trPr>
          <w:trHeight w:val="45"/>
        </w:trPr>
        <w:tc>
          <w:tcPr>
            <w:tcW w:w="7520" w:type="dxa"/>
            <w:vAlign w:val="bottom"/>
            <w:tcBorders>
              <w:bottom w:val="single" w:sz="8" w:color="D2EDFE"/>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D2EDFE"/>
            </w:tcBorders>
          </w:tcPr>
          <w:p>
            <w:pPr>
              <w:spacing w:after="0"/>
              <w:rPr>
                <w:sz w:val="3"/>
                <w:szCs w:val="3"/>
                <w:color w:val="auto"/>
              </w:rPr>
            </w:pPr>
          </w:p>
        </w:tc>
        <w:tc>
          <w:tcPr>
            <w:tcW w:w="400" w:type="dxa"/>
            <w:vAlign w:val="bottom"/>
            <w:tcBorders>
              <w:bottom w:val="single" w:sz="8" w:color="D2EDFE"/>
            </w:tcBorders>
          </w:tcPr>
          <w:p>
            <w:pPr>
              <w:spacing w:after="0"/>
              <w:rPr>
                <w:sz w:val="3"/>
                <w:szCs w:val="3"/>
                <w:color w:val="auto"/>
              </w:rPr>
            </w:pPr>
          </w:p>
        </w:tc>
        <w:tc>
          <w:tcPr>
            <w:tcW w:w="1280" w:type="dxa"/>
            <w:vAlign w:val="bottom"/>
            <w:tcBorders>
              <w:bottom w:val="single" w:sz="8" w:color="D2EDFE"/>
            </w:tcBorders>
          </w:tcPr>
          <w:p>
            <w:pPr>
              <w:spacing w:after="0"/>
              <w:rPr>
                <w:sz w:val="3"/>
                <w:szCs w:val="3"/>
                <w:color w:val="auto"/>
              </w:rPr>
            </w:pPr>
          </w:p>
        </w:tc>
      </w:tr>
      <w:tr>
        <w:trPr>
          <w:trHeight w:val="215"/>
        </w:trPr>
        <w:tc>
          <w:tcPr>
            <w:tcW w:w="7520" w:type="dxa"/>
            <w:vAlign w:val="bottom"/>
            <w:tcBorders>
              <w:top w:val="single" w:sz="8" w:color="D2EDFE"/>
              <w:bottom w:val="single" w:sz="8" w:color="D2EDFE"/>
            </w:tcBorders>
            <w:shd w:val="clear" w:color="auto" w:fill="D2EDFE"/>
          </w:tcPr>
          <w:p>
            <w:pPr>
              <w:ind w:left="20"/>
              <w:spacing w:after="0" w:line="190" w:lineRule="exact"/>
              <w:rPr>
                <w:sz w:val="20"/>
                <w:szCs w:val="20"/>
                <w:color w:val="auto"/>
              </w:rPr>
            </w:pPr>
            <w:r>
              <w:rPr>
                <w:rFonts w:ascii="Arial" w:cs="Arial" w:eastAsia="Arial" w:hAnsi="Arial"/>
                <w:sz w:val="18"/>
                <w:szCs w:val="18"/>
                <w:color w:val="auto"/>
              </w:rPr>
              <w:t>Net loss attributable to Fluence Energy, Inc.</w:t>
            </w:r>
          </w:p>
        </w:tc>
        <w:tc>
          <w:tcPr>
            <w:tcW w:w="440" w:type="dxa"/>
            <w:vAlign w:val="bottom"/>
            <w:tcBorders>
              <w:top w:val="single" w:sz="8" w:color="D2EDFE"/>
              <w:bottom w:val="single" w:sz="8" w:color="auto"/>
            </w:tcBorders>
            <w:shd w:val="clear" w:color="auto" w:fill="D2EDFE"/>
          </w:tcPr>
          <w:p>
            <w:pPr>
              <w:jc w:val="right"/>
              <w:ind w:right="230"/>
              <w:spacing w:after="0" w:line="190"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D2EDFE"/>
              <w:bottom w:val="single" w:sz="8" w:color="auto"/>
            </w:tcBorders>
            <w:shd w:val="clear" w:color="auto" w:fill="D2EDFE"/>
          </w:tcPr>
          <w:p>
            <w:pPr>
              <w:jc w:val="right"/>
              <w:spacing w:after="0" w:line="190" w:lineRule="exact"/>
              <w:rPr>
                <w:sz w:val="20"/>
                <w:szCs w:val="20"/>
                <w:color w:val="auto"/>
              </w:rPr>
            </w:pPr>
            <w:r>
              <w:rPr>
                <w:rFonts w:ascii="Arial" w:cs="Arial" w:eastAsia="Arial" w:hAnsi="Arial"/>
                <w:sz w:val="18"/>
                <w:szCs w:val="18"/>
                <w:color w:val="auto"/>
              </w:rPr>
              <w:t>(28,805)</w:t>
            </w:r>
          </w:p>
        </w:tc>
        <w:tc>
          <w:tcPr>
            <w:tcW w:w="80" w:type="dxa"/>
            <w:vAlign w:val="bottom"/>
            <w:tcBorders>
              <w:top w:val="single" w:sz="8" w:color="D2EDFE"/>
              <w:bottom w:val="single" w:sz="8" w:color="D2EDFE"/>
            </w:tcBorders>
            <w:shd w:val="clear" w:color="auto" w:fill="D2EDFE"/>
          </w:tcPr>
          <w:p>
            <w:pPr>
              <w:spacing w:after="0"/>
              <w:rPr>
                <w:sz w:val="18"/>
                <w:szCs w:val="18"/>
                <w:color w:val="auto"/>
              </w:rPr>
            </w:pPr>
          </w:p>
        </w:tc>
        <w:tc>
          <w:tcPr>
            <w:tcW w:w="400" w:type="dxa"/>
            <w:vAlign w:val="bottom"/>
            <w:tcBorders>
              <w:top w:val="single" w:sz="8" w:color="auto"/>
              <w:bottom w:val="single" w:sz="8" w:color="D2EDFE"/>
            </w:tcBorders>
            <w:shd w:val="clear" w:color="auto" w:fill="D2EDFE"/>
          </w:tcPr>
          <w:p>
            <w:pPr>
              <w:spacing w:after="0"/>
              <w:rPr>
                <w:sz w:val="18"/>
                <w:szCs w:val="18"/>
                <w:color w:val="auto"/>
              </w:rPr>
            </w:pPr>
          </w:p>
        </w:tc>
        <w:tc>
          <w:tcPr>
            <w:tcW w:w="1280" w:type="dxa"/>
            <w:vAlign w:val="bottom"/>
            <w:tcBorders>
              <w:top w:val="single" w:sz="8" w:color="auto"/>
              <w:bottom w:val="single" w:sz="8" w:color="D2EDFE"/>
            </w:tcBorders>
            <w:shd w:val="clear" w:color="auto" w:fill="D2EDFE"/>
          </w:tcPr>
          <w:p>
            <w:pPr>
              <w:jc w:val="right"/>
              <w:spacing w:after="0" w:line="190" w:lineRule="exact"/>
              <w:rPr>
                <w:sz w:val="20"/>
                <w:szCs w:val="20"/>
                <w:color w:val="auto"/>
              </w:rPr>
            </w:pPr>
            <w:r>
              <w:rPr>
                <w:rFonts w:ascii="Arial" w:cs="Arial" w:eastAsia="Arial" w:hAnsi="Arial"/>
                <w:sz w:val="18"/>
                <w:szCs w:val="18"/>
                <w:color w:val="auto"/>
              </w:rPr>
              <w:t>n/a</w:t>
            </w:r>
          </w:p>
        </w:tc>
      </w:tr>
      <w:tr>
        <w:trPr>
          <w:trHeight w:val="20"/>
        </w:trPr>
        <w:tc>
          <w:tcPr>
            <w:tcW w:w="7520" w:type="dxa"/>
            <w:vAlign w:val="bottom"/>
            <w:tcBorders>
              <w:top w:val="single" w:sz="8" w:color="D2EDFE"/>
            </w:tcBorders>
          </w:tcPr>
          <w:p>
            <w:pPr>
              <w:spacing w:after="0" w:line="20" w:lineRule="exact"/>
              <w:rPr>
                <w:sz w:val="1"/>
                <w:szCs w:val="1"/>
                <w:color w:val="auto"/>
              </w:rPr>
            </w:pPr>
          </w:p>
        </w:tc>
        <w:tc>
          <w:tcPr>
            <w:tcW w:w="440" w:type="dxa"/>
            <w:vAlign w:val="bottom"/>
            <w:tcBorders>
              <w:top w:val="single" w:sz="8" w:color="D2EDFE"/>
              <w:bottom w:val="single" w:sz="8" w:color="auto"/>
            </w:tcBorders>
          </w:tcPr>
          <w:p>
            <w:pPr>
              <w:spacing w:after="0" w:line="20" w:lineRule="exact"/>
              <w:rPr>
                <w:sz w:val="1"/>
                <w:szCs w:val="1"/>
                <w:color w:val="auto"/>
              </w:rPr>
            </w:pPr>
          </w:p>
        </w:tc>
        <w:tc>
          <w:tcPr>
            <w:tcW w:w="152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400" w:type="dxa"/>
            <w:vAlign w:val="bottom"/>
            <w:tcBorders>
              <w:top w:val="single" w:sz="8" w:color="D2EDFE"/>
            </w:tcBorders>
          </w:tcPr>
          <w:p>
            <w:pPr>
              <w:spacing w:after="0" w:line="20" w:lineRule="exact"/>
              <w:rPr>
                <w:sz w:val="1"/>
                <w:szCs w:val="1"/>
                <w:color w:val="auto"/>
              </w:rPr>
            </w:pPr>
          </w:p>
        </w:tc>
        <w:tc>
          <w:tcPr>
            <w:tcW w:w="1280" w:type="dxa"/>
            <w:vAlign w:val="bottom"/>
            <w:tcBorders>
              <w:top w:val="single" w:sz="8" w:color="D2EDFE"/>
            </w:tcBorders>
          </w:tcPr>
          <w:p>
            <w:pPr>
              <w:spacing w:after="0" w:line="20" w:lineRule="exact"/>
              <w:rPr>
                <w:sz w:val="1"/>
                <w:szCs w:val="1"/>
                <w:color w:val="auto"/>
              </w:rPr>
            </w:pPr>
          </w:p>
        </w:tc>
      </w:tr>
      <w:tr>
        <w:trPr>
          <w:trHeight w:val="204"/>
        </w:trPr>
        <w:tc>
          <w:tcPr>
            <w:tcW w:w="7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520" w:type="dxa"/>
            <w:vAlign w:val="bottom"/>
            <w:shd w:val="clear" w:color="auto" w:fill="D2EDFE"/>
          </w:tcPr>
          <w:p>
            <w:pPr>
              <w:ind w:left="20"/>
              <w:spacing w:after="0"/>
              <w:rPr>
                <w:sz w:val="20"/>
                <w:szCs w:val="20"/>
                <w:color w:val="auto"/>
              </w:rPr>
            </w:pPr>
            <w:r>
              <w:rPr>
                <w:rFonts w:ascii="Arial" w:cs="Arial" w:eastAsia="Arial" w:hAnsi="Arial"/>
                <w:sz w:val="18"/>
                <w:szCs w:val="18"/>
                <w:color w:val="auto"/>
              </w:rPr>
              <w:t>Weighted average number of Class A common shares outstanding:</w:t>
            </w:r>
          </w:p>
        </w:tc>
        <w:tc>
          <w:tcPr>
            <w:tcW w:w="440" w:type="dxa"/>
            <w:vAlign w:val="bottom"/>
            <w:shd w:val="clear" w:color="auto" w:fill="D2EDFE"/>
          </w:tcPr>
          <w:p>
            <w:pPr>
              <w:spacing w:after="0"/>
              <w:rPr>
                <w:sz w:val="19"/>
                <w:szCs w:val="19"/>
                <w:color w:val="auto"/>
              </w:rPr>
            </w:pPr>
          </w:p>
        </w:tc>
        <w:tc>
          <w:tcPr>
            <w:tcW w:w="152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280" w:type="dxa"/>
            <w:vAlign w:val="bottom"/>
            <w:shd w:val="clear" w:color="auto" w:fill="D2EDFE"/>
          </w:tcPr>
          <w:p>
            <w:pPr>
              <w:spacing w:after="0"/>
              <w:rPr>
                <w:sz w:val="19"/>
                <w:szCs w:val="19"/>
                <w:color w:val="auto"/>
              </w:rPr>
            </w:pP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54,143,275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7520" w:type="dxa"/>
            <w:vAlign w:val="bottom"/>
            <w:shd w:val="clear" w:color="auto" w:fill="D2EDFE"/>
          </w:tcPr>
          <w:p>
            <w:pPr>
              <w:ind w:left="20"/>
              <w:spacing w:after="0"/>
              <w:rPr>
                <w:sz w:val="20"/>
                <w:szCs w:val="20"/>
                <w:color w:val="auto"/>
              </w:rPr>
            </w:pPr>
            <w:r>
              <w:rPr>
                <w:rFonts w:ascii="Arial" w:cs="Arial" w:eastAsia="Arial" w:hAnsi="Arial"/>
                <w:sz w:val="18"/>
                <w:szCs w:val="18"/>
                <w:color w:val="auto"/>
              </w:rPr>
              <w:t>Loss per share of Class A common stock</w:t>
            </w:r>
          </w:p>
        </w:tc>
        <w:tc>
          <w:tcPr>
            <w:tcW w:w="440" w:type="dxa"/>
            <w:vAlign w:val="bottom"/>
            <w:shd w:val="clear" w:color="auto" w:fill="D2EDFE"/>
          </w:tcPr>
          <w:p>
            <w:pPr>
              <w:spacing w:after="0"/>
              <w:rPr>
                <w:sz w:val="19"/>
                <w:szCs w:val="19"/>
                <w:color w:val="auto"/>
              </w:rPr>
            </w:pPr>
          </w:p>
        </w:tc>
        <w:tc>
          <w:tcPr>
            <w:tcW w:w="152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280" w:type="dxa"/>
            <w:vAlign w:val="bottom"/>
            <w:shd w:val="clear" w:color="auto" w:fill="D2EDFE"/>
          </w:tcPr>
          <w:p>
            <w:pPr>
              <w:spacing w:after="0"/>
              <w:rPr>
                <w:sz w:val="19"/>
                <w:szCs w:val="19"/>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56"/>
        </w:trPr>
        <w:tc>
          <w:tcPr>
            <w:tcW w:w="7520" w:type="dxa"/>
            <w:vAlign w:val="bottom"/>
            <w:shd w:val="clear" w:color="auto" w:fill="D2EDFE"/>
          </w:tcPr>
          <w:p>
            <w:pPr>
              <w:spacing w:after="0"/>
              <w:rPr>
                <w:sz w:val="22"/>
                <w:szCs w:val="22"/>
                <w:color w:val="auto"/>
              </w:rPr>
            </w:pPr>
          </w:p>
        </w:tc>
        <w:tc>
          <w:tcPr>
            <w:tcW w:w="440" w:type="dxa"/>
            <w:vAlign w:val="bottom"/>
            <w:shd w:val="clear" w:color="auto" w:fill="D2EDFE"/>
          </w:tcPr>
          <w:p>
            <w:pPr>
              <w:spacing w:after="0"/>
              <w:rPr>
                <w:sz w:val="22"/>
                <w:szCs w:val="22"/>
                <w:color w:val="auto"/>
              </w:rPr>
            </w:pPr>
          </w:p>
        </w:tc>
        <w:tc>
          <w:tcPr>
            <w:tcW w:w="1520" w:type="dxa"/>
            <w:vAlign w:val="bottom"/>
            <w:shd w:val="clear" w:color="auto" w:fill="D2EDFE"/>
          </w:tcPr>
          <w:p>
            <w:pPr>
              <w:spacing w:after="0"/>
              <w:rPr>
                <w:sz w:val="22"/>
                <w:szCs w:val="22"/>
                <w:color w:val="auto"/>
              </w:rPr>
            </w:pPr>
          </w:p>
        </w:tc>
        <w:tc>
          <w:tcPr>
            <w:tcW w:w="80" w:type="dxa"/>
            <w:vAlign w:val="bottom"/>
            <w:shd w:val="clear" w:color="auto" w:fill="D2EDFE"/>
          </w:tcPr>
          <w:p>
            <w:pPr>
              <w:spacing w:after="0"/>
              <w:rPr>
                <w:sz w:val="22"/>
                <w:szCs w:val="22"/>
                <w:color w:val="auto"/>
              </w:rPr>
            </w:pPr>
          </w:p>
        </w:tc>
        <w:tc>
          <w:tcPr>
            <w:tcW w:w="400" w:type="dxa"/>
            <w:vAlign w:val="bottom"/>
            <w:shd w:val="clear" w:color="auto" w:fill="D2EDFE"/>
          </w:tcPr>
          <w:p>
            <w:pPr>
              <w:spacing w:after="0"/>
              <w:rPr>
                <w:sz w:val="22"/>
                <w:szCs w:val="22"/>
                <w:color w:val="auto"/>
              </w:rPr>
            </w:pPr>
          </w:p>
        </w:tc>
        <w:tc>
          <w:tcPr>
            <w:tcW w:w="1280" w:type="dxa"/>
            <w:vAlign w:val="bottom"/>
            <w:shd w:val="clear" w:color="auto" w:fill="D2EDFE"/>
          </w:tcPr>
          <w:p>
            <w:pPr>
              <w:spacing w:after="0"/>
              <w:rPr>
                <w:sz w:val="22"/>
                <w:szCs w:val="22"/>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w w:val="97"/>
              </w:rPr>
              <w:t>Foreign currency translation gain (loss), net of income tax (expense) benefit of $0 in each period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299</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7520" w:type="dxa"/>
            <w:vAlign w:val="bottom"/>
            <w:tcBorders>
              <w:top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Total other comprehensive income (loss)</w:t>
            </w:r>
          </w:p>
        </w:tc>
        <w:tc>
          <w:tcPr>
            <w:tcW w:w="440" w:type="dxa"/>
            <w:vAlign w:val="bottom"/>
            <w:tcBorders>
              <w:top w:val="single" w:sz="8" w:color="auto"/>
              <w:bottom w:val="single" w:sz="8" w:color="auto"/>
            </w:tcBorders>
            <w:shd w:val="clear" w:color="auto" w:fill="D2EDFE"/>
          </w:tcPr>
          <w:p>
            <w:pPr>
              <w:spacing w:after="0"/>
              <w:rPr>
                <w:sz w:val="19"/>
                <w:szCs w:val="19"/>
                <w:color w:val="auto"/>
              </w:rPr>
            </w:pPr>
          </w:p>
        </w:tc>
        <w:tc>
          <w:tcPr>
            <w:tcW w:w="15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top w:val="single" w:sz="8" w:color="D2EDFE"/>
            </w:tcBorders>
            <w:shd w:val="clear" w:color="auto" w:fill="D2EDFE"/>
          </w:tcPr>
          <w:p>
            <w:pPr>
              <w:spacing w:after="0"/>
              <w:rPr>
                <w:sz w:val="19"/>
                <w:szCs w:val="19"/>
                <w:color w:val="auto"/>
              </w:rPr>
            </w:pPr>
          </w:p>
        </w:tc>
        <w:tc>
          <w:tcPr>
            <w:tcW w:w="400" w:type="dxa"/>
            <w:vAlign w:val="bottom"/>
            <w:tcBorders>
              <w:top w:val="single" w:sz="8" w:color="auto"/>
              <w:bottom w:val="single" w:sz="8" w:color="auto"/>
            </w:tcBorders>
            <w:shd w:val="clear" w:color="auto" w:fill="D2EDFE"/>
          </w:tcPr>
          <w:p>
            <w:pPr>
              <w:spacing w:after="0"/>
              <w:rPr>
                <w:sz w:val="19"/>
                <w:szCs w:val="19"/>
                <w:color w:val="auto"/>
              </w:rPr>
            </w:pPr>
          </w:p>
        </w:tc>
        <w:tc>
          <w:tcPr>
            <w:tcW w:w="12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75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Total comprehensive loss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(111,161)</w:t>
            </w:r>
          </w:p>
        </w:tc>
        <w:tc>
          <w:tcPr>
            <w:tcW w:w="8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(13,347)</w:t>
            </w:r>
          </w:p>
        </w:tc>
      </w:tr>
      <w:tr>
        <w:trPr>
          <w:trHeight w:val="288"/>
        </w:trPr>
        <w:tc>
          <w:tcPr>
            <w:tcW w:w="75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440" w:type="dxa"/>
            <w:vAlign w:val="bottom"/>
            <w:tcBorders>
              <w:bottom w:val="single" w:sz="8" w:color="D2EDFE"/>
            </w:tcBorders>
            <w:shd w:val="clear" w:color="auto" w:fill="D2EDFE"/>
          </w:tcPr>
          <w:p>
            <w:pPr>
              <w:spacing w:after="0"/>
              <w:rPr>
                <w:sz w:val="24"/>
                <w:szCs w:val="24"/>
                <w:color w:val="auto"/>
              </w:rPr>
            </w:pPr>
          </w:p>
        </w:tc>
        <w:tc>
          <w:tcPr>
            <w:tcW w:w="152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(82,570)</w:t>
            </w:r>
          </w:p>
        </w:tc>
        <w:tc>
          <w:tcPr>
            <w:tcW w:w="80" w:type="dxa"/>
            <w:vAlign w:val="bottom"/>
            <w:tcBorders>
              <w:bottom w:val="single" w:sz="8" w:color="D2EDFE"/>
            </w:tcBorders>
            <w:shd w:val="clear" w:color="auto" w:fill="D2EDFE"/>
          </w:tcPr>
          <w:p>
            <w:pPr>
              <w:spacing w:after="0"/>
              <w:rPr>
                <w:sz w:val="24"/>
                <w:szCs w:val="24"/>
                <w:color w:val="auto"/>
              </w:rPr>
            </w:pPr>
          </w:p>
        </w:tc>
        <w:tc>
          <w:tcPr>
            <w:tcW w:w="400" w:type="dxa"/>
            <w:vAlign w:val="bottom"/>
            <w:tcBorders>
              <w:bottom w:val="single" w:sz="8" w:color="auto"/>
            </w:tcBorders>
            <w:shd w:val="clear" w:color="auto" w:fill="D2EDFE"/>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(13,347)</w:t>
            </w:r>
          </w:p>
        </w:tc>
      </w:tr>
      <w:tr>
        <w:trPr>
          <w:trHeight w:val="190"/>
        </w:trPr>
        <w:tc>
          <w:tcPr>
            <w:tcW w:w="7520" w:type="dxa"/>
            <w:vAlign w:val="bottom"/>
            <w:tcBorders>
              <w:top w:val="single" w:sz="8" w:color="D2EDFE"/>
            </w:tcBorders>
          </w:tcPr>
          <w:p>
            <w:pPr>
              <w:ind w:left="20"/>
              <w:spacing w:after="0" w:line="190" w:lineRule="exact"/>
              <w:rPr>
                <w:sz w:val="20"/>
                <w:szCs w:val="20"/>
                <w:color w:val="auto"/>
              </w:rPr>
            </w:pPr>
            <w:r>
              <w:rPr>
                <w:rFonts w:ascii="Arial" w:cs="Arial" w:eastAsia="Arial" w:hAnsi="Arial"/>
                <w:sz w:val="18"/>
                <w:szCs w:val="18"/>
                <w:color w:val="auto"/>
              </w:rPr>
              <w:t>Total comprehensive loss attributable to Fluence Energy, Inc.</w:t>
            </w:r>
          </w:p>
        </w:tc>
        <w:tc>
          <w:tcPr>
            <w:tcW w:w="440" w:type="dxa"/>
            <w:vAlign w:val="bottom"/>
            <w:tcBorders>
              <w:top w:val="single" w:sz="8" w:color="auto"/>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(28,591)</w:t>
            </w:r>
          </w:p>
        </w:tc>
        <w:tc>
          <w:tcPr>
            <w:tcW w:w="80" w:type="dxa"/>
            <w:vAlign w:val="bottom"/>
            <w:tcBorders>
              <w:top w:val="single" w:sz="8" w:color="D2EDFE"/>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n/a</w:t>
            </w:r>
          </w:p>
        </w:tc>
      </w:tr>
      <w:tr>
        <w:trPr>
          <w:trHeight w:val="20"/>
        </w:trPr>
        <w:tc>
          <w:tcPr>
            <w:tcW w:w="7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MEMBERS’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 AND MEZZANINE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share/unit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Class A</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vMerge w:val="restart"/>
          </w:tcPr>
          <w:p>
            <w:pPr>
              <w:jc w:val="right"/>
              <w:ind w:right="213"/>
              <w:spacing w:after="0"/>
              <w:rPr>
                <w:sz w:val="20"/>
                <w:szCs w:val="20"/>
                <w:color w:val="auto"/>
              </w:rPr>
            </w:pPr>
            <w:r>
              <w:rPr>
                <w:rFonts w:ascii="Arial" w:cs="Arial" w:eastAsia="Arial" w:hAnsi="Arial"/>
                <w:sz w:val="13"/>
                <w:szCs w:val="13"/>
                <w:b w:val="1"/>
                <w:bCs w:val="1"/>
                <w:color w:val="auto"/>
              </w:rPr>
              <w:t>Class B-1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72"/>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center"/>
              <w:ind w:right="31"/>
              <w:spacing w:after="0" w:line="122" w:lineRule="exact"/>
              <w:rPr>
                <w:sz w:val="20"/>
                <w:szCs w:val="20"/>
                <w:color w:val="auto"/>
              </w:rPr>
            </w:pPr>
            <w:r>
              <w:rPr>
                <w:rFonts w:ascii="Arial" w:cs="Arial" w:eastAsia="Arial" w:hAnsi="Arial"/>
                <w:sz w:val="13"/>
                <w:szCs w:val="13"/>
                <w:b w:val="1"/>
                <w:bCs w:val="1"/>
                <w:color w:val="auto"/>
                <w:w w:val="92"/>
              </w:rPr>
              <w:t>Members’</w:t>
            </w: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gridSpan w:val="2"/>
            <w:vMerge w:val="restart"/>
          </w:tcPr>
          <w:p>
            <w:pPr>
              <w:jc w:val="center"/>
              <w:spacing w:after="0" w:line="122"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92"/>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660" w:type="dxa"/>
            <w:vAlign w:val="bottom"/>
            <w:vMerge w:val="restart"/>
          </w:tcPr>
          <w:p>
            <w:pPr>
              <w:jc w:val="center"/>
              <w:ind w:right="70"/>
              <w:spacing w:after="0" w:line="122" w:lineRule="exact"/>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4"/>
                <w:szCs w:val="4"/>
                <w:color w:val="auto"/>
              </w:rPr>
            </w:pPr>
          </w:p>
        </w:tc>
        <w:tc>
          <w:tcPr>
            <w:tcW w:w="900" w:type="dxa"/>
            <w:vAlign w:val="bottom"/>
            <w:vMerge w:val="restart"/>
          </w:tcPr>
          <w:p>
            <w:pPr>
              <w:jc w:val="center"/>
              <w:ind w:right="31"/>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6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5"/>
                <w:szCs w:val="5"/>
                <w:color w:val="auto"/>
              </w:rPr>
            </w:pPr>
          </w:p>
        </w:tc>
        <w:tc>
          <w:tcPr>
            <w:tcW w:w="1240" w:type="dxa"/>
            <w:vAlign w:val="bottom"/>
            <w:gridSpan w:val="2"/>
            <w:vMerge w:val="restart"/>
          </w:tcPr>
          <w:p>
            <w:pPr>
              <w:jc w:val="right"/>
              <w:ind w:right="33"/>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ind w:right="71"/>
              <w:spacing w:after="0" w:line="102" w:lineRule="exact"/>
              <w:rPr>
                <w:sz w:val="20"/>
                <w:szCs w:val="20"/>
                <w:color w:val="auto"/>
              </w:rPr>
            </w:pPr>
            <w:r>
              <w:rPr>
                <w:rFonts w:ascii="Arial" w:cs="Arial" w:eastAsia="Arial" w:hAnsi="Arial"/>
                <w:sz w:val="10"/>
                <w:szCs w:val="10"/>
                <w:b w:val="1"/>
                <w:bCs w:val="1"/>
                <w:color w:val="auto"/>
              </w:rPr>
              <w:t>Mezzanine</w:t>
            </w:r>
          </w:p>
        </w:tc>
        <w:tc>
          <w:tcPr>
            <w:tcW w:w="100" w:type="dxa"/>
            <w:vAlign w:val="bottom"/>
          </w:tcPr>
          <w:p>
            <w:pPr>
              <w:spacing w:after="0"/>
              <w:rPr>
                <w:sz w:val="8"/>
                <w:szCs w:val="8"/>
                <w:color w:val="auto"/>
              </w:rPr>
            </w:pPr>
          </w:p>
        </w:tc>
        <w:tc>
          <w:tcPr>
            <w:tcW w:w="860" w:type="dxa"/>
            <w:vAlign w:val="bottom"/>
          </w:tcPr>
          <w:p>
            <w:pPr>
              <w:jc w:val="center"/>
              <w:ind w:right="31"/>
              <w:spacing w:after="0" w:line="102" w:lineRule="exact"/>
              <w:rPr>
                <w:sz w:val="20"/>
                <w:szCs w:val="20"/>
                <w:color w:val="auto"/>
              </w:rPr>
            </w:pPr>
            <w:r>
              <w:rPr>
                <w:rFonts w:ascii="Arial" w:cs="Arial" w:eastAsia="Arial" w:hAnsi="Arial"/>
                <w:sz w:val="10"/>
                <w:szCs w:val="10"/>
                <w:b w:val="1"/>
                <w:bCs w:val="1"/>
                <w:color w:val="auto"/>
              </w:rPr>
              <w:t>capital</w:t>
            </w:r>
          </w:p>
        </w:tc>
        <w:tc>
          <w:tcPr>
            <w:tcW w:w="1260" w:type="dxa"/>
            <w:vAlign w:val="bottom"/>
            <w:tcBorders>
              <w:bottom w:val="single" w:sz="8" w:color="auto"/>
            </w:tcBorders>
            <w:gridSpan w:val="2"/>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2"/>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center"/>
              <w:ind w:right="91"/>
              <w:spacing w:after="0" w:line="102"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8"/>
                <w:szCs w:val="8"/>
                <w:color w:val="auto"/>
              </w:rPr>
            </w:pPr>
          </w:p>
        </w:tc>
        <w:tc>
          <w:tcPr>
            <w:tcW w:w="840" w:type="dxa"/>
            <w:vAlign w:val="bottom"/>
          </w:tcPr>
          <w:p>
            <w:pPr>
              <w:jc w:val="right"/>
              <w:ind w:right="31"/>
              <w:spacing w:after="0" w:line="102"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1000" w:type="dxa"/>
            <w:vAlign w:val="bottom"/>
          </w:tcPr>
          <w:p>
            <w:pPr>
              <w:jc w:val="center"/>
              <w:ind w:right="92"/>
              <w:spacing w:after="0" w:line="102" w:lineRule="exact"/>
              <w:rPr>
                <w:sz w:val="20"/>
                <w:szCs w:val="20"/>
                <w:color w:val="auto"/>
              </w:rPr>
            </w:pPr>
            <w:r>
              <w:rPr>
                <w:rFonts w:ascii="Arial" w:cs="Arial" w:eastAsia="Arial" w:hAnsi="Arial"/>
                <w:sz w:val="10"/>
                <w:szCs w:val="10"/>
                <w:b w:val="1"/>
                <w:bCs w:val="1"/>
                <w:color w:val="auto"/>
              </w:rPr>
              <w:t>Comprehensive</w:t>
            </w:r>
          </w:p>
        </w:tc>
        <w:tc>
          <w:tcPr>
            <w:tcW w:w="8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Controlling</w:t>
            </w:r>
          </w:p>
        </w:tc>
        <w:tc>
          <w:tcPr>
            <w:tcW w:w="120" w:type="dxa"/>
            <w:vAlign w:val="bottom"/>
          </w:tcPr>
          <w:p>
            <w:pPr>
              <w:spacing w:after="0"/>
              <w:rPr>
                <w:sz w:val="8"/>
                <w:szCs w:val="8"/>
                <w:color w:val="auto"/>
              </w:rPr>
            </w:pPr>
          </w:p>
        </w:tc>
        <w:tc>
          <w:tcPr>
            <w:tcW w:w="900" w:type="dxa"/>
            <w:vAlign w:val="bottom"/>
          </w:tcPr>
          <w:p>
            <w:pPr>
              <w:jc w:val="center"/>
              <w:ind w:right="51"/>
              <w:spacing w:after="0" w:line="102" w:lineRule="exact"/>
              <w:rPr>
                <w:sz w:val="20"/>
                <w:szCs w:val="20"/>
                <w:color w:val="auto"/>
              </w:rPr>
            </w:pPr>
            <w:r>
              <w:rPr>
                <w:rFonts w:ascii="Arial" w:cs="Arial" w:eastAsia="Arial" w:hAnsi="Arial"/>
                <w:sz w:val="10"/>
                <w:szCs w:val="10"/>
                <w:b w:val="1"/>
                <w:bCs w:val="1"/>
                <w:color w:val="auto"/>
              </w:rPr>
              <w:t>equity and</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6"/>
              </w:rPr>
              <w:t>contributions</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Shares</w:t>
            </w: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6"/>
              </w:rPr>
              <w:t>(Loss) Income</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5"/>
              </w:rPr>
              <w:t>interest</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members’ deficit</w:t>
            </w:r>
          </w:p>
        </w:tc>
        <w:tc>
          <w:tcPr>
            <w:tcW w:w="0" w:type="dxa"/>
            <w:vAlign w:val="bottom"/>
          </w:tcPr>
          <w:p>
            <w:pPr>
              <w:spacing w:after="0"/>
              <w:rPr>
                <w:sz w:val="1"/>
                <w:szCs w:val="1"/>
                <w:color w:val="auto"/>
              </w:rPr>
            </w:pPr>
          </w:p>
        </w:tc>
      </w:tr>
      <w:tr>
        <w:trPr>
          <w:trHeight w:val="134"/>
        </w:trPr>
        <w:tc>
          <w:tcPr>
            <w:tcW w:w="166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w w:val="95"/>
              </w:rPr>
              <w:t>Balance at September 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117,235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106,152</w:t>
            </w:r>
          </w:p>
        </w:tc>
        <w:tc>
          <w:tcPr>
            <w:tcW w:w="1260" w:type="dxa"/>
            <w:vAlign w:val="bottom"/>
            <w:gridSpan w:val="2"/>
            <w:vMerge w:val="restart"/>
            <w:shd w:val="clear" w:color="auto" w:fill="CCEEFF"/>
          </w:tcPr>
          <w:p>
            <w:pPr>
              <w:jc w:val="right"/>
              <w:ind w:right="153"/>
              <w:spacing w:after="0"/>
              <w:rPr>
                <w:sz w:val="20"/>
                <w:szCs w:val="20"/>
                <w:color w:val="auto"/>
              </w:rPr>
            </w:pPr>
            <w:r>
              <w:rPr>
                <w:rFonts w:ascii="Arial" w:cs="Arial" w:eastAsia="Arial" w:hAnsi="Arial"/>
                <w:sz w:val="14"/>
                <w:szCs w:val="14"/>
                <w:color w:val="auto"/>
              </w:rPr>
              <w:t>— $</w:t>
            </w:r>
          </w:p>
        </w:tc>
        <w:tc>
          <w:tcPr>
            <w:tcW w:w="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33"/>
              <w:spacing w:after="0"/>
              <w:rPr>
                <w:sz w:val="20"/>
                <w:szCs w:val="20"/>
                <w:color w:val="auto"/>
              </w:rPr>
            </w:pPr>
            <w:r>
              <w:rPr>
                <w:rFonts w:ascii="Arial" w:cs="Arial" w:eastAsia="Arial" w:hAnsi="Arial"/>
                <w:sz w:val="14"/>
                <w:szCs w:val="14"/>
                <w:color w:val="auto"/>
              </w:rPr>
              <w:t>— $</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(279,301)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(173,434)</w:t>
            </w: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rPr>
              <w:t>Net loss prior to the</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(20,317)</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(20,317)</w:t>
            </w: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Other comprehensive gain</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prior to the Transactions,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net of income tax expense</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$0</w:t>
            </w: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w w:val="95"/>
              </w:rPr>
              <w:t>Effect of the Organizational</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(117,235)</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(106,152)</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18,493,275</w:t>
            </w:r>
          </w:p>
        </w:tc>
        <w:tc>
          <w:tcPr>
            <w:tcW w:w="30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117,173,390</w:t>
            </w:r>
          </w:p>
        </w:tc>
        <w:tc>
          <w:tcPr>
            <w:tcW w:w="3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(24,091)</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279,301</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(31,899)</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117,235</w:t>
            </w: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Class A</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Common stock in IPO, net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35,650,000</w:t>
            </w:r>
          </w:p>
        </w:tc>
        <w:tc>
          <w:tcPr>
            <w:tcW w:w="3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295,740</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640,022</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935,762</w:t>
            </w: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issuance costs</w:t>
            </w: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w w:val="97"/>
              </w:rPr>
              <w:t>Net loss subsequent to the</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(62,338)</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(91,143)</w:t>
            </w: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Activity under stock</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9,698</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9,698</w:t>
            </w: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w w:val="98"/>
              </w:rPr>
              <w:t>Other comprehensive gain</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rPr>
              <w:t>subsequent to the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Arial" w:cs="Arial" w:eastAsia="Arial" w:hAnsi="Arial"/>
                <w:sz w:val="14"/>
                <w:szCs w:val="14"/>
                <w:color w:val="auto"/>
                <w:w w:val="94"/>
              </w:rPr>
              <w:t>Transactions, net of income</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6"/>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tax expense of $0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6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b w:val="1"/>
                <w:bCs w:val="1"/>
                <w:color w:val="auto"/>
                <w:w w:val="98"/>
              </w:rPr>
              <w:t>Balance at December 31,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54,143,275</w:t>
            </w:r>
          </w:p>
        </w:tc>
        <w:tc>
          <w:tcPr>
            <w:tcW w:w="300" w:type="dxa"/>
            <w:vAlign w:val="bottom"/>
            <w:vMerge w:val="restart"/>
            <w:shd w:val="clear" w:color="auto" w:fill="CCEEFF"/>
          </w:tcPr>
          <w:p>
            <w:pPr>
              <w:jc w:val="right"/>
              <w:ind w:right="153"/>
              <w:spacing w:after="0"/>
              <w:rPr>
                <w:sz w:val="20"/>
                <w:szCs w:val="20"/>
                <w:color w:val="auto"/>
              </w:rPr>
            </w:pPr>
            <w:r>
              <w:rPr>
                <w:rFonts w:ascii="Arial" w:cs="Arial" w:eastAsia="Arial" w:hAnsi="Arial"/>
                <w:sz w:val="14"/>
                <w:szCs w:val="14"/>
                <w:color w:val="auto"/>
                <w:w w:val="76"/>
              </w:rPr>
              <w:t>$</w:t>
            </w:r>
          </w:p>
        </w:tc>
        <w:tc>
          <w:tcPr>
            <w:tcW w:w="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117,173,390</w:t>
            </w: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281,347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(28,805)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525,553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778,100</w:t>
            </w:r>
          </w:p>
        </w:tc>
        <w:tc>
          <w:tcPr>
            <w:tcW w:w="0" w:type="dxa"/>
            <w:vAlign w:val="bottom"/>
          </w:tcPr>
          <w:p>
            <w:pPr>
              <w:spacing w:after="0"/>
              <w:rPr>
                <w:sz w:val="1"/>
                <w:szCs w:val="1"/>
                <w:color w:val="auto"/>
              </w:rPr>
            </w:pPr>
          </w:p>
        </w:tc>
      </w:tr>
      <w:tr>
        <w:trPr>
          <w:trHeight w:val="208"/>
        </w:trPr>
        <w:tc>
          <w:tcPr>
            <w:tcW w:w="1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center"/>
              <w:ind w:right="259"/>
              <w:spacing w:after="0" w:line="175"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246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Limited Members’ Capital</w:t>
            </w:r>
          </w:p>
        </w:tc>
        <w:tc>
          <w:tcPr>
            <w:tcW w:w="340" w:type="dxa"/>
            <w:vAlign w:val="bottom"/>
          </w:tcPr>
          <w:p>
            <w:pPr>
              <w:spacing w:after="0"/>
              <w:rPr>
                <w:sz w:val="14"/>
                <w:szCs w:val="14"/>
                <w:color w:val="auto"/>
              </w:rPr>
            </w:pPr>
          </w:p>
        </w:tc>
        <w:tc>
          <w:tcPr>
            <w:tcW w:w="162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8"/>
              </w:rPr>
              <w:t>Other</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40" w:type="dxa"/>
            <w:vAlign w:val="bottom"/>
          </w:tcPr>
          <w:p>
            <w:pPr>
              <w:spacing w:after="0"/>
              <w:rPr>
                <w:sz w:val="12"/>
                <w:szCs w:val="12"/>
                <w:color w:val="auto"/>
              </w:rPr>
            </w:pPr>
          </w:p>
        </w:tc>
        <w:tc>
          <w:tcPr>
            <w:tcW w:w="2460" w:type="dxa"/>
            <w:vAlign w:val="bottom"/>
            <w:tcBorders>
              <w:bottom w:val="single" w:sz="8" w:color="auto"/>
            </w:tcBorders>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jc w:val="center"/>
              <w:ind w:right="199"/>
              <w:spacing w:after="0" w:line="142" w:lineRule="exact"/>
              <w:rPr>
                <w:sz w:val="20"/>
                <w:szCs w:val="20"/>
                <w:color w:val="auto"/>
              </w:rPr>
            </w:pPr>
            <w:r>
              <w:rPr>
                <w:rFonts w:ascii="Arial" w:cs="Arial" w:eastAsia="Arial" w:hAnsi="Arial"/>
                <w:sz w:val="16"/>
                <w:szCs w:val="16"/>
                <w:b w:val="1"/>
                <w:bCs w:val="1"/>
                <w:color w:val="auto"/>
                <w:w w:val="88"/>
              </w:rPr>
              <w:t>Comprehensive</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Units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0"/>
              </w:rPr>
              <w:t>(Loss) Income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Total Members’ Deficit</w:t>
            </w:r>
          </w:p>
        </w:tc>
        <w:tc>
          <w:tcPr>
            <w:tcW w:w="0" w:type="dxa"/>
            <w:vAlign w:val="bottom"/>
          </w:tcPr>
          <w:p>
            <w:pPr>
              <w:spacing w:after="0"/>
              <w:rPr>
                <w:sz w:val="1"/>
                <w:szCs w:val="1"/>
                <w:color w:val="auto"/>
              </w:rPr>
            </w:pPr>
          </w:p>
        </w:tc>
      </w:tr>
      <w:tr>
        <w:trPr>
          <w:trHeight w:val="212"/>
        </w:trPr>
        <w:tc>
          <w:tcPr>
            <w:tcW w:w="3640" w:type="dxa"/>
            <w:vAlign w:val="bottom"/>
            <w:shd w:val="clear" w:color="auto" w:fill="D2EDFE"/>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260" w:type="dxa"/>
            <w:vAlign w:val="bottom"/>
            <w:shd w:val="clear" w:color="auto" w:fill="D2EDFE"/>
          </w:tcPr>
          <w:p>
            <w:pPr>
              <w:jc w:val="right"/>
              <w:ind w:right="19"/>
              <w:spacing w:after="0"/>
              <w:rPr>
                <w:sz w:val="20"/>
                <w:szCs w:val="20"/>
                <w:color w:val="auto"/>
              </w:rPr>
            </w:pPr>
            <w:r>
              <w:rPr>
                <w:rFonts w:ascii="Arial" w:cs="Arial" w:eastAsia="Arial" w:hAnsi="Arial"/>
                <w:sz w:val="16"/>
                <w:szCs w:val="16"/>
                <w:color w:val="auto"/>
              </w:rPr>
              <w:t>7,920,000</w:t>
            </w:r>
          </w:p>
        </w:tc>
        <w:tc>
          <w:tcPr>
            <w:tcW w:w="260" w:type="dxa"/>
            <w:vAlign w:val="bottom"/>
            <w:shd w:val="clear" w:color="auto" w:fill="D2EDFE"/>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D2EDFE"/>
          </w:tcPr>
          <w:p>
            <w:pPr>
              <w:jc w:val="right"/>
              <w:spacing w:after="0"/>
              <w:rPr>
                <w:sz w:val="20"/>
                <w:szCs w:val="20"/>
                <w:color w:val="auto"/>
              </w:rPr>
            </w:pPr>
            <w:r>
              <w:rPr>
                <w:rFonts w:ascii="Arial" w:cs="Arial" w:eastAsia="Arial" w:hAnsi="Arial"/>
                <w:sz w:val="16"/>
                <w:szCs w:val="16"/>
                <w:color w:val="auto"/>
              </w:rPr>
              <w:t>99,872</w:t>
            </w:r>
          </w:p>
        </w:tc>
        <w:tc>
          <w:tcPr>
            <w:tcW w:w="340" w:type="dxa"/>
            <w:vAlign w:val="bottom"/>
            <w:shd w:val="clear" w:color="auto" w:fill="D2EDFE"/>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2EDFE"/>
          </w:tcPr>
          <w:p>
            <w:pPr>
              <w:jc w:val="right"/>
              <w:ind w:right="39"/>
              <w:spacing w:after="0"/>
              <w:rPr>
                <w:sz w:val="20"/>
                <w:szCs w:val="20"/>
                <w:color w:val="auto"/>
              </w:rPr>
            </w:pPr>
            <w:r>
              <w:rPr>
                <w:rFonts w:ascii="Arial" w:cs="Arial" w:eastAsia="Arial" w:hAnsi="Arial"/>
                <w:sz w:val="16"/>
                <w:szCs w:val="16"/>
                <w:color w:val="auto"/>
              </w:rPr>
              <w:t>201</w:t>
            </w:r>
          </w:p>
        </w:tc>
        <w:tc>
          <w:tcPr>
            <w:tcW w:w="280" w:type="dxa"/>
            <w:vAlign w:val="bottom"/>
            <w:shd w:val="clear" w:color="auto" w:fill="D2EDFE"/>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(117,298)</w:t>
            </w:r>
          </w:p>
        </w:tc>
        <w:tc>
          <w:tcPr>
            <w:tcW w:w="1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(12,496)</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(12,496)</w:t>
            </w:r>
          </w:p>
        </w:tc>
        <w:tc>
          <w:tcPr>
            <w:tcW w:w="0" w:type="dxa"/>
            <w:vAlign w:val="bottom"/>
          </w:tcPr>
          <w:p>
            <w:pPr>
              <w:spacing w:after="0"/>
              <w:rPr>
                <w:sz w:val="1"/>
                <w:szCs w:val="1"/>
                <w:color w:val="auto"/>
              </w:rPr>
            </w:pPr>
          </w:p>
        </w:tc>
      </w:tr>
      <w:tr>
        <w:trPr>
          <w:trHeight w:val="169"/>
        </w:trPr>
        <w:tc>
          <w:tcPr>
            <w:tcW w:w="3640" w:type="dxa"/>
            <w:vAlign w:val="bottom"/>
            <w:shd w:val="clear" w:color="auto" w:fill="D2EDFE"/>
          </w:tcPr>
          <w:p>
            <w:pPr>
              <w:ind w:left="140"/>
              <w:spacing w:after="0" w:line="169" w:lineRule="exact"/>
              <w:rPr>
                <w:sz w:val="20"/>
                <w:szCs w:val="20"/>
                <w:color w:val="auto"/>
              </w:rPr>
            </w:pPr>
            <w:r>
              <w:rPr>
                <w:rFonts w:ascii="Arial" w:cs="Arial" w:eastAsia="Arial" w:hAnsi="Arial"/>
                <w:sz w:val="16"/>
                <w:szCs w:val="16"/>
                <w:color w:val="auto"/>
                <w:w w:val="94"/>
              </w:rPr>
              <w:t>Other comprehensive loss, net of income tax benefit</w:t>
            </w:r>
          </w:p>
        </w:tc>
        <w:tc>
          <w:tcPr>
            <w:tcW w:w="1260" w:type="dxa"/>
            <w:vAlign w:val="bottom"/>
            <w:vMerge w:val="restart"/>
            <w:shd w:val="clear" w:color="auto" w:fill="D2EDFE"/>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D2EDFE"/>
          </w:tcPr>
          <w:p>
            <w:pPr>
              <w:spacing w:after="0"/>
              <w:rPr>
                <w:sz w:val="14"/>
                <w:szCs w:val="14"/>
                <w:color w:val="auto"/>
              </w:rPr>
            </w:pPr>
          </w:p>
        </w:tc>
        <w:tc>
          <w:tcPr>
            <w:tcW w:w="940" w:type="dxa"/>
            <w:vAlign w:val="bottom"/>
            <w:vMerge w:val="restart"/>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D2EDFE"/>
          </w:tcPr>
          <w:p>
            <w:pPr>
              <w:spacing w:after="0"/>
              <w:rPr>
                <w:sz w:val="14"/>
                <w:szCs w:val="14"/>
                <w:color w:val="auto"/>
              </w:rPr>
            </w:pPr>
          </w:p>
        </w:tc>
        <w:tc>
          <w:tcPr>
            <w:tcW w:w="1620" w:type="dxa"/>
            <w:vAlign w:val="bottom"/>
            <w:vMerge w:val="restart"/>
            <w:shd w:val="clear" w:color="auto" w:fill="D2EDFE"/>
          </w:tcPr>
          <w:p>
            <w:pPr>
              <w:jc w:val="right"/>
              <w:spacing w:after="0"/>
              <w:rPr>
                <w:sz w:val="20"/>
                <w:szCs w:val="20"/>
                <w:color w:val="auto"/>
              </w:rPr>
            </w:pPr>
            <w:r>
              <w:rPr>
                <w:rFonts w:ascii="Arial" w:cs="Arial" w:eastAsia="Arial" w:hAnsi="Arial"/>
                <w:sz w:val="16"/>
                <w:szCs w:val="16"/>
                <w:color w:val="auto"/>
              </w:rPr>
              <w:t>(851)</w:t>
            </w:r>
          </w:p>
        </w:tc>
        <w:tc>
          <w:tcPr>
            <w:tcW w:w="280" w:type="dxa"/>
            <w:vAlign w:val="bottom"/>
            <w:shd w:val="clear" w:color="auto" w:fill="D2EDFE"/>
          </w:tcPr>
          <w:p>
            <w:pPr>
              <w:spacing w:after="0"/>
              <w:rPr>
                <w:sz w:val="14"/>
                <w:szCs w:val="14"/>
                <w:color w:val="auto"/>
              </w:rPr>
            </w:pPr>
          </w:p>
        </w:tc>
        <w:tc>
          <w:tcPr>
            <w:tcW w:w="1020" w:type="dxa"/>
            <w:vAlign w:val="bottom"/>
            <w:vMerge w:val="restart"/>
            <w:shd w:val="clear" w:color="auto" w:fill="D2EDFE"/>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D2EDFE"/>
          </w:tcPr>
          <w:p>
            <w:pPr>
              <w:spacing w:after="0"/>
              <w:rPr>
                <w:sz w:val="14"/>
                <w:szCs w:val="14"/>
                <w:color w:val="auto"/>
              </w:rPr>
            </w:pPr>
          </w:p>
        </w:tc>
        <w:tc>
          <w:tcPr>
            <w:tcW w:w="1720" w:type="dxa"/>
            <w:vAlign w:val="bottom"/>
            <w:vMerge w:val="restart"/>
            <w:shd w:val="clear" w:color="auto" w:fill="D2EDFE"/>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auto"/>
            </w:tcBorders>
            <w:shd w:val="clear" w:color="auto" w:fill="D2EDFE"/>
          </w:tcPr>
          <w:p>
            <w:pPr>
              <w:ind w:left="300"/>
              <w:spacing w:after="0"/>
              <w:rPr>
                <w:sz w:val="20"/>
                <w:szCs w:val="20"/>
                <w:color w:val="auto"/>
              </w:rPr>
            </w:pPr>
            <w:r>
              <w:rPr>
                <w:rFonts w:ascii="Arial" w:cs="Arial" w:eastAsia="Arial" w:hAnsi="Arial"/>
                <w:sz w:val="16"/>
                <w:szCs w:val="16"/>
                <w:color w:val="auto"/>
              </w:rPr>
              <w:t>of $0</w:t>
            </w:r>
          </w:p>
        </w:tc>
        <w:tc>
          <w:tcPr>
            <w:tcW w:w="1260" w:type="dxa"/>
            <w:vAlign w:val="bottom"/>
            <w:tcBorders>
              <w:bottom w:val="single" w:sz="8" w:color="auto"/>
            </w:tcBorders>
            <w:vMerge w:val="continue"/>
            <w:shd w:val="clear" w:color="auto" w:fill="D2EDFE"/>
          </w:tcPr>
          <w:p>
            <w:pPr>
              <w:spacing w:after="0"/>
              <w:rPr>
                <w:sz w:val="18"/>
                <w:szCs w:val="18"/>
                <w:color w:val="auto"/>
              </w:rPr>
            </w:pPr>
          </w:p>
        </w:tc>
        <w:tc>
          <w:tcPr>
            <w:tcW w:w="260" w:type="dxa"/>
            <w:vAlign w:val="bottom"/>
            <w:tcBorders>
              <w:bottom w:val="single" w:sz="8" w:color="auto"/>
            </w:tcBorders>
            <w:shd w:val="clear" w:color="auto" w:fill="D2EDFE"/>
          </w:tcPr>
          <w:p>
            <w:pPr>
              <w:spacing w:after="0"/>
              <w:rPr>
                <w:sz w:val="18"/>
                <w:szCs w:val="18"/>
                <w:color w:val="auto"/>
              </w:rPr>
            </w:pPr>
          </w:p>
        </w:tc>
        <w:tc>
          <w:tcPr>
            <w:tcW w:w="940" w:type="dxa"/>
            <w:vAlign w:val="bottom"/>
            <w:tcBorders>
              <w:bottom w:val="single" w:sz="8" w:color="auto"/>
            </w:tcBorders>
            <w:vMerge w:val="continue"/>
            <w:shd w:val="clear" w:color="auto" w:fill="D2EDFE"/>
          </w:tcPr>
          <w:p>
            <w:pPr>
              <w:spacing w:after="0"/>
              <w:rPr>
                <w:sz w:val="18"/>
                <w:szCs w:val="18"/>
                <w:color w:val="auto"/>
              </w:rPr>
            </w:pPr>
          </w:p>
        </w:tc>
        <w:tc>
          <w:tcPr>
            <w:tcW w:w="340" w:type="dxa"/>
            <w:vAlign w:val="bottom"/>
            <w:tcBorders>
              <w:bottom w:val="single" w:sz="8" w:color="auto"/>
            </w:tcBorders>
            <w:shd w:val="clear" w:color="auto" w:fill="D2EDFE"/>
          </w:tcPr>
          <w:p>
            <w:pPr>
              <w:spacing w:after="0"/>
              <w:rPr>
                <w:sz w:val="18"/>
                <w:szCs w:val="18"/>
                <w:color w:val="auto"/>
              </w:rPr>
            </w:pPr>
          </w:p>
        </w:tc>
        <w:tc>
          <w:tcPr>
            <w:tcW w:w="1620" w:type="dxa"/>
            <w:vAlign w:val="bottom"/>
            <w:tcBorders>
              <w:bottom w:val="single" w:sz="8" w:color="auto"/>
            </w:tcBorders>
            <w:vMerge w:val="continue"/>
            <w:shd w:val="clear" w:color="auto" w:fill="D2EDFE"/>
          </w:tcPr>
          <w:p>
            <w:pPr>
              <w:spacing w:after="0"/>
              <w:rPr>
                <w:sz w:val="18"/>
                <w:szCs w:val="18"/>
                <w:color w:val="auto"/>
              </w:rPr>
            </w:pPr>
          </w:p>
        </w:tc>
        <w:tc>
          <w:tcPr>
            <w:tcW w:w="280" w:type="dxa"/>
            <w:vAlign w:val="bottom"/>
            <w:tcBorders>
              <w:bottom w:val="single" w:sz="8" w:color="auto"/>
            </w:tcBorders>
            <w:shd w:val="clear" w:color="auto" w:fill="D2EDFE"/>
          </w:tcPr>
          <w:p>
            <w:pPr>
              <w:spacing w:after="0"/>
              <w:rPr>
                <w:sz w:val="18"/>
                <w:szCs w:val="18"/>
                <w:color w:val="auto"/>
              </w:rPr>
            </w:pPr>
          </w:p>
        </w:tc>
        <w:tc>
          <w:tcPr>
            <w:tcW w:w="1020" w:type="dxa"/>
            <w:vAlign w:val="bottom"/>
            <w:tcBorders>
              <w:bottom w:val="single" w:sz="8" w:color="auto"/>
            </w:tcBorders>
            <w:vMerge w:val="continue"/>
            <w:shd w:val="clear" w:color="auto" w:fill="D2EDFE"/>
          </w:tcPr>
          <w:p>
            <w:pPr>
              <w:spacing w:after="0"/>
              <w:rPr>
                <w:sz w:val="18"/>
                <w:szCs w:val="18"/>
                <w:color w:val="auto"/>
              </w:rPr>
            </w:pPr>
          </w:p>
        </w:tc>
        <w:tc>
          <w:tcPr>
            <w:tcW w:w="160" w:type="dxa"/>
            <w:vAlign w:val="bottom"/>
            <w:tcBorders>
              <w:bottom w:val="single" w:sz="8" w:color="auto"/>
            </w:tcBorders>
            <w:shd w:val="clear" w:color="auto" w:fill="D2EDFE"/>
          </w:tcPr>
          <w:p>
            <w:pPr>
              <w:spacing w:after="0"/>
              <w:rPr>
                <w:sz w:val="18"/>
                <w:szCs w:val="18"/>
                <w:color w:val="auto"/>
              </w:rPr>
            </w:pPr>
          </w:p>
        </w:tc>
        <w:tc>
          <w:tcPr>
            <w:tcW w:w="1720" w:type="dxa"/>
            <w:vAlign w:val="bottom"/>
            <w:tcBorders>
              <w:bottom w:val="single" w:sz="8" w:color="auto"/>
            </w:tcBorders>
            <w:vMerge w:val="continue"/>
            <w:shd w:val="clear" w:color="auto" w:fill="D2EDF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7,920,000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99,872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(30,572)</w:t>
            </w:r>
          </w:p>
        </w:tc>
        <w:tc>
          <w:tcPr>
            <w:tcW w:w="0" w:type="dxa"/>
            <w:vAlign w:val="bottom"/>
          </w:tcPr>
          <w:p>
            <w:pPr>
              <w:spacing w:after="0"/>
              <w:rPr>
                <w:sz w:val="1"/>
                <w:szCs w:val="1"/>
                <w:color w:val="auto"/>
              </w:rPr>
            </w:pPr>
          </w:p>
        </w:tc>
      </w:tr>
      <w:tr>
        <w:trPr>
          <w:trHeight w:val="23"/>
        </w:trPr>
        <w:tc>
          <w:tcPr>
            <w:tcW w:w="3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17"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Three Months Ended</w:t>
      </w:r>
    </w:p>
    <w:p>
      <w:pPr>
        <w:jc w:val="center"/>
        <w:ind w:left="84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20" w:type="dxa"/>
            <w:vAlign w:val="bottom"/>
            <w:tcBorders>
              <w:bottom w:val="single" w:sz="8" w:color="D2EDFE"/>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2EDFE"/>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D2EDFE"/>
          </w:tcPr>
          <w:p>
            <w:pPr>
              <w:spacing w:after="0"/>
              <w:rPr>
                <w:sz w:val="18"/>
                <w:szCs w:val="18"/>
                <w:color w:val="auto"/>
              </w:rPr>
            </w:pPr>
          </w:p>
        </w:tc>
        <w:tc>
          <w:tcPr>
            <w:tcW w:w="104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320" w:type="dxa"/>
            <w:vAlign w:val="bottom"/>
            <w:shd w:val="clear" w:color="auto" w:fill="D2EDFE"/>
          </w:tcPr>
          <w:p>
            <w:pPr>
              <w:spacing w:after="0"/>
              <w:rPr>
                <w:sz w:val="18"/>
                <w:szCs w:val="18"/>
                <w:color w:val="auto"/>
              </w:rPr>
            </w:pPr>
          </w:p>
        </w:tc>
        <w:tc>
          <w:tcPr>
            <w:tcW w:w="1040" w:type="dxa"/>
            <w:vAlign w:val="bottom"/>
            <w:shd w:val="clear" w:color="auto" w:fill="D2EDF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(111,460)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(12,496)</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1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Inventory provision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180"/>
              <w:spacing w:after="0"/>
              <w:rPr>
                <w:sz w:val="20"/>
                <w:szCs w:val="20"/>
                <w:color w:val="auto"/>
              </w:rPr>
            </w:pPr>
            <w:r>
              <w:rPr>
                <w:rFonts w:ascii="Arial" w:cs="Arial" w:eastAsia="Arial" w:hAnsi="Arial"/>
                <w:sz w:val="18"/>
                <w:szCs w:val="18"/>
                <w:color w:val="auto"/>
              </w:rPr>
              <w:t>Stock based compensation expense</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24,877</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Provision (benefit) on loss contracts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Unbilled receivables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(21,961)</w:t>
            </w:r>
          </w:p>
        </w:tc>
        <w:tc>
          <w:tcPr>
            <w:tcW w:w="0" w:type="dxa"/>
            <w:vAlign w:val="bottom"/>
          </w:tcPr>
          <w:p>
            <w:pPr>
              <w:spacing w:after="0"/>
              <w:rPr>
                <w:sz w:val="1"/>
                <w:szCs w:val="1"/>
                <w:color w:val="auto"/>
              </w:rPr>
            </w:pP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Receivables from related parties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(13,857)</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Advances to suppliers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(30,845)</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30"/>
        </w:trPr>
        <w:tc>
          <w:tcPr>
            <w:tcW w:w="842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(141,213)</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8420" w:type="dxa"/>
            <w:vAlign w:val="bottom"/>
          </w:tcPr>
          <w:p>
            <w:pPr>
              <w:ind w:left="52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(59,244)</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(27,353)</w:t>
            </w:r>
          </w:p>
        </w:tc>
        <w:tc>
          <w:tcPr>
            <w:tcW w:w="0" w:type="dxa"/>
            <w:vAlign w:val="bottom"/>
          </w:tcPr>
          <w:p>
            <w:pPr>
              <w:spacing w:after="0"/>
              <w:rPr>
                <w:sz w:val="1"/>
                <w:szCs w:val="1"/>
                <w:color w:val="auto"/>
              </w:rPr>
            </w:pP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Payables and deferred revenue with related parties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26,727</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74,400</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30,609</w:t>
            </w:r>
          </w:p>
        </w:tc>
        <w:tc>
          <w:tcPr>
            <w:tcW w:w="0" w:type="dxa"/>
            <w:vAlign w:val="bottom"/>
          </w:tcPr>
          <w:p>
            <w:pPr>
              <w:spacing w:after="0"/>
              <w:rPr>
                <w:sz w:val="1"/>
                <w:szCs w:val="1"/>
                <w:color w:val="auto"/>
              </w:rPr>
            </w:pP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Current accruals and provisions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110,491</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Taxes payable</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4,872</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30"/>
        </w:trPr>
        <w:tc>
          <w:tcPr>
            <w:tcW w:w="8420" w:type="dxa"/>
            <w:vAlign w:val="bottom"/>
          </w:tcPr>
          <w:p>
            <w:pPr>
              <w:ind w:left="5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5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(58,308)</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Cash paid for business acquisition</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Proceeds from issuance of Class A common stock sold in the IPO, net of underwriting discounts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947,991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 of IPO costs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(5,465)</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Payment of transaction cost related to issuance of membership units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Repayment of promissory notes – related parties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Borrowing from line of credit</w:t>
            </w:r>
          </w:p>
        </w:tc>
        <w:tc>
          <w:tcPr>
            <w:tcW w:w="320" w:type="dxa"/>
            <w:vAlign w:val="bottom"/>
            <w:shd w:val="clear" w:color="auto" w:fill="D2EDFE"/>
          </w:tcPr>
          <w:p>
            <w:pPr>
              <w:spacing w:after="0"/>
              <w:rPr>
                <w:sz w:val="19"/>
                <w:szCs w:val="19"/>
                <w:color w:val="auto"/>
              </w:rPr>
            </w:pPr>
          </w:p>
        </w:tc>
        <w:tc>
          <w:tcPr>
            <w:tcW w:w="1140" w:type="dxa"/>
            <w:vAlign w:val="bottom"/>
            <w:gridSpan w:val="2"/>
            <w:shd w:val="clear" w:color="auto" w:fill="D2EDF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Repayment to line of credit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833,487</w:t>
            </w:r>
          </w:p>
        </w:tc>
        <w:tc>
          <w:tcPr>
            <w:tcW w:w="100" w:type="dxa"/>
            <w:vAlign w:val="bottom"/>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3"/>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641,346</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(56,231)</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38,069</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95,051</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320" w:type="dxa"/>
            <w:vAlign w:val="bottom"/>
            <w:tcBorders>
              <w:bottom w:val="single" w:sz="8" w:color="auto"/>
            </w:tcBorders>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679,415</w:t>
            </w:r>
          </w:p>
        </w:tc>
        <w:tc>
          <w:tcPr>
            <w:tcW w:w="100" w:type="dxa"/>
            <w:vAlign w:val="bottom"/>
            <w:tcBorders>
              <w:bottom w:val="single" w:sz="8" w:color="D2EDFE"/>
            </w:tcBorders>
            <w:shd w:val="clear" w:color="auto" w:fill="D2EDFE"/>
          </w:tcPr>
          <w:p>
            <w:pPr>
              <w:spacing w:after="0"/>
              <w:rPr>
                <w:sz w:val="21"/>
                <w:szCs w:val="21"/>
                <w:color w:val="auto"/>
              </w:rPr>
            </w:pPr>
          </w:p>
        </w:tc>
        <w:tc>
          <w:tcPr>
            <w:tcW w:w="320" w:type="dxa"/>
            <w:vAlign w:val="bottom"/>
            <w:tcBorders>
              <w:bottom w:val="single" w:sz="8" w:color="auto"/>
            </w:tcBorders>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38,820</w:t>
            </w:r>
          </w:p>
        </w:tc>
        <w:tc>
          <w:tcPr>
            <w:tcW w:w="0" w:type="dxa"/>
            <w:vAlign w:val="bottom"/>
          </w:tcPr>
          <w:p>
            <w:pPr>
              <w:spacing w:after="0"/>
              <w:rPr>
                <w:sz w:val="1"/>
                <w:szCs w:val="1"/>
                <w:color w:val="auto"/>
              </w:rPr>
            </w:pPr>
          </w:p>
        </w:tc>
      </w:tr>
      <w:tr>
        <w:trPr>
          <w:trHeight w:val="20"/>
        </w:trPr>
        <w:tc>
          <w:tcPr>
            <w:tcW w:w="8420" w:type="dxa"/>
            <w:vAlign w:val="bottom"/>
            <w:tcBorders>
              <w:top w:val="single" w:sz="8" w:color="D2EDFE"/>
              <w:bottom w:val="single" w:sz="8" w:color="D2EDFE"/>
            </w:tcBorders>
            <w:vMerge w:val="restart"/>
          </w:tcPr>
          <w:p>
            <w:pPr>
              <w:ind w:left="20"/>
              <w:spacing w:after="0"/>
              <w:rPr>
                <w:sz w:val="20"/>
                <w:szCs w:val="20"/>
                <w:color w:val="auto"/>
              </w:rPr>
            </w:pPr>
            <w:r>
              <w:rPr>
                <w:rFonts w:ascii="Arial" w:cs="Arial" w:eastAsia="Arial" w:hAnsi="Arial"/>
                <w:sz w:val="18"/>
                <w:szCs w:val="18"/>
                <w:b w:val="1"/>
                <w:bCs w:val="1"/>
                <w:color w:val="auto"/>
              </w:rPr>
              <w:t>Supplemental Cash Flows Information:</w:t>
            </w:r>
          </w:p>
        </w:tc>
        <w:tc>
          <w:tcPr>
            <w:tcW w:w="320" w:type="dxa"/>
            <w:vAlign w:val="bottom"/>
            <w:tcBorders>
              <w:top w:val="single" w:sz="8" w:color="D2EDFE"/>
              <w:bottom w:val="single" w:sz="8" w:color="auto"/>
            </w:tcBorders>
          </w:tcPr>
          <w:p>
            <w:pPr>
              <w:spacing w:after="0" w:line="20" w:lineRule="exact"/>
              <w:rPr>
                <w:sz w:val="1"/>
                <w:szCs w:val="1"/>
                <w:color w:val="auto"/>
              </w:rPr>
            </w:pPr>
          </w:p>
        </w:tc>
        <w:tc>
          <w:tcPr>
            <w:tcW w:w="10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320" w:type="dxa"/>
            <w:vAlign w:val="bottom"/>
            <w:tcBorders>
              <w:top w:val="single" w:sz="8" w:color="D2EDFE"/>
              <w:bottom w:val="single" w:sz="8" w:color="auto"/>
            </w:tcBorders>
          </w:tcPr>
          <w:p>
            <w:pPr>
              <w:spacing w:after="0" w:line="20" w:lineRule="exact"/>
              <w:rPr>
                <w:sz w:val="1"/>
                <w:szCs w:val="1"/>
                <w:color w:val="auto"/>
              </w:rPr>
            </w:pPr>
          </w:p>
        </w:tc>
        <w:tc>
          <w:tcPr>
            <w:tcW w:w="10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Reclassification of deferred offering costs to additional paid-in capital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IPO costs included in accounts payable</w:t>
            </w:r>
          </w:p>
        </w:tc>
        <w:tc>
          <w:tcPr>
            <w:tcW w:w="32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4,865</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Operations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(this “Report”)</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LLC, with its wholly owned subsidiaries including Fluence Energy GmbH in Germany, Fluence Energy Pty Ltd. in Australia, Fluence Energy Inc. in the Philippines, Fluence Energy Global Production Operation, LLC in Delaware, Fluence Energy Singapore PTE. Ltd. in Singapore, and Fluence BESS India Private Limited, is primarily engaged in the construction and sale of battery-based energy storage products and provides related operational services. Except where the content clearly indicates otherwise, “Fluence,” “we,” “us,” “our” or the “Company” refers to Fluence Energy, Inc. and its wholly owned subsidiaries.</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chief operating decision maker (“CODM”) is its Chief Executive Officer. The Company’s CODM reviews financial information on a condensed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QFH’s Investment on Fluence Energy, LLC</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December 27, 2020, Fluence Energy, LLC entered into an agreement with QIA Florence Holdings LLC (“QFH” or the “Blocker Company”) for a $125.0 million investment. QFH was issued 18,493,275 Class B units of Fluence Energy, LLC. QFH is an affiliate of the Qatar Investment Authority (“QIA”), the sovereign wealth fund of Qatar, and its subsidiaries and affiliates. At September 30, 2021, the investment was recognized at carrying value within mezzanine equity on the consolidated balance sheets. As discussed below under “Initial Public Offering and Related Transactions,” during the three months ended December 31, 2021, QFH elected to convert their Class B units, which is a conversion available to all of the holders of Fluence Energy, LLC Class A and Class B units. Accordingly, as of December 31, 2021, no mezzanine equity is recorded on the condensed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Related Transactions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 2021, the Company completed an initial public offering (the “IPO”) in which it issued and sold 35,650,000 shares of its Class A common stock, par value $0.00001 per share, at the public offering price of $28.00 per share, which includes the exercise by the underwriters of their option to purchase an additional 4,650,000 shares of the Company’s Class A common stock. The net proceeds to the Company from the IPO were $935.8 million, after deducting underwriting discounts and offering expenses payable by the Company.</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consummated the following transactions (the “Organizational Transactions”) in connection with the IPO (collectively with the IPO, the “Transactions”):</w:t>
      </w:r>
    </w:p>
    <w:p>
      <w:pPr>
        <w:spacing w:after="0" w:line="89" w:lineRule="exact"/>
        <w:rPr>
          <w:sz w:val="20"/>
          <w:szCs w:val="20"/>
          <w:color w:val="auto"/>
        </w:rPr>
      </w:pPr>
    </w:p>
    <w:p>
      <w:pPr>
        <w:jc w:val="both"/>
        <w:ind w:left="660" w:hanging="328"/>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amended and restated the existing limited liability company agreement of Fluence Energy, LLC, which became effective prior to the consummation of the IPO, to, among other things, (1) recapitalize all existing ownership interests in Fluence Energy, LLC into 135,666,665 LLC Interests and (2) appoint Fluence Energy, Inc. as the sole managing member of Fluence Energy, LLC upon its acquisition of LLC Interests;</w:t>
      </w:r>
    </w:p>
    <w:p>
      <w:pPr>
        <w:spacing w:after="0" w:line="8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amended and restated Fluence Energy, Inc.’s certificate of incorporation to, among other things, provide (1) for Class A common stock, with each share of our Class A common stock entitling its holder to one vote per share on all matters presented to our stockholders generally, (2) for Class B-1 common stock, with each share of our Class B-1 common stock entitling its holder to five votes per share on all matters presented to our stockholders generally, (3) for Class B-2 common stock, with each share of our Class B-2 common stock entitling its holder to one vote per share on all matters presented to our stockholders generally, and that shares of our Class B-1 and Class B-2 common stock may only be held by the Founders and their respective permitted transferees;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by means of one or more mergers (the “Blocker Mergers”), the Blocker Company and issued to its owner, Qatar Holding LLC (the “Blocker Shareholder”), 18,493,275 shares of our Class A common stock as consideration in the Blocker Mergers;</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issued 117,173,390 shares of our Class B-1 common stock to the Founders, which is equal to the number of LLC Interests held by such Founders, for nominal consideration;</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the net proceeds from the IPO to purchase 35,650,000 newly issued LLC Interests directly from Fluence Energy, LLC at a price per unit equal to the initial public offering price per share of Class A common stock in the IPO less the underwriting discount and estimated offering expenses payable by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Fluence Energy, LLC used the net proceeds from the sale of LLC Interests to Fluence Energy, Inc. to repay all outstanding borrowings under our</w:t>
      </w:r>
    </w:p>
    <w:p>
      <w:pPr>
        <w:spacing w:after="0" w:line="46" w:lineRule="exact"/>
        <w:rPr>
          <w:sz w:val="20"/>
          <w:szCs w:val="20"/>
          <w:color w:val="auto"/>
        </w:rPr>
      </w:pPr>
    </w:p>
    <w:p>
      <w:pPr>
        <w:ind w:left="660"/>
        <w:spacing w:after="0"/>
        <w:tabs>
          <w:tab w:leader="none" w:pos="6480" w:val="left"/>
        </w:tabs>
        <w:rPr>
          <w:sz w:val="20"/>
          <w:szCs w:val="20"/>
          <w:color w:val="auto"/>
        </w:rPr>
      </w:pPr>
      <w:r>
        <w:rPr>
          <w:rFonts w:ascii="Arial" w:cs="Arial" w:eastAsia="Arial" w:hAnsi="Arial"/>
          <w:sz w:val="18"/>
          <w:szCs w:val="18"/>
          <w:color w:val="auto"/>
        </w:rPr>
        <w:t>existing Line of Credit and the Promissory Notes (each as defined in Note 10 -</w:t>
      </w:r>
      <w:r>
        <w:rPr>
          <w:sz w:val="20"/>
          <w:szCs w:val="20"/>
          <w:color w:val="auto"/>
        </w:rPr>
        <w:tab/>
      </w:r>
      <w:r>
        <w:rPr>
          <w:rFonts w:ascii="Arial" w:cs="Arial" w:eastAsia="Arial" w:hAnsi="Arial"/>
          <w:sz w:val="16"/>
          <w:szCs w:val="16"/>
          <w:i w:val="1"/>
          <w:iCs w:val="1"/>
          <w:color w:val="auto"/>
        </w:rPr>
        <w:t xml:space="preserve">Short-term Borrowing </w:t>
      </w:r>
      <w:r>
        <w:rPr>
          <w:rFonts w:ascii="Arial" w:cs="Arial" w:eastAsia="Arial" w:hAnsi="Arial"/>
          <w:sz w:val="16"/>
          <w:szCs w:val="16"/>
          <w:color w:val="auto"/>
        </w:rPr>
        <w:t>);</w:t>
      </w:r>
    </w:p>
    <w:p>
      <w:pPr>
        <w:spacing w:after="0" w:line="130"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AES Grid Stability, Siemens Industry, and the Blockers Shareholder (collectively, the “Continuing Equity Owners”) and Fluence Energy, Inc. have entered into the Stockholders Agreement and the Registration Rights Agreement. Fluence Energy, Inc., Fluence Energy, LLC, and the Founders entered into a tax receivable agreement (the “Tax Receivable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consummation of the Transactions:</w:t>
      </w:r>
    </w:p>
    <w:p>
      <w:pPr>
        <w:spacing w:after="0" w:line="158" w:lineRule="exact"/>
        <w:rPr>
          <w:sz w:val="20"/>
          <w:szCs w:val="20"/>
          <w:color w:val="auto"/>
        </w:rPr>
      </w:pPr>
    </w:p>
    <w:p>
      <w:pPr>
        <w:ind w:left="660" w:hanging="328"/>
        <w:spacing w:after="0" w:line="277"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Fluence Energy, Inc. became a holding company and its principal asset consists of LLC Interests it purchases directly from Fluence Energy, LLC and acquired indirectly from the Blocker Shareholder;</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Fluence Energy, Inc. became the sole managing member of Fluence Energy, LLC and controls the business and affairs of Fluence Energy, LLC and its direct and indirect subsidiaries;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Fluence Energy, Inc. owns, directly or indirectly, 54,143,275 LLC Interests, representing approximately 31.6% of the economic interest in Fluence Energy, LLC;</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Founders own (1) 117,173,390 LLC Interests, representing approximately 68.4% of the economic interest in Fluence Energy, LLC and (2) 117,173,390 shares of Class B-1 common stock of Fluence Energy, Inc., representing approximately 91.5% of the combined voting power of all of Fluence Energy, Inc.’s common stock;</w:t>
      </w:r>
    </w:p>
    <w:p>
      <w:pPr>
        <w:spacing w:after="0" w:line="102" w:lineRule="exact"/>
        <w:rPr>
          <w:rFonts w:ascii="Arial" w:cs="Arial" w:eastAsia="Arial" w:hAnsi="Arial"/>
          <w:sz w:val="18"/>
          <w:szCs w:val="18"/>
          <w:color w:val="auto"/>
        </w:rPr>
      </w:pPr>
    </w:p>
    <w:p>
      <w:pPr>
        <w:jc w:val="both"/>
        <w:ind w:left="660" w:hanging="328"/>
        <w:spacing w:after="0" w:line="291" w:lineRule="auto"/>
        <w:tabs>
          <w:tab w:leader="none" w:pos="655"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Blocker Shareholder owns (1) 18,493,275 shares of Class A common stock of Fluence Energy, Inc., representing approximately 2.9% of the combined voting power of all of Fluence Energy, Inc.’s common stock and approximately 34.2% of the economic interest in Fluence Energy, Inc.,</w:t>
      </w:r>
    </w:p>
    <w:p>
      <w:pPr>
        <w:ind w:left="660" w:right="20" w:hanging="4"/>
        <w:spacing w:after="0" w:line="260" w:lineRule="auto"/>
        <w:tabs>
          <w:tab w:leader="none" w:pos="927" w:val="left"/>
        </w:tabs>
        <w:numPr>
          <w:ilvl w:val="2"/>
          <w:numId w:val="6"/>
        </w:numPr>
        <w:rPr>
          <w:rFonts w:ascii="Arial" w:cs="Arial" w:eastAsia="Arial" w:hAnsi="Arial"/>
          <w:sz w:val="18"/>
          <w:szCs w:val="18"/>
          <w:color w:val="auto"/>
        </w:rPr>
      </w:pPr>
      <w:r>
        <w:rPr>
          <w:rFonts w:ascii="Arial" w:cs="Arial" w:eastAsia="Arial" w:hAnsi="Arial"/>
          <w:sz w:val="18"/>
          <w:szCs w:val="18"/>
          <w:color w:val="auto"/>
        </w:rPr>
        <w:t>directly and indirectly through Fluence Energy, Inc.’s ownership of LLC Interests, approximately 10.8% of the economic interest in Fluence Energy, LLC;</w:t>
      </w:r>
    </w:p>
    <w:p>
      <w:pPr>
        <w:spacing w:after="0" w:line="11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investors in our IPO own (1) 35,650,000 shares of Class A common stock of Fluence Energy, Inc., representing approximately 5.6% of the combined voting power of all of Fluence Energy, Inc.’s common stock and approximately 65.8% of the economic interest in Fluence Energy, Inc., and (2) through Fluence Energy, Inc.’s ownership of LLC Interests, indirectly hold approximately 20.8% of the economic interest in Fluence Energy, LLC; and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have 23,988,372 shares of Class A common stock reserved for issuance pursuant to awards under our incentive compensation plans.</w:t>
      </w:r>
    </w:p>
    <w:p>
      <w:pPr>
        <w:spacing w:after="0" w:line="232" w:lineRule="exact"/>
        <w:rPr>
          <w:rFonts w:ascii="Arial" w:cs="Arial" w:eastAsia="Arial" w:hAnsi="Arial"/>
          <w:sz w:val="17"/>
          <w:szCs w:val="17"/>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the Company beneficially owns a 31.6% interest as of December 31, 2021. For accounting purposes, Fluence Energy, Inc. is considered the primary beneficiary and therefore consolidates the results of Fluence Energy, LLC. Prior to the IPO, Fluence Energy, Inc. had no operations and had no asset or liabilities. Accordingly, financial results, balances, and other information included herein for periods prior to the IPO are reflective of Fluence Energy, LLC.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accompanying condensed consolidated financial statements are prepared in accordance with U.S. generally accepted accounting principles (U.S. GAAP) and under the rules of the Securities and Exchange Commission (SEC). The accompanying condensed consolidated financial statements include the accounts of Fluence Energy Inc. and its subsidiaries. All intercompany balances and transactions have been eliminated in consolidation.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non-controlling interest on the condensed consolidated statement of operations and comprehensive loss represents the portion of earnings or loss attributable to the economic interest in Fluence Energy, LLC, held by the Founders. For the three months ended December 31, 2021, the net loss of Fluence Energy, LLC prior to the date of the Transactions has been attributed to the non-controlling interest, and the net loss of Fluence Energy, LLC subsequent to the date of the Transactions has been allocated between Fluence Energy, Inc. and the non-controlling interest based on the respective ownership percentages of Fluence Energy, LLC held by Fluence Energy, Inc. and the Founders. Non-controlling interest on the condensed consolidated balance sheet represents the portion of net assets of the Company attributable to the Founders, based on the portion of the LLC Interests owned by such shareholders. As of December 31, 2021, the non-controlling interest was 68.4%.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as of December 31, 2021, and for the three months ended December 31, 2021 and 2020 are unaudited. These financial statements should be read in conjunction with the Company’s audited financial statements included in our Annual Report on Form 10-K for the year ended September 30, 2021 (“ 2021 Annual Report”). In our opinion, they reflect all adjustments, including normal recurring items, that are necessary for the fair statement of the Company’s financial position as of December 31, 2021 and the results of its operations and its cash flows for the three months ended December 31, 2021 and 2020. The financial data and other information disclosed in these notes related to the three months ended December 31, 2021 and 2020 are also unaudited. The results for the three months ended December 31, 2021 and 2020 are not necessarily indicative of results for the full year ending September 30, 2022 and 2021, any other interim periods, or any future year or period. The balance sheet as of September 30, 2021 included herein was derived from the audited financial statements as of that date. Certain disclosures have been condensed or omitted from the interim financial statements.</w:t>
      </w:r>
    </w:p>
    <w:p>
      <w:pPr>
        <w:spacing w:after="0" w:line="10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 complete description of our significant accounting policies, refer to Note 2-</w:t>
      </w:r>
      <w:r>
        <w:rPr>
          <w:rFonts w:ascii="Arial" w:cs="Arial" w:eastAsia="Arial" w:hAnsi="Arial"/>
          <w:sz w:val="18"/>
          <w:szCs w:val="18"/>
          <w:i w:val="1"/>
          <w:iCs w:val="1"/>
          <w:color w:val="auto"/>
        </w:rPr>
        <w:t>Summary of Significant Accounting Policies and Estimates</w:t>
      </w:r>
      <w:r>
        <w:rPr>
          <w:rFonts w:ascii="Arial" w:cs="Arial" w:eastAsia="Arial" w:hAnsi="Arial"/>
          <w:sz w:val="18"/>
          <w:szCs w:val="18"/>
          <w:color w:val="auto"/>
        </w:rPr>
        <w:t xml:space="preserve"> on our 2021 Annual Report. We include herein certain updates to those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prior year amounts have been reclassified from “Cost of goods and services” to “Sales and marketing” and “General and administrative” to conform to current period presentation on the condensed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in “Other current assets” and “Other non-current assets” on the Company’s condensed consolidated balance sheets.</w:t>
      </w:r>
    </w:p>
    <w:p>
      <w:pPr>
        <w:spacing w:after="0" w:line="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shown in the Company’s condensed 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top w:val="single" w:sz="8" w:color="auto"/>
              <w:bottom w:val="single" w:sz="8" w:color="auto"/>
            </w:tcBorders>
          </w:tcPr>
          <w:p>
            <w:pPr>
              <w:spacing w:after="0"/>
              <w:rPr>
                <w:sz w:val="17"/>
                <w:szCs w:val="17"/>
                <w:color w:val="auto"/>
              </w:rPr>
            </w:pPr>
          </w:p>
        </w:tc>
      </w:tr>
      <w:tr>
        <w:trPr>
          <w:trHeight w:val="21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632,143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39,506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7,766</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679,415</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38,820</w:t>
            </w:r>
          </w:p>
        </w:tc>
      </w:tr>
      <w:tr>
        <w:trPr>
          <w:trHeight w:val="20"/>
        </w:trPr>
        <w:tc>
          <w:tcPr>
            <w:tcW w:w="8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4"/>
        </w:trPr>
        <w:tc>
          <w:tcPr>
            <w:tcW w:w="8400" w:type="dxa"/>
            <w:vAlign w:val="bottom"/>
          </w:tcPr>
          <w:p>
            <w:pPr>
              <w:ind w:left="55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Restricted cash included in “Other current assets” on the condensed consolidated balance sheets as of December 31, 2021 and 2020 consists of $0.9 million and $0.9 million collateral for credit card program, respectively, and $38.6 million and $0.3 million of collateral for outstanding bank guarantee, respectively. Restricted cash included in “Other non-current assets” as of December 31, 2021 was related to the collateral for outstanding bank guarantee.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is used to classify assets and liabilities based on the observable inputs and unobservable inputs used to value the assets and liabilities: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any recurring Level 3 fair value measurements.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equivalents include term deposits with original maturity of less than three months and are recorded at amortized cost. Fair value of cash equivalents approximates the carrying amount using Level 2 inputs. The carrying amounts of trade receivables, accounts payable and short-term debt obligations approximate fair values due to their short maturities using Level 2 inputs.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1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weighted-average shares of Class A common stock outstanding to give effect to potentially dilutive securities. Shares of our Class B-1 and Class B-2 common stock are not entitled to receive any distributions or dividends and have no rights to convert into Class A common stock. When a common unit of Fluence Energy, LLC is exchanged for, at the Company’s election, cash or Class A common stock by a Founder who holds shares of our Class B-1 or Class B-2 common stock,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 The potentially dilutive securities that were excluded consist of 117,173,390 Class B-1 common shares, 11,294,681 outstanding stock options, 2,170,541 outstanding phantom units, and 670,487 outstanding restricted stock units.</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earnings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the three months ended December 31, 2021. Basic and diluted net loss per share of Class A Common Stock from November 1, 2021 to December 31, 2021 have been computed as follows: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for the three months ended December 31, 2021</w:t>
            </w:r>
          </w:p>
        </w:tc>
        <w:tc>
          <w:tcPr>
            <w:tcW w:w="1920" w:type="dxa"/>
            <w:vAlign w:val="bottom"/>
            <w:tcBorders>
              <w:top w:val="single" w:sz="8" w:color="auto"/>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(111,460)</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Net loss attributable to the non-controlling interest</w:t>
            </w:r>
          </w:p>
        </w:tc>
        <w:tc>
          <w:tcPr>
            <w:tcW w:w="19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(82,655)</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Net loss attributable to Fluence Energy, Inc.</w:t>
            </w:r>
          </w:p>
        </w:tc>
        <w:tc>
          <w:tcPr>
            <w:tcW w:w="32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auto"/>
            </w:tcBorders>
            <w:gridSpan w:val="2"/>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Weighted average number of Class A common shares outstanding, basic and diluted</w:t>
            </w:r>
          </w:p>
        </w:tc>
        <w:tc>
          <w:tcPr>
            <w:tcW w:w="192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54,143,275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Loss per share of Class A common stock, basic and diluted</w:t>
            </w:r>
          </w:p>
        </w:tc>
        <w:tc>
          <w:tcPr>
            <w:tcW w:w="19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507"/>
        </w:trPr>
        <w:tc>
          <w:tcPr>
            <w:tcW w:w="3260" w:type="dxa"/>
            <w:vAlign w:val="bottom"/>
          </w:tcPr>
          <w:p>
            <w:pPr>
              <w:spacing w:after="0"/>
              <w:rPr>
                <w:sz w:val="20"/>
                <w:szCs w:val="20"/>
                <w:color w:val="auto"/>
              </w:rPr>
            </w:pPr>
            <w:r>
              <w:rPr>
                <w:rFonts w:ascii="Arial" w:cs="Arial" w:eastAsia="Arial" w:hAnsi="Arial"/>
                <w:sz w:val="18"/>
                <w:szCs w:val="18"/>
                <w:b w:val="1"/>
                <w:bCs w:val="1"/>
                <w:color w:val="auto"/>
                <w:w w:val="96"/>
              </w:rPr>
              <w:t>Recent Accounting Standards Adopted</w:t>
            </w: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0" w:type="dxa"/>
            <w:vAlign w:val="bottom"/>
            <w:gridSpan w:val="3"/>
          </w:tcPr>
          <w:p>
            <w:pPr>
              <w:ind w:left="340"/>
              <w:spacing w:after="0"/>
              <w:rPr>
                <w:sz w:val="20"/>
                <w:szCs w:val="20"/>
                <w:color w:val="auto"/>
              </w:rPr>
            </w:pPr>
            <w:r>
              <w:rPr>
                <w:rFonts w:ascii="Arial" w:cs="Arial" w:eastAsia="Arial" w:hAnsi="Arial"/>
                <w:sz w:val="18"/>
                <w:szCs w:val="18"/>
                <w:color w:val="auto"/>
              </w:rPr>
              <w:t>No new accounting standards were adopted during the three months ended December 31, 2021.</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Recent Accounting Standards Not Yet Adopted</w:t>
            </w:r>
          </w:p>
        </w:tc>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8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accounting standards not yet adopted:</w:t>
            </w:r>
          </w:p>
        </w:tc>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6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3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Required date of adoption</w:t>
            </w:r>
          </w:p>
        </w:tc>
        <w:tc>
          <w:tcPr>
            <w:tcW w:w="284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4"/>
              </w:rPr>
              <w:t>Effect on the financial statements and other</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line="170" w:lineRule="exact"/>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 842)</w:t>
            </w:r>
          </w:p>
        </w:tc>
        <w:tc>
          <w:tcPr>
            <w:tcW w:w="3220" w:type="dxa"/>
            <w:vAlign w:val="bottom"/>
          </w:tcPr>
          <w:p>
            <w:pPr>
              <w:ind w:left="120"/>
              <w:spacing w:after="0" w:line="170" w:lineRule="exact"/>
              <w:rPr>
                <w:sz w:val="20"/>
                <w:szCs w:val="20"/>
                <w:color w:val="auto"/>
              </w:rPr>
            </w:pPr>
            <w:r>
              <w:rPr>
                <w:rFonts w:ascii="Arial" w:cs="Arial" w:eastAsia="Arial" w:hAnsi="Arial"/>
                <w:sz w:val="18"/>
                <w:szCs w:val="18"/>
                <w:color w:val="auto"/>
                <w:w w:val="95"/>
              </w:rPr>
              <w:t>In February 2016, the FASB issued ASU</w:t>
            </w:r>
          </w:p>
        </w:tc>
        <w:tc>
          <w:tcPr>
            <w:tcW w:w="1920" w:type="dxa"/>
            <w:vAlign w:val="bottom"/>
          </w:tcPr>
          <w:p>
            <w:pPr>
              <w:ind w:left="60"/>
              <w:spacing w:after="0" w:line="170" w:lineRule="exact"/>
              <w:rPr>
                <w:sz w:val="20"/>
                <w:szCs w:val="20"/>
                <w:color w:val="auto"/>
              </w:rPr>
            </w:pPr>
            <w:r>
              <w:rPr>
                <w:rFonts w:ascii="Arial" w:cs="Arial" w:eastAsia="Arial" w:hAnsi="Arial"/>
                <w:sz w:val="18"/>
                <w:szCs w:val="18"/>
                <w:color w:val="auto"/>
                <w:w w:val="99"/>
              </w:rPr>
              <w:t>As an emerging growth</w:t>
            </w:r>
          </w:p>
        </w:tc>
        <w:tc>
          <w:tcPr>
            <w:tcW w:w="2840" w:type="dxa"/>
            <w:vAlign w:val="bottom"/>
          </w:tcPr>
          <w:p>
            <w:pPr>
              <w:ind w:left="60"/>
              <w:spacing w:after="0" w:line="170" w:lineRule="exact"/>
              <w:rPr>
                <w:sz w:val="20"/>
                <w:szCs w:val="20"/>
                <w:color w:val="auto"/>
              </w:rPr>
            </w:pPr>
            <w:r>
              <w:rPr>
                <w:rFonts w:ascii="Arial" w:cs="Arial" w:eastAsia="Arial" w:hAnsi="Arial"/>
                <w:sz w:val="18"/>
                <w:szCs w:val="18"/>
                <w:color w:val="auto"/>
              </w:rPr>
              <w:t>The Company’s existing lease</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3220" w:type="dxa"/>
            <w:vAlign w:val="bottom"/>
          </w:tcPr>
          <w:p>
            <w:pPr>
              <w:ind w:left="80"/>
              <w:spacing w:after="0" w:line="176" w:lineRule="exact"/>
              <w:rPr>
                <w:sz w:val="20"/>
                <w:szCs w:val="20"/>
                <w:color w:val="auto"/>
              </w:rPr>
            </w:pPr>
            <w:r>
              <w:rPr>
                <w:rFonts w:ascii="Arial" w:cs="Arial" w:eastAsia="Arial" w:hAnsi="Arial"/>
                <w:sz w:val="18"/>
                <w:szCs w:val="18"/>
                <w:color w:val="auto"/>
              </w:rPr>
              <w:t>2016-02, which supersedes existing</w:t>
            </w:r>
          </w:p>
        </w:tc>
        <w:tc>
          <w:tcPr>
            <w:tcW w:w="476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7"/>
              </w:rPr>
              <w:t>company, the Company is population is mainly comprised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220" w:type="dxa"/>
            <w:vAlign w:val="bottom"/>
          </w:tcPr>
          <w:p>
            <w:pPr>
              <w:ind w:left="80"/>
              <w:spacing w:after="0" w:line="176" w:lineRule="exact"/>
              <w:rPr>
                <w:sz w:val="20"/>
                <w:szCs w:val="20"/>
                <w:color w:val="auto"/>
              </w:rPr>
            </w:pPr>
            <w:r>
              <w:rPr>
                <w:rFonts w:ascii="Arial" w:cs="Arial" w:eastAsia="Arial" w:hAnsi="Arial"/>
                <w:sz w:val="18"/>
                <w:szCs w:val="18"/>
                <w:color w:val="auto"/>
                <w:w w:val="93"/>
              </w:rPr>
              <w:t>guidance on accounting for leases in ASC</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permitted to defer</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w w:val="91"/>
              </w:rPr>
              <w:t>operating leases for office space. The</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3220" w:type="dxa"/>
            <w:vAlign w:val="bottom"/>
          </w:tcPr>
          <w:p>
            <w:pPr>
              <w:ind w:left="80"/>
              <w:spacing w:after="0" w:line="176" w:lineRule="exact"/>
              <w:rPr>
                <w:sz w:val="20"/>
                <w:szCs w:val="20"/>
                <w:color w:val="auto"/>
              </w:rPr>
            </w:pPr>
            <w:r>
              <w:rPr>
                <w:rFonts w:ascii="Arial" w:cs="Arial" w:eastAsia="Arial" w:hAnsi="Arial"/>
                <w:sz w:val="18"/>
                <w:szCs w:val="18"/>
                <w:color w:val="auto"/>
              </w:rPr>
              <w:t xml:space="preserve">840, </w:t>
            </w:r>
            <w:r>
              <w:rPr>
                <w:rFonts w:ascii="Arial" w:cs="Arial" w:eastAsia="Arial" w:hAnsi="Arial"/>
                <w:sz w:val="18"/>
                <w:szCs w:val="18"/>
                <w:i w:val="1"/>
                <w:iCs w:val="1"/>
                <w:color w:val="auto"/>
              </w:rPr>
              <w:t>Leases</w:t>
            </w:r>
            <w:r>
              <w:rPr>
                <w:rFonts w:ascii="Arial" w:cs="Arial" w:eastAsia="Arial" w:hAnsi="Arial"/>
                <w:sz w:val="18"/>
                <w:szCs w:val="18"/>
                <w:color w:val="auto"/>
              </w:rPr>
              <w:t>. This standard requires all</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adoption until the non-</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w w:val="96"/>
              </w:rPr>
              <w:t>Company is currently evaluating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220" w:type="dxa"/>
            <w:vAlign w:val="bottom"/>
          </w:tcPr>
          <w:p>
            <w:pPr>
              <w:ind w:left="80"/>
              <w:spacing w:after="0" w:line="176" w:lineRule="exact"/>
              <w:rPr>
                <w:sz w:val="20"/>
                <w:szCs w:val="20"/>
                <w:color w:val="auto"/>
              </w:rPr>
            </w:pPr>
            <w:r>
              <w:rPr>
                <w:rFonts w:ascii="Arial" w:cs="Arial" w:eastAsia="Arial" w:hAnsi="Arial"/>
                <w:sz w:val="18"/>
                <w:szCs w:val="18"/>
                <w:color w:val="auto"/>
                <w:w w:val="88"/>
              </w:rPr>
              <w:t>leases to be recognized on the consolidated</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w w:val="92"/>
              </w:rPr>
              <w:t>public company adoption</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w w:val="91"/>
              </w:rPr>
              <w:t>impact of adoption on its consolidated</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514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89"/>
              </w:rPr>
              <w:t>balance sheet. The FASB has issued several date, i.e., annual periods</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3220" w:type="dxa"/>
            <w:vAlign w:val="bottom"/>
          </w:tcPr>
          <w:p>
            <w:pPr>
              <w:ind w:left="80"/>
              <w:spacing w:after="0" w:line="176" w:lineRule="exact"/>
              <w:rPr>
                <w:sz w:val="20"/>
                <w:szCs w:val="20"/>
                <w:color w:val="auto"/>
              </w:rPr>
            </w:pPr>
            <w:r>
              <w:rPr>
                <w:rFonts w:ascii="Arial" w:cs="Arial" w:eastAsia="Arial" w:hAnsi="Arial"/>
                <w:sz w:val="18"/>
                <w:szCs w:val="18"/>
                <w:color w:val="auto"/>
                <w:w w:val="98"/>
              </w:rPr>
              <w:t>amendments to ASU 2016-02, including</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starting after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220" w:type="dxa"/>
            <w:vAlign w:val="bottom"/>
          </w:tcPr>
          <w:p>
            <w:pPr>
              <w:ind w:left="80"/>
              <w:spacing w:after="0" w:line="176" w:lineRule="exact"/>
              <w:rPr>
                <w:sz w:val="20"/>
                <w:szCs w:val="20"/>
                <w:color w:val="auto"/>
              </w:rPr>
            </w:pPr>
            <w:r>
              <w:rPr>
                <w:rFonts w:ascii="Arial" w:cs="Arial" w:eastAsia="Arial" w:hAnsi="Arial"/>
                <w:sz w:val="18"/>
                <w:szCs w:val="18"/>
                <w:color w:val="auto"/>
              </w:rPr>
              <w:t xml:space="preserve">ASU 2018-11,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December 15, 2021.</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3220" w:type="dxa"/>
            <w:vAlign w:val="bottom"/>
          </w:tcPr>
          <w:p>
            <w:pPr>
              <w:ind w:left="80"/>
              <w:spacing w:after="0" w:line="191" w:lineRule="exact"/>
              <w:rPr>
                <w:sz w:val="20"/>
                <w:szCs w:val="20"/>
                <w:color w:val="auto"/>
              </w:rPr>
            </w:pPr>
            <w:r>
              <w:rPr>
                <w:rFonts w:ascii="Arial" w:cs="Arial" w:eastAsia="Arial" w:hAnsi="Arial"/>
                <w:sz w:val="18"/>
                <w:szCs w:val="18"/>
                <w:color w:val="auto"/>
                <w:w w:val="91"/>
              </w:rPr>
              <w:t>Targeted Improvements that introduced an</w:t>
            </w:r>
          </w:p>
        </w:tc>
        <w:tc>
          <w:tcPr>
            <w:tcW w:w="19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-1020445</wp:posOffset>
            </wp:positionV>
            <wp:extent cx="7132320" cy="2717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17800"/>
                    </a:xfrm>
                    <a:prstGeom prst="rect">
                      <a:avLst/>
                    </a:prstGeom>
                    <a:noFill/>
                  </pic:spPr>
                </pic:pic>
              </a:graphicData>
            </a:graphic>
          </wp:anchor>
        </w:drawing>
      </w:r>
    </w:p>
    <w:p>
      <w:pPr>
        <w:ind w:left="3340"/>
        <w:spacing w:after="0" w:line="203" w:lineRule="auto"/>
        <w:rPr>
          <w:sz w:val="20"/>
          <w:szCs w:val="20"/>
          <w:color w:val="auto"/>
        </w:rPr>
      </w:pPr>
      <w:r>
        <w:rPr>
          <w:rFonts w:ascii="Arial" w:cs="Arial" w:eastAsia="Arial" w:hAnsi="Arial"/>
          <w:sz w:val="18"/>
          <w:szCs w:val="18"/>
          <w:color w:val="auto"/>
        </w:rPr>
        <w:t>additional transition method permitting an</w:t>
      </w:r>
    </w:p>
    <w:p>
      <w:pPr>
        <w:ind w:left="3340"/>
        <w:spacing w:after="0" w:line="203" w:lineRule="auto"/>
        <w:rPr>
          <w:sz w:val="20"/>
          <w:szCs w:val="20"/>
          <w:color w:val="auto"/>
        </w:rPr>
      </w:pPr>
      <w:r>
        <w:rPr>
          <w:rFonts w:ascii="Arial" w:cs="Arial" w:eastAsia="Arial" w:hAnsi="Arial"/>
          <w:sz w:val="18"/>
          <w:szCs w:val="18"/>
          <w:color w:val="auto"/>
        </w:rPr>
        <w:t>entity to initially apply the new lease</w:t>
      </w:r>
    </w:p>
    <w:p>
      <w:pPr>
        <w:ind w:left="3340"/>
        <w:spacing w:after="0" w:line="204" w:lineRule="auto"/>
        <w:rPr>
          <w:sz w:val="20"/>
          <w:szCs w:val="20"/>
          <w:color w:val="auto"/>
        </w:rPr>
      </w:pPr>
      <w:r>
        <w:rPr>
          <w:rFonts w:ascii="Arial" w:cs="Arial" w:eastAsia="Arial" w:hAnsi="Arial"/>
          <w:sz w:val="18"/>
          <w:szCs w:val="18"/>
          <w:color w:val="auto"/>
        </w:rPr>
        <w:t>standard at the adoption date and recognize</w:t>
      </w:r>
    </w:p>
    <w:p>
      <w:pPr>
        <w:ind w:left="3340"/>
        <w:spacing w:after="0" w:line="203" w:lineRule="auto"/>
        <w:rPr>
          <w:sz w:val="20"/>
          <w:szCs w:val="20"/>
          <w:color w:val="auto"/>
        </w:rPr>
      </w:pPr>
      <w:r>
        <w:rPr>
          <w:rFonts w:ascii="Arial" w:cs="Arial" w:eastAsia="Arial" w:hAnsi="Arial"/>
          <w:sz w:val="18"/>
          <w:szCs w:val="18"/>
          <w:color w:val="auto"/>
        </w:rPr>
        <w:t>a cumulative-effect adjustment to the</w:t>
      </w:r>
    </w:p>
    <w:p>
      <w:pPr>
        <w:ind w:left="3340"/>
        <w:spacing w:after="0" w:line="204" w:lineRule="auto"/>
        <w:rPr>
          <w:sz w:val="20"/>
          <w:szCs w:val="20"/>
          <w:color w:val="auto"/>
        </w:rPr>
      </w:pPr>
      <w:r>
        <w:rPr>
          <w:rFonts w:ascii="Arial" w:cs="Arial" w:eastAsia="Arial" w:hAnsi="Arial"/>
          <w:sz w:val="18"/>
          <w:szCs w:val="18"/>
          <w:color w:val="auto"/>
        </w:rPr>
        <w:t>opening balance of retained earnings in the</w:t>
      </w:r>
    </w:p>
    <w:p>
      <w:pPr>
        <w:ind w:left="3340"/>
        <w:spacing w:after="0" w:line="203" w:lineRule="auto"/>
        <w:rPr>
          <w:sz w:val="20"/>
          <w:szCs w:val="20"/>
          <w:color w:val="auto"/>
        </w:rPr>
      </w:pPr>
      <w:r>
        <w:rPr>
          <w:rFonts w:ascii="Arial" w:cs="Arial" w:eastAsia="Arial" w:hAnsi="Arial"/>
          <w:sz w:val="18"/>
          <w:szCs w:val="18"/>
          <w:color w:val="auto"/>
        </w:rPr>
        <w:t>period of adoption. ASU 2016-02 includes</w:t>
      </w:r>
    </w:p>
    <w:p>
      <w:pPr>
        <w:ind w:left="3340"/>
        <w:spacing w:after="0" w:line="204" w:lineRule="auto"/>
        <w:rPr>
          <w:sz w:val="20"/>
          <w:szCs w:val="20"/>
          <w:color w:val="auto"/>
        </w:rPr>
      </w:pPr>
      <w:r>
        <w:rPr>
          <w:rFonts w:ascii="Arial" w:cs="Arial" w:eastAsia="Arial" w:hAnsi="Arial"/>
          <w:sz w:val="18"/>
          <w:szCs w:val="18"/>
          <w:color w:val="auto"/>
        </w:rPr>
        <w:t>optional practical expedients intended to</w:t>
      </w:r>
    </w:p>
    <w:p>
      <w:pPr>
        <w:ind w:left="3340"/>
        <w:spacing w:after="0" w:line="203" w:lineRule="auto"/>
        <w:rPr>
          <w:sz w:val="20"/>
          <w:szCs w:val="20"/>
          <w:color w:val="auto"/>
        </w:rPr>
      </w:pPr>
      <w:r>
        <w:rPr>
          <w:rFonts w:ascii="Arial" w:cs="Arial" w:eastAsia="Arial" w:hAnsi="Arial"/>
          <w:sz w:val="18"/>
          <w:szCs w:val="18"/>
          <w:color w:val="auto"/>
        </w:rPr>
        <w:t>reduce the cost and complexity to</w:t>
      </w:r>
    </w:p>
    <w:p>
      <w:pPr>
        <w:ind w:left="3340"/>
        <w:spacing w:after="0" w:line="204" w:lineRule="auto"/>
        <w:rPr>
          <w:sz w:val="20"/>
          <w:szCs w:val="20"/>
          <w:color w:val="auto"/>
        </w:rPr>
      </w:pPr>
      <w:r>
        <w:rPr>
          <w:rFonts w:ascii="Arial" w:cs="Arial" w:eastAsia="Arial" w:hAnsi="Arial"/>
          <w:sz w:val="18"/>
          <w:szCs w:val="18"/>
          <w:color w:val="auto"/>
        </w:rPr>
        <w:t>implement the new lease standard, such as</w:t>
      </w:r>
    </w:p>
    <w:p>
      <w:pPr>
        <w:ind w:left="3340"/>
        <w:spacing w:after="0" w:line="203" w:lineRule="auto"/>
        <w:rPr>
          <w:sz w:val="20"/>
          <w:szCs w:val="20"/>
          <w:color w:val="auto"/>
        </w:rPr>
      </w:pPr>
      <w:r>
        <w:rPr>
          <w:rFonts w:ascii="Arial" w:cs="Arial" w:eastAsia="Arial" w:hAnsi="Arial"/>
          <w:sz w:val="18"/>
          <w:szCs w:val="18"/>
          <w:color w:val="auto"/>
        </w:rPr>
        <w:t>an option to maintain the current lease</w:t>
      </w:r>
    </w:p>
    <w:p>
      <w:pPr>
        <w:ind w:left="3340"/>
        <w:spacing w:after="0" w:line="204" w:lineRule="auto"/>
        <w:rPr>
          <w:sz w:val="20"/>
          <w:szCs w:val="20"/>
          <w:color w:val="auto"/>
        </w:rPr>
      </w:pPr>
      <w:r>
        <w:rPr>
          <w:rFonts w:ascii="Arial" w:cs="Arial" w:eastAsia="Arial" w:hAnsi="Arial"/>
          <w:sz w:val="18"/>
          <w:szCs w:val="18"/>
          <w:color w:val="auto"/>
        </w:rPr>
        <w:t>classification for all existing lease</w:t>
      </w:r>
    </w:p>
    <w:p>
      <w:pPr>
        <w:ind w:left="3340"/>
        <w:spacing w:after="0" w:line="203" w:lineRule="auto"/>
        <w:rPr>
          <w:sz w:val="20"/>
          <w:szCs w:val="20"/>
          <w:color w:val="auto"/>
        </w:rPr>
      </w:pPr>
      <w:r>
        <w:rPr>
          <w:rFonts w:ascii="Arial" w:cs="Arial" w:eastAsia="Arial" w:hAnsi="Arial"/>
          <w:sz w:val="18"/>
          <w:szCs w:val="18"/>
          <w:color w:val="auto"/>
        </w:rPr>
        <w:t>arrangements and the option to use</w:t>
      </w:r>
    </w:p>
    <w:p>
      <w:pPr>
        <w:ind w:left="3340"/>
        <w:spacing w:after="0" w:line="204" w:lineRule="auto"/>
        <w:rPr>
          <w:sz w:val="20"/>
          <w:szCs w:val="20"/>
          <w:color w:val="auto"/>
        </w:rPr>
      </w:pPr>
      <w:r>
        <w:rPr>
          <w:rFonts w:ascii="Arial" w:cs="Arial" w:eastAsia="Arial" w:hAnsi="Arial"/>
          <w:sz w:val="18"/>
          <w:szCs w:val="18"/>
          <w:color w:val="auto"/>
        </w:rPr>
        <w:t>hindsight in evaluating lessee options to</w:t>
      </w:r>
    </w:p>
    <w:p>
      <w:pPr>
        <w:ind w:left="3340"/>
        <w:spacing w:after="0" w:line="203" w:lineRule="auto"/>
        <w:rPr>
          <w:sz w:val="20"/>
          <w:szCs w:val="20"/>
          <w:color w:val="auto"/>
        </w:rPr>
      </w:pPr>
      <w:r>
        <w:rPr>
          <w:rFonts w:ascii="Arial" w:cs="Arial" w:eastAsia="Arial" w:hAnsi="Arial"/>
          <w:sz w:val="18"/>
          <w:szCs w:val="18"/>
          <w:color w:val="auto"/>
        </w:rPr>
        <w:t>extend or terminate a lease. Early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application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33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Required date of adoption</w:t>
            </w:r>
          </w:p>
        </w:tc>
        <w:tc>
          <w:tcPr>
            <w:tcW w:w="28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w w:val="94"/>
              </w:rPr>
              <w:t>Effect on the financial statements and other</w:t>
            </w: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line="170" w:lineRule="exact"/>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w:t>
            </w:r>
          </w:p>
        </w:tc>
        <w:tc>
          <w:tcPr>
            <w:tcW w:w="3300" w:type="dxa"/>
            <w:vAlign w:val="bottom"/>
          </w:tcPr>
          <w:p>
            <w:pPr>
              <w:ind w:left="160"/>
              <w:spacing w:after="0" w:line="170" w:lineRule="exact"/>
              <w:rPr>
                <w:sz w:val="20"/>
                <w:szCs w:val="20"/>
                <w:color w:val="auto"/>
              </w:rPr>
            </w:pPr>
            <w:r>
              <w:rPr>
                <w:rFonts w:ascii="Arial" w:cs="Arial" w:eastAsia="Arial" w:hAnsi="Arial"/>
                <w:sz w:val="18"/>
                <w:szCs w:val="18"/>
                <w:color w:val="auto"/>
                <w:w w:val="96"/>
              </w:rPr>
              <w:t>In February 2016, the FASB issued ASU</w:t>
            </w:r>
          </w:p>
        </w:tc>
        <w:tc>
          <w:tcPr>
            <w:tcW w:w="4760" w:type="dxa"/>
            <w:vAlign w:val="bottom"/>
            <w:gridSpan w:val="2"/>
          </w:tcPr>
          <w:p>
            <w:pPr>
              <w:ind w:left="60"/>
              <w:spacing w:after="0" w:line="170" w:lineRule="exact"/>
              <w:rPr>
                <w:sz w:val="20"/>
                <w:szCs w:val="20"/>
                <w:color w:val="auto"/>
              </w:rPr>
            </w:pPr>
            <w:r>
              <w:rPr>
                <w:rFonts w:ascii="Arial" w:cs="Arial" w:eastAsia="Arial" w:hAnsi="Arial"/>
                <w:sz w:val="18"/>
                <w:szCs w:val="18"/>
                <w:color w:val="auto"/>
                <w:w w:val="92"/>
              </w:rPr>
              <w:t>As an EGC, the Company The Company is currently evaluating</w:t>
            </w: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Credit Losses (Topic 326)</w:t>
            </w: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8"/>
              </w:rPr>
              <w:t>2016-13, which updates the impairment</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is permitted to defer</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the impact of adoption on its</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model for financial assets measured at</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adoption until the non-</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amortized cost, known as the Current</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w w:val="92"/>
              </w:rPr>
              <w:t>public company adoption</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Expected Credit Loss (“CECL”) model.</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w w:val="93"/>
              </w:rPr>
              <w:t>date, i.e., annual periods</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7"/>
              </w:rPr>
              <w:t>For trade and other receivables, held-to-</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w w:val="97"/>
              </w:rPr>
              <w:t>starting after December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7"/>
              </w:rPr>
              <w:t>maturity debt securities, loans and other</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15, 2022.</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1"/>
              </w:rPr>
              <w:t>instruments, entities will be required to use</w:t>
            </w: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a new forward-looking “expected loss”</w:t>
            </w: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model that generally will result in the</w:t>
            </w: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3"/>
              </w:rPr>
              <w:t>earlier recognition of allowance for losses.</w:t>
            </w: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There are various transition methods</w:t>
            </w: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3"/>
              </w:rPr>
              <w:t>available upon adoption. Early adoption is</w:t>
            </w: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permitted.</w:t>
            </w:r>
          </w:p>
        </w:tc>
        <w:tc>
          <w:tcPr>
            <w:tcW w:w="19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line="169" w:lineRule="exact"/>
              <w:rPr>
                <w:sz w:val="20"/>
                <w:szCs w:val="20"/>
                <w:color w:val="auto"/>
              </w:rPr>
            </w:pPr>
            <w:r>
              <w:rPr>
                <w:rFonts w:ascii="Arial" w:cs="Arial" w:eastAsia="Arial" w:hAnsi="Arial"/>
                <w:sz w:val="18"/>
                <w:szCs w:val="18"/>
                <w:color w:val="auto"/>
                <w:w w:val="94"/>
              </w:rPr>
              <w:t xml:space="preserve">ASU 2019-12, </w:t>
            </w:r>
            <w:r>
              <w:rPr>
                <w:rFonts w:ascii="Arial" w:cs="Arial" w:eastAsia="Arial" w:hAnsi="Arial"/>
                <w:sz w:val="18"/>
                <w:szCs w:val="18"/>
                <w:i w:val="1"/>
                <w:iCs w:val="1"/>
                <w:color w:val="auto"/>
                <w:w w:val="94"/>
              </w:rPr>
              <w:t>Income Taxes (Topic 740)</w:t>
            </w:r>
            <w:r>
              <w:rPr>
                <w:rFonts w:ascii="Arial" w:cs="Arial" w:eastAsia="Arial" w:hAnsi="Arial"/>
                <w:sz w:val="18"/>
                <w:szCs w:val="18"/>
                <w:color w:val="auto"/>
                <w:w w:val="94"/>
              </w:rPr>
              <w:t>:</w:t>
            </w:r>
          </w:p>
        </w:tc>
        <w:tc>
          <w:tcPr>
            <w:tcW w:w="3300" w:type="dxa"/>
            <w:vAlign w:val="bottom"/>
          </w:tcPr>
          <w:p>
            <w:pPr>
              <w:ind w:left="160"/>
              <w:spacing w:after="0" w:line="169" w:lineRule="exact"/>
              <w:rPr>
                <w:sz w:val="20"/>
                <w:szCs w:val="20"/>
                <w:color w:val="auto"/>
              </w:rPr>
            </w:pPr>
            <w:r>
              <w:rPr>
                <w:rFonts w:ascii="Arial" w:cs="Arial" w:eastAsia="Arial" w:hAnsi="Arial"/>
                <w:sz w:val="18"/>
                <w:szCs w:val="18"/>
                <w:color w:val="auto"/>
                <w:w w:val="93"/>
              </w:rPr>
              <w:t>In December 2019, the FASB issued ASU</w:t>
            </w:r>
          </w:p>
        </w:tc>
        <w:tc>
          <w:tcPr>
            <w:tcW w:w="4760" w:type="dxa"/>
            <w:vAlign w:val="bottom"/>
            <w:gridSpan w:val="2"/>
          </w:tcPr>
          <w:p>
            <w:pPr>
              <w:ind w:left="60"/>
              <w:spacing w:after="0" w:line="169" w:lineRule="exact"/>
              <w:rPr>
                <w:sz w:val="20"/>
                <w:szCs w:val="20"/>
                <w:color w:val="auto"/>
              </w:rPr>
            </w:pPr>
            <w:r>
              <w:rPr>
                <w:rFonts w:ascii="Arial" w:cs="Arial" w:eastAsia="Arial" w:hAnsi="Arial"/>
                <w:sz w:val="18"/>
                <w:szCs w:val="18"/>
                <w:color w:val="auto"/>
                <w:w w:val="92"/>
              </w:rPr>
              <w:t>As an EGC, the Company The Company is currently evaluating</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Arial" w:cs="Arial" w:eastAsia="Arial" w:hAnsi="Arial"/>
                <w:sz w:val="18"/>
                <w:szCs w:val="18"/>
                <w:color w:val="auto"/>
              </w:rPr>
              <w:t>Simplifying the Accounting for Income</w:t>
            </w:r>
          </w:p>
        </w:tc>
        <w:tc>
          <w:tcPr>
            <w:tcW w:w="522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2019-12, which removes certain exceptions is permitted to defer</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the impact of adoption on its</w:t>
            </w: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Arial" w:cs="Arial" w:eastAsia="Arial" w:hAnsi="Arial"/>
                <w:sz w:val="18"/>
                <w:szCs w:val="18"/>
                <w:color w:val="auto"/>
              </w:rPr>
              <w:t>Taxes</w:t>
            </w: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4"/>
              </w:rPr>
              <w:t>related to the approach for intraperiod tax</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adoption until the non-</w:t>
            </w:r>
          </w:p>
        </w:tc>
        <w:tc>
          <w:tcPr>
            <w:tcW w:w="2840" w:type="dxa"/>
            <w:vAlign w:val="bottom"/>
          </w:tcPr>
          <w:p>
            <w:pPr>
              <w:ind w:left="60"/>
              <w:spacing w:after="0" w:line="176" w:lineRule="exact"/>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allocations, the methodology for</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w w:val="92"/>
              </w:rPr>
              <w:t>public company adoption</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rPr>
              <w:t>calculating income taxes in an interim</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w w:val="93"/>
              </w:rPr>
              <w:t>date, i.e., annual periods</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3"/>
              </w:rPr>
              <w:t>period, and the recognition of deferred tax</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starting December 15,</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2"/>
              </w:rPr>
              <w:t>liabilities for outside basis differences. The</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2021, and for interim</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2"/>
              </w:rPr>
              <w:t>guidance also clarifies and simplifies other</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periods beginning after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7"/>
              </w:rPr>
              <w:t>areas of ASC 740. Certain amendments</w:t>
            </w:r>
          </w:p>
        </w:tc>
        <w:tc>
          <w:tcPr>
            <w:tcW w:w="1920" w:type="dxa"/>
            <w:vAlign w:val="bottom"/>
          </w:tcPr>
          <w:p>
            <w:pPr>
              <w:ind w:left="60"/>
              <w:spacing w:after="0" w:line="176" w:lineRule="exact"/>
              <w:rPr>
                <w:sz w:val="20"/>
                <w:szCs w:val="20"/>
                <w:color w:val="auto"/>
              </w:rPr>
            </w:pPr>
            <w:r>
              <w:rPr>
                <w:rFonts w:ascii="Arial" w:cs="Arial" w:eastAsia="Arial" w:hAnsi="Arial"/>
                <w:sz w:val="18"/>
                <w:szCs w:val="18"/>
                <w:color w:val="auto"/>
              </w:rPr>
              <w:t>December 15, 2022.</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8"/>
                <w:szCs w:val="18"/>
                <w:color w:val="auto"/>
                <w:w w:val="98"/>
              </w:rPr>
              <w:t>must be applied on a prospective basis,</w:t>
            </w: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3300" w:type="dxa"/>
            <w:vAlign w:val="bottom"/>
          </w:tcPr>
          <w:p>
            <w:pPr>
              <w:ind w:left="160"/>
              <w:spacing w:after="0" w:line="191" w:lineRule="exact"/>
              <w:rPr>
                <w:sz w:val="20"/>
                <w:szCs w:val="20"/>
                <w:color w:val="auto"/>
              </w:rPr>
            </w:pPr>
            <w:r>
              <w:rPr>
                <w:rFonts w:ascii="Arial" w:cs="Arial" w:eastAsia="Arial" w:hAnsi="Arial"/>
                <w:sz w:val="18"/>
                <w:szCs w:val="18"/>
                <w:color w:val="auto"/>
                <w:w w:val="93"/>
              </w:rPr>
              <w:t>certain amendments must be applied on a</w:t>
            </w:r>
          </w:p>
        </w:tc>
        <w:tc>
          <w:tcPr>
            <w:tcW w:w="19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-1243330</wp:posOffset>
            </wp:positionV>
            <wp:extent cx="7132320" cy="1937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ind w:left="3340"/>
        <w:spacing w:after="0" w:line="203" w:lineRule="auto"/>
        <w:rPr>
          <w:sz w:val="20"/>
          <w:szCs w:val="20"/>
          <w:color w:val="auto"/>
        </w:rPr>
      </w:pPr>
      <w:r>
        <w:rPr>
          <w:rFonts w:ascii="Arial" w:cs="Arial" w:eastAsia="Arial" w:hAnsi="Arial"/>
          <w:sz w:val="18"/>
          <w:szCs w:val="18"/>
          <w:color w:val="auto"/>
        </w:rPr>
        <w:t>retrospective basis, and certain</w:t>
      </w:r>
    </w:p>
    <w:p>
      <w:pPr>
        <w:ind w:left="3340"/>
        <w:spacing w:after="0" w:line="203" w:lineRule="auto"/>
        <w:rPr>
          <w:sz w:val="20"/>
          <w:szCs w:val="20"/>
          <w:color w:val="auto"/>
        </w:rPr>
      </w:pPr>
      <w:r>
        <w:rPr>
          <w:rFonts w:ascii="Arial" w:cs="Arial" w:eastAsia="Arial" w:hAnsi="Arial"/>
          <w:sz w:val="18"/>
          <w:szCs w:val="18"/>
          <w:color w:val="auto"/>
        </w:rPr>
        <w:t>amendments must be applied on a modified</w:t>
      </w:r>
    </w:p>
    <w:p>
      <w:pPr>
        <w:ind w:left="3340"/>
        <w:spacing w:after="0" w:line="204" w:lineRule="auto"/>
        <w:rPr>
          <w:sz w:val="20"/>
          <w:szCs w:val="20"/>
          <w:color w:val="auto"/>
        </w:rPr>
      </w:pPr>
      <w:r>
        <w:rPr>
          <w:rFonts w:ascii="Arial" w:cs="Arial" w:eastAsia="Arial" w:hAnsi="Arial"/>
          <w:sz w:val="18"/>
          <w:szCs w:val="18"/>
          <w:color w:val="auto"/>
        </w:rPr>
        <w:t>retrospective basis through a cumulative-</w:t>
      </w:r>
    </w:p>
    <w:p>
      <w:pPr>
        <w:ind w:left="3340"/>
        <w:spacing w:after="0" w:line="203" w:lineRule="auto"/>
        <w:rPr>
          <w:sz w:val="20"/>
          <w:szCs w:val="20"/>
          <w:color w:val="auto"/>
        </w:rPr>
      </w:pPr>
      <w:r>
        <w:rPr>
          <w:rFonts w:ascii="Arial" w:cs="Arial" w:eastAsia="Arial" w:hAnsi="Arial"/>
          <w:sz w:val="18"/>
          <w:szCs w:val="18"/>
          <w:color w:val="auto"/>
        </w:rPr>
        <w:t>effect adjustment to retained</w:t>
      </w:r>
    </w:p>
    <w:p>
      <w:pPr>
        <w:ind w:left="3340"/>
        <w:spacing w:after="0" w:line="204" w:lineRule="auto"/>
        <w:rPr>
          <w:sz w:val="20"/>
          <w:szCs w:val="20"/>
          <w:color w:val="auto"/>
        </w:rPr>
      </w:pPr>
      <w:r>
        <w:rPr>
          <w:rFonts w:ascii="Arial" w:cs="Arial" w:eastAsia="Arial" w:hAnsi="Arial"/>
          <w:sz w:val="18"/>
          <w:szCs w:val="18"/>
          <w:color w:val="auto"/>
        </w:rPr>
        <w:t>earnings/(deficit) in the period of adoption.</w:t>
      </w:r>
    </w:p>
    <w:p>
      <w:pPr>
        <w:ind w:left="3340"/>
        <w:spacing w:after="0"/>
        <w:rPr>
          <w:sz w:val="20"/>
          <w:szCs w:val="20"/>
          <w:color w:val="auto"/>
        </w:rPr>
      </w:pPr>
      <w:r>
        <w:rPr>
          <w:rFonts w:ascii="Arial" w:cs="Arial" w:eastAsia="Arial" w:hAnsi="Arial"/>
          <w:sz w:val="18"/>
          <w:szCs w:val="18"/>
          <w:color w:val="auto"/>
        </w:rPr>
        <w:t>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 w:lineRule="exact"/>
        <w:rPr>
          <w:sz w:val="20"/>
          <w:szCs w:val="20"/>
          <w:color w:val="auto"/>
        </w:rPr>
      </w:pPr>
    </w:p>
    <w:p>
      <w:pPr>
        <w:ind w:left="20"/>
        <w:spacing w:after="0" w:line="224" w:lineRule="auto"/>
        <w:rPr>
          <w:sz w:val="20"/>
          <w:szCs w:val="20"/>
          <w:color w:val="auto"/>
        </w:rPr>
      </w:pPr>
      <w:r>
        <w:rPr>
          <w:rFonts w:ascii="Arial" w:cs="Arial" w:eastAsia="Arial" w:hAnsi="Arial"/>
          <w:sz w:val="18"/>
          <w:szCs w:val="18"/>
          <w:color w:val="auto"/>
        </w:rPr>
        <w:t xml:space="preserve">ASU 2020-04, </w:t>
      </w:r>
      <w:r>
        <w:rPr>
          <w:rFonts w:ascii="Arial" w:cs="Arial" w:eastAsia="Arial" w:hAnsi="Arial"/>
          <w:sz w:val="18"/>
          <w:szCs w:val="18"/>
          <w:i w:val="1"/>
          <w:iCs w:val="1"/>
          <w:color w:val="auto"/>
        </w:rPr>
        <w:t>Facilitation of the Effects of</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Rate Reform on Financial Reporting (Topic 848)</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7"/>
          <w:szCs w:val="17"/>
          <w:color w:val="auto"/>
        </w:rPr>
        <w:t>In March 2020, the FASB issued ASU 2020-04, which provides optional expedients and exceptions for applying U.S. GAAP to transactions affected by reference rate (e.g., LIBOR) reform if certain criteria are met, for a limited period of time to ease the potential burden in accounting for (or recognizing the effects of) reference rate reform on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9525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8"/>
          <w:szCs w:val="18"/>
          <w:color w:val="auto"/>
        </w:rPr>
        <w:t>The ASU is effective as of March 12, 2020 through December 31, 2022.</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Arial" w:cs="Arial" w:eastAsia="Arial" w:hAnsi="Arial"/>
          <w:sz w:val="16"/>
          <w:szCs w:val="16"/>
          <w:color w:val="auto"/>
        </w:rPr>
        <w:t>The Company is currently evaluating transactions or contract modifications occurring as a result of reference rate reform and determining whether to apply the optional guidance on an ongoing basis. The ASU is currently not expected to have a material impact on our consolidated financial statements.</w:t>
      </w:r>
    </w:p>
    <w:p>
      <w:pPr>
        <w:spacing w:after="0" w:line="377" w:lineRule="exact"/>
        <w:rPr>
          <w:sz w:val="20"/>
          <w:szCs w:val="20"/>
          <w:color w:val="auto"/>
        </w:rPr>
      </w:pPr>
    </w:p>
    <w:p>
      <w:pPr>
        <w:sectPr>
          <w:pgSz w:w="11900" w:h="16838" w:orient="portrait"/>
          <w:cols w:equalWidth="0" w:num="4">
            <w:col w:w="3140" w:space="200"/>
            <w:col w:w="3100" w:space="100"/>
            <w:col w:w="1700" w:space="220"/>
            <w:col w:w="2780"/>
          </w:cols>
          <w:pgMar w:left="320" w:top="125"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Company’s revenue disaggregated by geographical region. Revenues are attributed to regions based on location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(North, Central and South America)</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141,833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44,152</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APAC (Asia Pacific)</w:t>
            </w:r>
          </w:p>
        </w:tc>
        <w:tc>
          <w:tcPr>
            <w:tcW w:w="420" w:type="dxa"/>
            <w:vAlign w:val="bottom"/>
          </w:tcPr>
          <w:p>
            <w:pPr>
              <w:spacing w:after="0"/>
              <w:rPr>
                <w:sz w:val="19"/>
                <w:szCs w:val="19"/>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16,809</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62,398</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 (Europe, Middle-East and Africa)</w:t>
            </w: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16,245</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174,887</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w:t>
            </w:r>
          </w:p>
        </w:tc>
        <w:tc>
          <w:tcPr>
            <w:tcW w:w="0" w:type="dxa"/>
            <w:vAlign w:val="bottom"/>
          </w:tcPr>
          <w:p>
            <w:pPr>
              <w:spacing w:after="0"/>
              <w:rPr>
                <w:sz w:val="1"/>
                <w:szCs w:val="1"/>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06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vMerge w:val="continue"/>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71,365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87,800</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Revenue recognized related to amounts that were included in beginning balance of deferred revenue</w:t>
            </w:r>
          </w:p>
        </w:tc>
        <w:tc>
          <w:tcPr>
            <w:tcW w:w="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(13,400)</w:t>
            </w: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end of period</w:t>
            </w:r>
          </w:p>
        </w:tc>
        <w:tc>
          <w:tcPr>
            <w:tcW w:w="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145,765</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from related parties beginning of period</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87,543</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Revenue recognized related to amounts that were included in beginning balance of deferred revenue</w:t>
            </w:r>
          </w:p>
        </w:tc>
        <w:tc>
          <w:tcPr>
            <w:tcW w:w="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(107,580)</w:t>
            </w:r>
          </w:p>
        </w:tc>
        <w:tc>
          <w:tcPr>
            <w:tcW w:w="4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from related parties end of period</w:t>
            </w:r>
          </w:p>
        </w:tc>
        <w:tc>
          <w:tcPr>
            <w:tcW w:w="4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200,085</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December 31, 2021, the Company had one customer that accounted for 84% of total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December 31, 2020, the Company had two customers, in the aggregate, that accounted for 72% of the total 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limited number of suppliers of batteries, which is a major component of energy storage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its services and their payments to the Company.</w:t>
      </w:r>
    </w:p>
    <w:p>
      <w:pPr>
        <w:spacing w:after="0" w:line="1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the Company had a total of $1,921.0 million of remaining performance obligations related to our contract commitments, of which we expect to recognize 90% in revenue in the next five years and the remainder after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and September 30, 2021, the transaction prices of our active energy solution contracts have been reduced to reflect variable consideration of $60.1 million and $52.8 million,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Business Combinations</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October 2020, the Company acquired the assets and assumed the liabilities of a US based software and digital intelligence platform. The Company expects the acquisition will offer new capabilities, amplify and extend the Company’s energy storage product line, enabling customers to maximize the value of energy storage and renewables while accelerating grid decarbonization. The acquisition price of $18.0 million was fully paid with cash, and was adjusted for an immaterial amount to account for changes in net working capital adjustments. The acquisition represents a business combination. the Company included the financial results of the acquisition in its consolidated financial statements from the date of acquisition. Transaction costs associated with the acquisition were not significant and were expensed as incurred. The following table summarizes the aggregate fair values and estimated useful lives of the assets acquired and liabilities assumed, as of the date of the acquisition.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8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Fair Value</w:t>
            </w:r>
          </w:p>
        </w:tc>
        <w:tc>
          <w:tcPr>
            <w:tcW w:w="2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Estimated Useful Life</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 Developed technology</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12,600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Intangible assets - Customer relationships</w:t>
            </w:r>
          </w:p>
        </w:tc>
        <w:tc>
          <w:tcPr>
            <w:tcW w:w="2280" w:type="dxa"/>
            <w:vAlign w:val="bottom"/>
          </w:tcPr>
          <w:p>
            <w:pPr>
              <w:spacing w:after="0"/>
              <w:rPr>
                <w:sz w:val="19"/>
                <w:szCs w:val="19"/>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780</w:t>
            </w:r>
          </w:p>
        </w:tc>
        <w:tc>
          <w:tcPr>
            <w:tcW w:w="224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r>
        <w:trPr>
          <w:trHeight w:val="22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2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4,449</w:t>
            </w:r>
          </w:p>
        </w:tc>
        <w:tc>
          <w:tcPr>
            <w:tcW w:w="224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acquisition</w:t>
            </w:r>
          </w:p>
        </w:tc>
        <w:tc>
          <w:tcPr>
            <w:tcW w:w="2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18,000</w:t>
            </w:r>
          </w:p>
        </w:tc>
        <w:tc>
          <w:tcPr>
            <w:tcW w:w="2240" w:type="dxa"/>
            <w:vAlign w:val="bottom"/>
            <w:tcBorders>
              <w:bottom w:val="single" w:sz="8" w:color="auto"/>
            </w:tcBorders>
            <w:shd w:val="clear" w:color="auto" w:fill="CCEEFF"/>
          </w:tcPr>
          <w:p>
            <w:pPr>
              <w:spacing w:after="0"/>
              <w:rPr>
                <w:sz w:val="19"/>
                <w:szCs w:val="19"/>
                <w:color w:val="auto"/>
              </w:rPr>
            </w:pP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developed technology was determined using the multi-period excess earnings method as developed technology is considered to be the primary revenue-generating identifiable intangible asset acquired in the acquisition. The fair value assigned to assets acquired and liabilities assumed are based on management’s estimates and assumptions.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goodwill is primarily attributed to the expanded market opportunities when integrating the acquired entity’s technology with the Company’s technology and the assembled workforce. The excess of the acquisition price over the fair value of assets acquired and liabilities assumed was recorded to goodwill. The Company expects such goodwill to be deductible for income tax purposes. Purchase accounting adjustments related to the acquisition have been completed.</w:t>
      </w:r>
    </w:p>
    <w:p>
      <w:pPr>
        <w:spacing w:after="0" w:line="18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0"/>
              </w:rPr>
              <w:t>September 30, 2021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4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Cost</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95"/>
              </w:rPr>
              <w:t>Provision</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Cost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Provision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Net</w:t>
            </w: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Cubes, batteries, and other equipment </w:t>
            </w:r>
            <w:r>
              <w:rPr>
                <w:rFonts w:ascii="Arial" w:cs="Arial" w:eastAsia="Arial" w:hAnsi="Arial"/>
                <w:sz w:val="23"/>
                <w:szCs w:val="23"/>
                <w:i w:val="1"/>
                <w:iCs w:val="1"/>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441,739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440,194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402,157</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389,177</w:t>
            </w: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Shipping containers and spare parts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(5,091)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2,162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1,857</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(1,247)</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4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448,992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(6,636)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442,356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404,014</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(14,227)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389,787</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180" w:firstLine="8"/>
        <w:spacing w:after="0" w:line="257" w:lineRule="auto"/>
        <w:tabs>
          <w:tab w:leader="none" w:pos="204"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Provision at September 30, 2021 included a $13.0 million loss recognized during fiscal year 2021 for inventory damaged in transit related to the 2021 cargo loss incident. During the three months ended December 31, 2021, $11.5 million of inventory was written off against the provision. Refer to Note 12 - Commitments and Contingencies for a detail discussion of the 2021 cargo loss incident.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5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2021</w:t>
            </w: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September 30, 2021</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Taxes recoverable</w:t>
            </w:r>
          </w:p>
        </w:tc>
        <w:tc>
          <w:tcPr>
            <w:tcW w:w="25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21,636</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14,049</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5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6,504</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25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2,585</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Receivable from insurance </w:t>
            </w:r>
            <w:r>
              <w:rPr>
                <w:rFonts w:ascii="Arial" w:cs="Arial" w:eastAsia="Arial" w:hAnsi="Arial"/>
                <w:sz w:val="23"/>
                <w:szCs w:val="23"/>
                <w:i w:val="1"/>
                <w:iCs w:val="1"/>
                <w:color w:val="auto"/>
                <w:vertAlign w:val="superscript"/>
              </w:rPr>
              <w:t>(a)</w:t>
            </w:r>
          </w:p>
        </w:tc>
        <w:tc>
          <w:tcPr>
            <w:tcW w:w="25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Deferred equity issuance costs</w:t>
            </w:r>
          </w:p>
        </w:tc>
        <w:tc>
          <w:tcPr>
            <w:tcW w:w="25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7,103</w:t>
            </w:r>
          </w:p>
        </w:tc>
      </w:tr>
      <w:tr>
        <w:trPr>
          <w:trHeight w:val="229"/>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2,062</w:t>
            </w:r>
          </w:p>
        </w:tc>
        <w:tc>
          <w:tcPr>
            <w:tcW w:w="3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r>
      <w:tr>
        <w:trPr>
          <w:trHeight w:val="21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74,793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43,157</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520" w:firstLine="8"/>
        <w:spacing w:after="0" w:line="312" w:lineRule="auto"/>
        <w:tabs>
          <w:tab w:leader="none" w:pos="204"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Receivable from insurance represents insurance recoveries that are probable of collection related to the 2021 cargo loss incident. The Company collected $7.5 million receivable from insurance during the three months ended December 31, 2021. Refer to Note 12 - Commitments and Contingencies for a detail discussion of the 2021 cargo loss incident.</w:t>
      </w:r>
    </w:p>
    <w:p>
      <w:pPr>
        <w:spacing w:after="0" w:line="15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stated at amortized cost and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33"/>
              <w:spacing w:after="0"/>
              <w:rPr>
                <w:sz w:val="20"/>
                <w:szCs w:val="20"/>
                <w:color w:val="auto"/>
              </w:rPr>
            </w:pPr>
            <w:r>
              <w:rPr>
                <w:rFonts w:ascii="Arial" w:cs="Arial" w:eastAsia="Arial" w:hAnsi="Arial"/>
                <w:sz w:val="16"/>
                <w:szCs w:val="16"/>
                <w:b w:val="1"/>
                <w:bCs w:val="1"/>
                <w:color w:val="auto"/>
                <w:w w:val="92"/>
              </w:rPr>
              <w:t>December 31, 2021</w:t>
            </w: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 2021</w:t>
            </w: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6"/>
                <w:szCs w:val="16"/>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6"/>
                <w:szCs w:val="16"/>
                <w:color w:val="auto"/>
              </w:rPr>
            </w:pPr>
          </w:p>
        </w:tc>
        <w:tc>
          <w:tcPr>
            <w:tcW w:w="122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Accumulated</w:t>
            </w:r>
          </w:p>
        </w:tc>
        <w:tc>
          <w:tcPr>
            <w:tcW w:w="300" w:type="dxa"/>
            <w:vAlign w:val="bottom"/>
          </w:tcPr>
          <w:p>
            <w:pPr>
              <w:spacing w:after="0"/>
              <w:rPr>
                <w:sz w:val="16"/>
                <w:szCs w:val="16"/>
                <w:color w:val="auto"/>
              </w:rPr>
            </w:pPr>
          </w:p>
        </w:tc>
        <w:tc>
          <w:tcPr>
            <w:tcW w:w="8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6"/>
                <w:szCs w:val="1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6"/>
                <w:szCs w:val="16"/>
                <w:b w:val="1"/>
                <w:bCs w:val="1"/>
                <w:color w:val="auto"/>
                <w:w w:val="95"/>
              </w:rPr>
              <w:t>Accumulated</w:t>
            </w:r>
          </w:p>
        </w:tc>
        <w:tc>
          <w:tcPr>
            <w:tcW w:w="280" w:type="dxa"/>
            <w:vAlign w:val="bottom"/>
          </w:tcPr>
          <w:p>
            <w:pPr>
              <w:spacing w:after="0"/>
              <w:rPr>
                <w:sz w:val="16"/>
                <w:szCs w:val="1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6"/>
              </w:rPr>
              <w:t>Amortization</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8"/>
              </w:rPr>
              <w:t>Amortization</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licenses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3"/>
                <w:szCs w:val="23"/>
                <w:i w:val="1"/>
                <w:iCs w:val="1"/>
                <w:color w:val="auto"/>
                <w:vertAlign w:val="superscript"/>
              </w:rPr>
              <w:t>(a)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11,287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11,550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i w:val="1"/>
                <w:iCs w:val="1"/>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36,057</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firstLine="8"/>
        <w:spacing w:after="0" w:line="273" w:lineRule="auto"/>
        <w:tabs>
          <w:tab w:leader="none" w:pos="204"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developed technology intangible asset and other intangible asset included $12.6 million and $0.8 million, respectively, related to the a business acquisition discussed in Note 4 - Business Combinations.</w:t>
      </w:r>
    </w:p>
    <w:p>
      <w:pPr>
        <w:spacing w:after="0" w:line="1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Intangible assets are amortized over their estimated useful lives on a straight-line basis. Total amortization expense for the three months ended December 31, 2021 and 2020 were $0.9 million and $0.8 million, respectively.</w:t>
      </w:r>
    </w:p>
    <w:p>
      <w:pPr>
        <w:spacing w:after="0" w:line="16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No impairment was recognized for the three months ended December 31, 2021 and 2020. The following table presents the goodwill activity: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3480" w:type="dxa"/>
            <w:vAlign w:val="bottom"/>
            <w:tcBorders>
              <w:top w:val="single" w:sz="8" w:color="auto"/>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7"/>
              </w:rPr>
              <w:t>Three Months Ended 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the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9,176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adjustment</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auto"/>
            </w:tcBorders>
            <w:shd w:val="clear" w:color="auto" w:fill="CCEEFF"/>
          </w:tcPr>
          <w:p>
            <w:pPr>
              <w:ind w:left="160"/>
              <w:spacing w:after="0" w:line="243" w:lineRule="exact"/>
              <w:rPr>
                <w:sz w:val="20"/>
                <w:szCs w:val="20"/>
                <w:color w:val="auto"/>
              </w:rPr>
            </w:pPr>
            <w:r>
              <w:rPr>
                <w:rFonts w:ascii="Arial" w:cs="Arial" w:eastAsia="Arial" w:hAnsi="Arial"/>
                <w:sz w:val="18"/>
                <w:szCs w:val="18"/>
                <w:color w:val="auto"/>
              </w:rPr>
              <w:t xml:space="preserve">Acquisition related goodwill </w:t>
            </w:r>
            <w:r>
              <w:rPr>
                <w:rFonts w:ascii="Arial" w:cs="Arial" w:eastAsia="Arial" w:hAnsi="Arial"/>
                <w:sz w:val="23"/>
                <w:szCs w:val="23"/>
                <w:i w:val="1"/>
                <w:iCs w:val="1"/>
                <w:color w:val="auto"/>
                <w:vertAlign w:val="superscript"/>
              </w:rPr>
              <w:t>(a)</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End of the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9,167</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472313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2313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Refer to Note 4 - Business Combination for a further discussion of acquisition related goodwill.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Current Accruals and Provisions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Accruals mainly represent not yet invoiced milestones for inventory such as batteries, cubes, and inverters. According to master supply agreements between the Company and suppliers of the inventory, vendor bills are issued according to contracted billing schedules with some milestones invoiced after delivery, upon full installation and commissioning of the equipment at substantial completion and final completion project stages. Current accruals and provisions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3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December 31, 2021</w:t>
            </w: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2021</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155,963</w:t>
            </w:r>
          </w:p>
        </w:tc>
      </w:tr>
      <w:tr>
        <w:trPr>
          <w:trHeight w:val="23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Provisions for expected project losses</w:t>
            </w:r>
          </w:p>
        </w:tc>
        <w:tc>
          <w:tcPr>
            <w:tcW w:w="2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35,848</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r>
      <w:tr>
        <w:trPr>
          <w:trHeight w:val="248"/>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214,838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186,143</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Short-term Borrowing</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Revolving Credit Facility</w:t>
      </w:r>
    </w:p>
    <w:p>
      <w:pPr>
        <w:spacing w:after="0" w:line="13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November 1, 2021, we entered into a revolving credit facility (the “Revolver”),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w:t>
      </w:r>
    </w:p>
    <w:p>
      <w:pPr>
        <w:spacing w:after="0" w:line="2" w:lineRule="exact"/>
        <w:rPr>
          <w:sz w:val="20"/>
          <w:szCs w:val="20"/>
          <w:color w:val="auto"/>
        </w:rPr>
      </w:pPr>
    </w:p>
    <w:p>
      <w:pPr>
        <w:jc w:val="both"/>
        <w:ind w:firstLine="8"/>
        <w:spacing w:after="0" w:line="295" w:lineRule="auto"/>
        <w:tabs>
          <w:tab w:leader="none" w:pos="2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is $190.0 million from the lenders party including JP Morgan Chase Bank, N.A., Morgan Stanley Senior Funding, Inc., Bank of America, N.A., Barclays Bank PLC, and five other banks. The maturity date of the Revolver is November 1, 2025.</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interest rate is either (i) the Adjusted LIBOR or Adjusted EURIBO Rate (each as defined in the Revolver) plus 3.0% or (ii) the Alternate Base Rate (as defined in the Revolver)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which will be the four-year anniversary of the closing date of the Revolver. The Revolver also provides for up to $190.0 million in letter of credit issuances, which will require customary issuance and administration fees, as well as a fronting fee payable to each issuer thereof and a letter of credit participation fee of 2.75% per annum payable to the lenders.</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Revolver contains covenants that restrict our ability to incur additional indebtedness; incur liens; sell, transfer, or dispose of property and assets; make investments or acquisitions; make dividends, distributions or other restricted payments; and engage in affiliate transactions. The Revolver limits our ability to make certain payments, including dividends and distributions on Fluence Energy, LLC’s equity, Fluence Energy, Inc.’s equity and other restricted payments.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we had no borrowings under the Revolver.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Line of Credit</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IPO, the Company had an Uncommitted Line of Credit Agreement (“Line of Credit’) with Citibank, N.A. (“Citibank”) which allowed us to borrow an amount in aggregate not to exceed $50.0 million, with the expiration date on March 31, 2023. Outstanding borrowings from the Line of Credit were $50.0 million as of September 30, 2021. The weighted average annual interest rate of the borrowing was 2.83%. On November 1, 2021, the $50.0 million outstanding borrowings from the Line of Credit was paid off using the proceeds from our IPO, and the Line of Credit was canceled shortly thereafter.</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for borrowings from related parties.</w:t>
      </w:r>
    </w:p>
    <w:p>
      <w:pPr>
        <w:spacing w:after="0" w:line="208"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provision for income taxes is based on the estimated annual effective tax rate, plus discrete items. Income tax expense was $0.4 million and $0.7 million for the three months ended December 31, 2021 and 2020, respectively. The effective tax rate for the three months ended December 31, 2021 and 2020 was (0.3)% and (5.8)%, respectively. For the three months ended December 31, 2021, the Company’s effective tax rate differs from the U.S. statutory tax rate of 21% primarily due to flow-through losses incurred prior to the IPO on November 1, 2021, flow-through losses attributable to the Founders, and valuation allowances. For the three months ended December 31, 2020, the Company’s effective tax rate differs from the U.S. statutory tax rate of 21% primarily due to flow-through losses and valuation allowances.</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December 31, 2021 and September 30, 2021, that if recognized, would affect the annual effective tax rate.</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2021 and September 30, 2021, the Company had recorded a full valuation allowance against deferred tax assets of its German and Australian subsidiaries. Upon the IPO on November 1, 2021, Fluence Energy, Inc. became a holding company of Fluence Energy, LLC, and as a corporation, recorded deferred tax assets primarily related to its investment in the partnership. The Company determined that based on the weight of available evidence, including cumulative losses, it is more-likely-than-not that the net deferred tax assets of Fluence Energy, Inc. and Fluence Energy, LLC’s subsidiaries in Germany and Australian will not be realized and valuation allowances have been recorded against such deferred tax assets.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certain contractual obligations incurred in the normal course of business that require fixed and determinable payments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commitments include lease obligations and purchase commitments under a master supply agreement.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did not have significant changes in lease contracts an and purchase commitments during the three months ended December 31, 2021. During the three months ended December 31, 2021, the Company made a $60.0 million advance payment as a capacity guarantee pursuant to a purchase agreement with one of our suppliers, of which, $25.0 million and $35.0 million was recorded within “Advances to suppliers” and “Other non-current assets”, respectively, on the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be decided unfavorably to the Company and could require the Company to pay damages or make expenditures in amounts that could be material. In aggregate, the Company estimates the range of potential losses, where estimable, related to reasonably possible material contingencies to be between $0 million and $5 million.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covers the Company’s potential loss contingencies as of December 31, 2021:</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Cargo Loss Incident</w:t>
      </w:r>
    </w:p>
    <w:p>
      <w:pPr>
        <w:spacing w:after="0" w:line="13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the three months ended December 31, 2021, $11.5 million of inventory was written off against the provision. In addition to the inventory losses, we have incurred and expect to incur incremental expenses related to the incident, primarily consisting of inspection costs, project cost overruns due to logistical changes, legal fees and fees to dispose of the damaged cargo. We expect insurance proceeds of at least $10.0 million related to non-disputed claims, of which $7.5 million was collected in October 2021 and the remainder is probable of collection.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notified the marine cargo insurers of the incident and has also notified each affected customer of this event, which under relevant supply contracts, provides the Company an extension of the relevant schedule due to the resulting battery supply delays. We believe this event qualifies as force majeure under the contracts with our customers. However, if the incident ultimately is determined not to constitute a force majeure event, the Company estimates potential liquidated damages exposure of approximately $15.0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Overheating Event at Customer Facility</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September 4, 2021, a 300 MW energy storage facility owned by one of our customers experienced an overheating event. Fluence served as the energy storage technology provider and installed the facility, which was completed in fiscal year 2021. No injuries were reported from the incident. Since then, the facility was taken offline as teams from Fluence, our customer, and the battery manufacturer investigate the incident. Our customer recently has released initial findings on what it contends is the root cause of the incident. At this time, Fluence cannot comment on or accept the customer’s stated findings, because Fluence’s investigation of the root cause remains ongoing, with continued participation by our customer and other parties involved.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We are currently not able to estimate the impact, if any, that this incident may have on our reputation or financial results, or on the market adoption of our products.</w:t>
      </w:r>
    </w:p>
    <w:p>
      <w:pPr>
        <w:spacing w:after="0" w:line="1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Related-Party Transactions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Related parties are represented by AES and Siemens, their respective subsidiaries and other entities under common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 from Related Parties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11, 2021, the Company borrowed $25.0 million and $25.0 million from AES Grid Stability and Siemens Industry, respectively, in the form of subordinated promissory notes, each bearing an annual interest at 2.86%. The promissory notes were paid off on November 1, 2021 using proceeds from the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Procurement Contracts with Related Parties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Fluence signs battery-based energy storage product and related service contracts with AES, Siemens and their subsidiaries (collectively refer to as affiliates). The contract price is similar to the price charged to third-party customers. Revenue from contracts with affiliates is included in “Revenue from related parties” on the Company’s condensed consolidated statements of operations and comprehensive loss.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Fluence purchases material and supplies from its affiliates and records the costs in “Cost of goods and services” on the Company’s condensed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 with Affiliates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and its affiliates have signed service agreements under which the affiliates provide certain management and administrative services to Fluence. The services include but are not limited to, treasury, information technology services, payroll and human resources services, sales and marketing services, research and development. Cost of services are accrued monthly and included in “Payables and deferred revenue with related parties”, and “General and administrative”, “Sales and marketing”, or “Research and development” on the Company’s condensed consolidated balance sheets and statements of operations and comprehensive loss,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Performance Guarantees</w:t>
      </w:r>
    </w:p>
    <w:p>
      <w:pPr>
        <w:spacing w:after="0" w:line="14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Fluence paid performance guarantee fees to its affiliates in exchange for guaranteeing Fluence’s performance obligations in certain contracts with customers. Fluence paid guarantee fees to its affiliates under contractual arrangements and the fees are based on parent costs with a reasonable markup. The guarantee fees are included in “Costs of goods and services” on Fluence’s condensed consolidated statements of operations and comprehensive loss.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receivables from related parties and payable to related parties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2021</w:t>
            </w:r>
          </w:p>
        </w:tc>
        <w:tc>
          <w:tcPr>
            <w:tcW w:w="4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42,510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26,292</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Unbilled receivables</w:t>
            </w:r>
          </w:p>
        </w:tc>
        <w:tc>
          <w:tcPr>
            <w:tcW w:w="1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5,878</w:t>
            </w: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receivables from related parties</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48,388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33,362</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1,464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200,085</w:t>
            </w:r>
          </w:p>
        </w:tc>
        <w:tc>
          <w:tcPr>
            <w:tcW w:w="4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220,122</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liabilities</w:t>
            </w:r>
          </w:p>
        </w:tc>
        <w:tc>
          <w:tcPr>
            <w:tcW w:w="1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4,472</w:t>
            </w: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payables and deferred revenue with related parties</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206,021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227,925</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related party transactions that are included the Company’s condensed consolidated statements of operations and comprehensive loss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3440" w:type="dxa"/>
            <w:vAlign w:val="bottom"/>
            <w:tcBorders>
              <w:top w:val="single" w:sz="8" w:color="auto"/>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6"/>
              </w:rPr>
              <w:t>Three Months Ended December 31,</w:t>
            </w:r>
          </w:p>
        </w:tc>
      </w:tr>
      <w:tr>
        <w:trPr>
          <w:trHeight w:val="236"/>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147,833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18,405</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(7,495)</w:t>
            </w:r>
          </w:p>
        </w:tc>
        <w:tc>
          <w:tcPr>
            <w:tcW w:w="4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(427)</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(607)</w:t>
            </w:r>
          </w:p>
        </w:tc>
        <w:tc>
          <w:tcPr>
            <w:tcW w:w="4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(336)</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r>
    </w:tbl>
    <w:p>
      <w:pPr>
        <w:spacing w:after="0" w:line="279"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5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2020 Equity Incentive Plans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October 2020, the Board of Directors of Fluence Energy, LLC approved the 2020 Unit Option Plan (the “2020 Option Plan”) and the 2020 Phantom Equity Incentive Plan (the “2020 Phantom Plan”, and collectively with the 2020 Option Plan, the “2020 Plans”). The 2020 Plans authorized Fluence Energy, LLC to issue Class A-1 unit options and phantom units. Upon completion of the Transactions, all unit options granted pursuant to the 2020 Option Plan were converted into stock options in the Company and remain outstanding and continue to vest in accordance with their original terms. Awards issued under the 2020 Phantom Plan can be settled in cash, shares, or any other form of consideration deemed appropriate by the Board of Directors. No further awards are expected to be made under 2020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Award Plan</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IPO, the Company adopted the 2021 Incentive Award Plan (the “2021 Plan) to facilitate the grant of cash and equity incentives to directors, employees (including our named executive officers) and consultants of the company and certain of its affiliates to enable the company to obtain and retain services of these individuals, which we believe is essential to our long-term success. At inception, there were 9,500,000 shares of Class A common stock available for issuance under the 2021 Plan. During the three months ended December 31, 2021, the Company granted restricted stock units (“RSUs”) under the 2021 Plan to certain employees and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Modifications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October 2021, the Board of Directors issued resolutions to amend certain awards previously granted under the 2020 Plans, as described below. These amendments were treated as award modifications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during the three months ended December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32"/>
        <w:spacing w:after="0" w:line="291" w:lineRule="auto"/>
        <w:tabs>
          <w:tab w:leader="none" w:pos="6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relation to awards previously granted to the Company’s former CEO, who served as a director of the Company through the date of the IPO, 1) accelerate to the IPO date the vesting of 102,082 phantom units that would have otherwise vested on the six-month anniversary of the consummation, and</w:t>
      </w:r>
    </w:p>
    <w:p>
      <w:pPr>
        <w:jc w:val="both"/>
        <w:ind w:firstLine="8"/>
        <w:spacing w:after="0" w:line="253" w:lineRule="auto"/>
        <w:tabs>
          <w:tab w:leader="none" w:pos="2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accelerate to the IPO date the vesting of 112,439 unit options that would have otherwise vested on April 2, 2022 assuming continued service. The resolution stipulates that the awards subject to accelerated vesting shall be settled fully in cash, using the IPO price to calculate the settlement value. All other equity awards granted to the individual were concurrently cancelled. Stock compensation expense related to the modification was $5.7 million, which was recognized fully during the three months ended December 31, 2021.</w:t>
      </w:r>
    </w:p>
    <w:p>
      <w:pPr>
        <w:spacing w:after="0" w:line="111" w:lineRule="exact"/>
        <w:rPr>
          <w:rFonts w:ascii="Arial" w:cs="Arial" w:eastAsia="Arial" w:hAnsi="Arial"/>
          <w:sz w:val="18"/>
          <w:szCs w:val="18"/>
          <w:color w:val="auto"/>
        </w:rPr>
      </w:pPr>
    </w:p>
    <w:p>
      <w:pPr>
        <w:jc w:val="both"/>
        <w:ind w:firstLine="332"/>
        <w:spacing w:after="0" w:line="255" w:lineRule="auto"/>
        <w:tabs>
          <w:tab w:leader="none" w:pos="6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Amend the vesting of 893,589 phantom unit awards previously granted to the Company’s executive officers, which had been scheduled to fully vest on the six-month anniversary of the consummation of the IPO, such that 1/3 of the awards vest on the six-month anniversary of the consummation of the IPO, 1/3 on the eighteen-month anniversary, and 1/3 on the thirty-month anniversary, assuming continued service through each vesting date. Given that no changes were made to the first tranche of the awards, modification accounting was only applied to the second and third tranches of the awards, which totaled 595,728 phantom units. Stock compensation expense related to the modification was $16.7 million, which will be recognized over the vesting period of each tranche of the modified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 Expense</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Stock based compensation expense is included in “Cost of goods and services”, “Research and development”, “Sales and marketing” or “General and administrative” on the condensed consolidated statements of operations and comprehensive loss, based on the classification of the employee’s regular wages.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 recognizes the costs associated with granting stock based awards using a fair value-based measure in accordance with the requirements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Management engaged a third-party valuation firm to assist in determining the fair value of awards granted under the 2020 Plans. The fair value of RSUs granted under the 2021 Plan are based on the price of our publicly traded common stock on the date of grant.</w:t>
      </w:r>
    </w:p>
    <w:p>
      <w:pPr>
        <w:spacing w:after="0" w:line="1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September 30, 2021, the Company determined that achievement of the performance conditions related to awards granted under the 2020 Plans was not probable and therefore, no expense was recognized for unit options or phantom units during the fiscal year ended September 30, 2021. The completion of the IPO on November 1, 2021 resulted in achievement of the performance condition underlying awards granted under the 2020 Plans. Accordingly previously unrecognized stock compensation expense was caught up during the three months ended December 31, 2021.</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stock based compensation expense by financial statement line item: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52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Three Months Ended December 31,</w:t>
            </w:r>
          </w:p>
        </w:tc>
      </w:tr>
      <w:tr>
        <w:trPr>
          <w:trHeight w:val="23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1,813</w:t>
            </w:r>
          </w:p>
        </w:tc>
        <w:tc>
          <w:tcPr>
            <w:tcW w:w="4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6,441</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13,095</w:t>
            </w:r>
          </w:p>
        </w:tc>
        <w:tc>
          <w:tcPr>
            <w:tcW w:w="4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68"/>
        </w:trPr>
        <w:tc>
          <w:tcPr>
            <w:tcW w:w="7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24,877</w:t>
            </w:r>
          </w:p>
        </w:tc>
        <w:tc>
          <w:tcPr>
            <w:tcW w:w="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738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76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Unit options were granted with an exercise price equal to the fair value of Fluence Energy, LLC’s units at the date of grant. Unit option awards vest with the satisfaction of the following two criteria: (1) a service requirement of three years and (2) the occurrence of a liquidity event, such as a change in control or an initial public offering. The options expire 10 years following the grant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concerning the outstanding options granted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tcPr>
          <w:p>
            <w:pPr>
              <w:jc w:val="right"/>
              <w:ind w:right="690"/>
              <w:spacing w:after="0"/>
              <w:rPr>
                <w:sz w:val="20"/>
                <w:szCs w:val="20"/>
                <w:color w:val="auto"/>
              </w:rPr>
            </w:pPr>
            <w:r>
              <w:rPr>
                <w:rFonts w:ascii="Arial" w:cs="Arial" w:eastAsia="Arial" w:hAnsi="Arial"/>
                <w:sz w:val="18"/>
                <w:szCs w:val="18"/>
                <w:b w:val="1"/>
                <w:bCs w:val="1"/>
                <w:color w:val="auto"/>
              </w:rPr>
              <w:t>Weighted-Average</w:t>
            </w:r>
          </w:p>
        </w:tc>
      </w:tr>
      <w:tr>
        <w:trPr>
          <w:trHeight w:val="234"/>
        </w:trPr>
        <w:tc>
          <w:tcPr>
            <w:tcW w:w="4980" w:type="dxa"/>
            <w:vAlign w:val="bottom"/>
          </w:tcPr>
          <w:p>
            <w:pPr>
              <w:spacing w:after="0"/>
              <w:rPr>
                <w:sz w:val="20"/>
                <w:szCs w:val="20"/>
                <w:color w:val="auto"/>
              </w:rPr>
            </w:pPr>
          </w:p>
        </w:tc>
        <w:tc>
          <w:tcPr>
            <w:tcW w:w="326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 Awards</w:t>
            </w:r>
          </w:p>
        </w:tc>
        <w:tc>
          <w:tcPr>
            <w:tcW w:w="480" w:type="dxa"/>
            <w:vAlign w:val="bottom"/>
          </w:tcPr>
          <w:p>
            <w:pPr>
              <w:spacing w:after="0"/>
              <w:rPr>
                <w:sz w:val="20"/>
                <w:szCs w:val="20"/>
                <w:color w:val="auto"/>
              </w:rPr>
            </w:pPr>
          </w:p>
        </w:tc>
        <w:tc>
          <w:tcPr>
            <w:tcW w:w="2500" w:type="dxa"/>
            <w:vAlign w:val="bottom"/>
          </w:tcPr>
          <w:p>
            <w:pPr>
              <w:jc w:val="right"/>
              <w:ind w:right="830"/>
              <w:spacing w:after="0"/>
              <w:rPr>
                <w:sz w:val="20"/>
                <w:szCs w:val="20"/>
                <w:color w:val="auto"/>
              </w:rPr>
            </w:pPr>
            <w:r>
              <w:rPr>
                <w:rFonts w:ascii="Arial" w:cs="Arial" w:eastAsia="Arial" w:hAnsi="Arial"/>
                <w:sz w:val="18"/>
                <w:szCs w:val="18"/>
                <w:b w:val="1"/>
                <w:bCs w:val="1"/>
                <w:color w:val="auto"/>
              </w:rPr>
              <w:t>Exercise Price</w:t>
            </w:r>
          </w:p>
        </w:tc>
      </w:tr>
      <w:tr>
        <w:trPr>
          <w:trHeight w:val="27"/>
        </w:trPr>
        <w:tc>
          <w:tcPr>
            <w:tcW w:w="4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inception of the Unit Option Plan</w:t>
            </w:r>
          </w:p>
        </w:tc>
        <w:tc>
          <w:tcPr>
            <w:tcW w:w="3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3260" w:type="dxa"/>
            <w:vAlign w:val="bottom"/>
          </w:tcPr>
          <w:p>
            <w:pPr>
              <w:jc w:val="right"/>
              <w:ind w:right="10"/>
              <w:spacing w:after="0"/>
              <w:rPr>
                <w:sz w:val="20"/>
                <w:szCs w:val="20"/>
                <w:color w:val="auto"/>
              </w:rPr>
            </w:pPr>
            <w:r>
              <w:rPr>
                <w:rFonts w:ascii="Arial" w:cs="Arial" w:eastAsia="Arial" w:hAnsi="Arial"/>
                <w:sz w:val="18"/>
                <w:szCs w:val="18"/>
                <w:color w:val="auto"/>
              </w:rPr>
              <w:t>12,389,470</w:t>
            </w:r>
          </w:p>
        </w:tc>
        <w:tc>
          <w:tcPr>
            <w:tcW w:w="4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(466,908)</w:t>
            </w:r>
          </w:p>
        </w:tc>
        <w:tc>
          <w:tcPr>
            <w:tcW w:w="4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September 30, 2021</w:t>
            </w:r>
          </w:p>
        </w:tc>
        <w:tc>
          <w:tcPr>
            <w:tcW w:w="3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11,922,562</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3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Modified and settled in cash</w:t>
            </w:r>
          </w:p>
        </w:tc>
        <w:tc>
          <w:tcPr>
            <w:tcW w:w="3260" w:type="dxa"/>
            <w:vAlign w:val="bottom"/>
          </w:tcPr>
          <w:p>
            <w:pPr>
              <w:jc w:val="right"/>
              <w:spacing w:after="0"/>
              <w:rPr>
                <w:sz w:val="20"/>
                <w:szCs w:val="20"/>
                <w:color w:val="auto"/>
              </w:rPr>
            </w:pPr>
            <w:r>
              <w:rPr>
                <w:rFonts w:ascii="Arial" w:cs="Arial" w:eastAsia="Arial" w:hAnsi="Arial"/>
                <w:sz w:val="18"/>
                <w:szCs w:val="18"/>
                <w:color w:val="auto"/>
              </w:rPr>
              <w:t>(112,439)</w:t>
            </w:r>
          </w:p>
        </w:tc>
        <w:tc>
          <w:tcPr>
            <w:tcW w:w="4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(515,442)</w:t>
            </w:r>
          </w:p>
        </w:tc>
        <w:tc>
          <w:tcPr>
            <w:tcW w:w="48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December 31, 2021</w:t>
            </w:r>
          </w:p>
        </w:tc>
        <w:tc>
          <w:tcPr>
            <w:tcW w:w="3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11,294,681</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526351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63515" cy="154305"/>
                    </a:xfrm>
                    <a:prstGeom prst="rect">
                      <a:avLst/>
                    </a:prstGeom>
                    <a:noFill/>
                  </pic:spPr>
                </pic:pic>
              </a:graphicData>
            </a:graphic>
          </wp:anchor>
        </w:drawing>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options have been exercised through December 31, 2021 and no options are exercisable as of December 31, 2021. The weighted average grant date fair value for options granted during the year ended September 30, 2021 was $0.69. The fair value of options granted was calculated using a Black-Scholes option valuation model. The intrinsic value of options outstanding as of December 31, 2021 was $374.0 million. The weighted average remaining contractual term of options outstanding as of December 31, 2021 was 9.3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Phantom Units</w:t>
      </w:r>
    </w:p>
    <w:p>
      <w:pPr>
        <w:spacing w:after="0" w:line="1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With the exception of the modified phantom units discussed above, all phantom units vest six months following the satisfaction of a performance condition, if the condition is met before the awards’ expiration date. The performance condition is satisfied upon the occurrence of a liquidity event, which was satisfied as the result of our IPO. Phantom units granted to foreign employees in certain countries will require cash settlement, and are classified as liability awards. See “Liability-Classified Awards” below. The remainder of the phantom units include a contingent cash settlement option outside the control of the holder and as such are classified as equity. The following table presents activity related to the equity-classified phantom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Weighted Average Grant Date</w:t>
            </w:r>
          </w:p>
        </w:tc>
      </w:tr>
      <w:tr>
        <w:trPr>
          <w:trHeight w:val="234"/>
        </w:trPr>
        <w:tc>
          <w:tcPr>
            <w:tcW w:w="5180" w:type="dxa"/>
            <w:vAlign w:val="bottom"/>
          </w:tcPr>
          <w:p>
            <w:pPr>
              <w:spacing w:after="0"/>
              <w:rPr>
                <w:sz w:val="20"/>
                <w:szCs w:val="20"/>
                <w:color w:val="auto"/>
              </w:rPr>
            </w:pPr>
          </w:p>
        </w:tc>
        <w:tc>
          <w:tcPr>
            <w:tcW w:w="340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 Awards</w:t>
            </w:r>
          </w:p>
        </w:tc>
        <w:tc>
          <w:tcPr>
            <w:tcW w:w="180" w:type="dxa"/>
            <w:vAlign w:val="bottom"/>
          </w:tcPr>
          <w:p>
            <w:pPr>
              <w:spacing w:after="0"/>
              <w:rPr>
                <w:sz w:val="20"/>
                <w:szCs w:val="20"/>
                <w:color w:val="auto"/>
              </w:rPr>
            </w:pPr>
          </w:p>
        </w:tc>
        <w:tc>
          <w:tcPr>
            <w:tcW w:w="2480" w:type="dxa"/>
            <w:vAlign w:val="bottom"/>
          </w:tcPr>
          <w:p>
            <w:pPr>
              <w:jc w:val="right"/>
              <w:ind w:right="8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inception of the 2020 Incentive Plan</w:t>
            </w:r>
          </w:p>
        </w:tc>
        <w:tc>
          <w:tcPr>
            <w:tcW w:w="3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3400" w:type="dxa"/>
            <w:vAlign w:val="bottom"/>
          </w:tcPr>
          <w:p>
            <w:pPr>
              <w:jc w:val="right"/>
              <w:ind w:right="30"/>
              <w:spacing w:after="0"/>
              <w:rPr>
                <w:sz w:val="20"/>
                <w:szCs w:val="20"/>
                <w:color w:val="auto"/>
              </w:rPr>
            </w:pPr>
            <w:r>
              <w:rPr>
                <w:rFonts w:ascii="Arial" w:cs="Arial" w:eastAsia="Arial" w:hAnsi="Arial"/>
                <w:sz w:val="18"/>
                <w:szCs w:val="18"/>
                <w:color w:val="auto"/>
              </w:rPr>
              <w:t>2,688,781</w:t>
            </w:r>
          </w:p>
        </w:tc>
        <w:tc>
          <w:tcPr>
            <w:tcW w:w="1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(399,887)</w:t>
            </w:r>
          </w:p>
        </w:tc>
        <w:tc>
          <w:tcPr>
            <w:tcW w:w="1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September 30, 2021</w:t>
            </w:r>
          </w:p>
        </w:tc>
        <w:tc>
          <w:tcPr>
            <w:tcW w:w="3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2,288,894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3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Cancellation of modified awards</w:t>
            </w:r>
          </w:p>
        </w:tc>
        <w:tc>
          <w:tcPr>
            <w:tcW w:w="3400" w:type="dxa"/>
            <w:vAlign w:val="bottom"/>
          </w:tcPr>
          <w:p>
            <w:pPr>
              <w:jc w:val="right"/>
              <w:spacing w:after="0"/>
              <w:rPr>
                <w:sz w:val="20"/>
                <w:szCs w:val="20"/>
                <w:color w:val="auto"/>
              </w:rPr>
            </w:pPr>
            <w:r>
              <w:rPr>
                <w:rFonts w:ascii="Arial" w:cs="Arial" w:eastAsia="Arial" w:hAnsi="Arial"/>
                <w:sz w:val="18"/>
                <w:szCs w:val="18"/>
                <w:color w:val="auto"/>
              </w:rPr>
              <w:t>(595,728)</w:t>
            </w:r>
          </w:p>
        </w:tc>
        <w:tc>
          <w:tcPr>
            <w:tcW w:w="1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Re-grant of modified awards</w:t>
            </w:r>
          </w:p>
        </w:tc>
        <w:tc>
          <w:tcPr>
            <w:tcW w:w="3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595,728</w:t>
            </w: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Modified and settled in cash</w:t>
            </w:r>
          </w:p>
        </w:tc>
        <w:tc>
          <w:tcPr>
            <w:tcW w:w="3400" w:type="dxa"/>
            <w:vAlign w:val="bottom"/>
          </w:tcPr>
          <w:p>
            <w:pPr>
              <w:jc w:val="right"/>
              <w:spacing w:after="0"/>
              <w:rPr>
                <w:sz w:val="20"/>
                <w:szCs w:val="20"/>
                <w:color w:val="auto"/>
              </w:rPr>
            </w:pPr>
            <w:r>
              <w:rPr>
                <w:rFonts w:ascii="Arial" w:cs="Arial" w:eastAsia="Arial" w:hAnsi="Arial"/>
                <w:sz w:val="18"/>
                <w:szCs w:val="18"/>
                <w:color w:val="auto"/>
              </w:rPr>
              <w:t>(102,082)</w:t>
            </w:r>
          </w:p>
        </w:tc>
        <w:tc>
          <w:tcPr>
            <w:tcW w:w="1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(16,271)</w:t>
            </w:r>
          </w:p>
        </w:tc>
        <w:tc>
          <w:tcPr>
            <w:tcW w:w="1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December 31, 2021</w:t>
            </w:r>
          </w:p>
        </w:tc>
        <w:tc>
          <w:tcPr>
            <w:tcW w:w="3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2,170,541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Liability-Classified Awards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activity related to liability-classified phantom unit awards: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Weighted Average Grant Date</w:t>
            </w:r>
          </w:p>
        </w:tc>
      </w:tr>
      <w:tr>
        <w:trPr>
          <w:trHeight w:val="234"/>
        </w:trPr>
        <w:tc>
          <w:tcPr>
            <w:tcW w:w="5160" w:type="dxa"/>
            <w:vAlign w:val="bottom"/>
          </w:tcPr>
          <w:p>
            <w:pPr>
              <w:spacing w:after="0"/>
              <w:rPr>
                <w:sz w:val="20"/>
                <w:szCs w:val="20"/>
                <w:color w:val="auto"/>
              </w:rPr>
            </w:pPr>
          </w:p>
        </w:tc>
        <w:tc>
          <w:tcPr>
            <w:tcW w:w="330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 of Awards</w:t>
            </w:r>
          </w:p>
        </w:tc>
        <w:tc>
          <w:tcPr>
            <w:tcW w:w="200" w:type="dxa"/>
            <w:vAlign w:val="bottom"/>
          </w:tcPr>
          <w:p>
            <w:pPr>
              <w:spacing w:after="0"/>
              <w:rPr>
                <w:sz w:val="20"/>
                <w:szCs w:val="20"/>
                <w:color w:val="auto"/>
              </w:rPr>
            </w:pPr>
          </w:p>
        </w:tc>
        <w:tc>
          <w:tcPr>
            <w:tcW w:w="2580" w:type="dxa"/>
            <w:vAlign w:val="bottom"/>
          </w:tcPr>
          <w:p>
            <w:pPr>
              <w:jc w:val="right"/>
              <w:ind w:right="8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inception of the 2020 Incentive Plan</w:t>
            </w:r>
          </w:p>
        </w:tc>
        <w:tc>
          <w:tcPr>
            <w:tcW w:w="3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3300" w:type="dxa"/>
            <w:vAlign w:val="bottom"/>
          </w:tcPr>
          <w:p>
            <w:pPr>
              <w:jc w:val="right"/>
              <w:ind w:right="30"/>
              <w:spacing w:after="0"/>
              <w:rPr>
                <w:sz w:val="20"/>
                <w:szCs w:val="20"/>
                <w:color w:val="auto"/>
              </w:rPr>
            </w:pPr>
            <w:r>
              <w:rPr>
                <w:rFonts w:ascii="Arial" w:cs="Arial" w:eastAsia="Arial" w:hAnsi="Arial"/>
                <w:sz w:val="18"/>
                <w:szCs w:val="18"/>
                <w:color w:val="auto"/>
              </w:rPr>
              <w:t>465,275</w:t>
            </w:r>
          </w:p>
        </w:tc>
        <w:tc>
          <w:tcPr>
            <w:tcW w:w="2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20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September 30, 2021</w:t>
            </w:r>
          </w:p>
        </w:tc>
        <w:tc>
          <w:tcPr>
            <w:tcW w:w="3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454,180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(48,821)</w:t>
            </w: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3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405,359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recognized a liability of $15.2 million on its condensed consolidated balance sheets as of December 31, 2021 reflecting the fair value of the liability-classified awards, based on the Company’s stock price as of the last day of the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December 31, 2021, the Company issued RSUs to certain employees and directors that vest over a period of 3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Weighted Average Grant Date</w:t>
            </w:r>
          </w:p>
        </w:tc>
      </w:tr>
      <w:tr>
        <w:trPr>
          <w:trHeight w:val="234"/>
        </w:trPr>
        <w:tc>
          <w:tcPr>
            <w:tcW w:w="4740" w:type="dxa"/>
            <w:vAlign w:val="bottom"/>
          </w:tcPr>
          <w:p>
            <w:pPr>
              <w:spacing w:after="0"/>
              <w:rPr>
                <w:sz w:val="20"/>
                <w:szCs w:val="20"/>
                <w:color w:val="auto"/>
              </w:rPr>
            </w:pPr>
          </w:p>
        </w:tc>
        <w:tc>
          <w:tcPr>
            <w:tcW w:w="378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 Awards</w:t>
            </w:r>
          </w:p>
        </w:tc>
        <w:tc>
          <w:tcPr>
            <w:tcW w:w="180" w:type="dxa"/>
            <w:vAlign w:val="bottom"/>
          </w:tcPr>
          <w:p>
            <w:pPr>
              <w:spacing w:after="0"/>
              <w:rPr>
                <w:sz w:val="20"/>
                <w:szCs w:val="20"/>
                <w:color w:val="auto"/>
              </w:rPr>
            </w:pPr>
          </w:p>
        </w:tc>
        <w:tc>
          <w:tcPr>
            <w:tcW w:w="2540" w:type="dxa"/>
            <w:vAlign w:val="bottom"/>
          </w:tcPr>
          <w:p>
            <w:pPr>
              <w:jc w:val="right"/>
              <w:ind w:right="8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3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3780" w:type="dxa"/>
            <w:vAlign w:val="bottom"/>
          </w:tcPr>
          <w:p>
            <w:pPr>
              <w:jc w:val="right"/>
              <w:ind w:right="30"/>
              <w:spacing w:after="0"/>
              <w:rPr>
                <w:sz w:val="20"/>
                <w:szCs w:val="20"/>
                <w:color w:val="auto"/>
              </w:rPr>
            </w:pPr>
            <w:r>
              <w:rPr>
                <w:rFonts w:ascii="Arial" w:cs="Arial" w:eastAsia="Arial" w:hAnsi="Arial"/>
                <w:sz w:val="18"/>
                <w:szCs w:val="18"/>
                <w:color w:val="auto"/>
              </w:rPr>
              <w:t>678,804</w:t>
            </w:r>
          </w:p>
        </w:tc>
        <w:tc>
          <w:tcPr>
            <w:tcW w:w="1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36.11</w:t>
            </w:r>
          </w:p>
        </w:tc>
      </w:tr>
      <w:tr>
        <w:trPr>
          <w:trHeight w:val="216"/>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8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December 31, 2021</w:t>
            </w:r>
          </w:p>
        </w:tc>
        <w:tc>
          <w:tcPr>
            <w:tcW w:w="3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670,487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Stock Compensation Expense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total unrecognized compensation expense related to stock based compensation as of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ind w:right="210"/>
              <w:spacing w:after="0" w:line="189" w:lineRule="exact"/>
              <w:rPr>
                <w:sz w:val="20"/>
                <w:szCs w:val="20"/>
                <w:color w:val="auto"/>
              </w:rPr>
            </w:pPr>
            <w:r>
              <w:rPr>
                <w:rFonts w:ascii="Arial" w:cs="Arial" w:eastAsia="Arial" w:hAnsi="Arial"/>
                <w:sz w:val="18"/>
                <w:szCs w:val="18"/>
                <w:b w:val="1"/>
                <w:bCs w:val="1"/>
                <w:color w:val="auto"/>
                <w:w w:val="88"/>
              </w:rPr>
              <w:t>Unrecognized Stock Compensation</w:t>
            </w:r>
          </w:p>
        </w:tc>
        <w:tc>
          <w:tcPr>
            <w:tcW w:w="3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Weighted Average Remaining Period of</w:t>
            </w:r>
          </w:p>
        </w:tc>
      </w:tr>
      <w:tr>
        <w:trPr>
          <w:trHeight w:val="176"/>
        </w:trPr>
        <w:tc>
          <w:tcPr>
            <w:tcW w:w="3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1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86"/>
              </w:rPr>
              <w:t>Expense</w:t>
            </w:r>
          </w:p>
        </w:tc>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Expense Recognition</w:t>
            </w:r>
          </w:p>
        </w:tc>
      </w:tr>
      <w:tr>
        <w:trPr>
          <w:trHeight w:val="229"/>
        </w:trPr>
        <w:tc>
          <w:tcPr>
            <w:tcW w:w="3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(in thousands)</w:t>
            </w: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4,292</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Phantom units</w:t>
            </w:r>
          </w:p>
        </w:tc>
        <w:tc>
          <w:tcPr>
            <w:tcW w:w="1380" w:type="dxa"/>
            <w:vAlign w:val="bottom"/>
          </w:tcPr>
          <w:p>
            <w:pPr>
              <w:spacing w:after="0"/>
              <w:rPr>
                <w:sz w:val="19"/>
                <w:szCs w:val="19"/>
                <w:color w:val="auto"/>
              </w:rPr>
            </w:pPr>
          </w:p>
        </w:tc>
        <w:tc>
          <w:tcPr>
            <w:tcW w:w="3180" w:type="dxa"/>
            <w:vAlign w:val="bottom"/>
          </w:tcPr>
          <w:p>
            <w:pPr>
              <w:jc w:val="right"/>
              <w:ind w:right="70"/>
              <w:spacing w:after="0"/>
              <w:rPr>
                <w:sz w:val="20"/>
                <w:szCs w:val="20"/>
                <w:color w:val="auto"/>
              </w:rPr>
            </w:pPr>
            <w:r>
              <w:rPr>
                <w:rFonts w:ascii="Arial" w:cs="Arial" w:eastAsia="Arial" w:hAnsi="Arial"/>
                <w:sz w:val="18"/>
                <w:szCs w:val="18"/>
                <w:color w:val="auto"/>
              </w:rPr>
              <w:t>15,857</w:t>
            </w:r>
          </w:p>
        </w:tc>
        <w:tc>
          <w:tcPr>
            <w:tcW w:w="3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Liability-classified awards</w:t>
            </w:r>
          </w:p>
        </w:tc>
        <w:tc>
          <w:tcPr>
            <w:tcW w:w="1380" w:type="dxa"/>
            <w:vAlign w:val="bottom"/>
            <w:shd w:val="clear" w:color="auto" w:fill="CCEEFF"/>
          </w:tcPr>
          <w:p>
            <w:pPr>
              <w:spacing w:after="0"/>
              <w:rPr>
                <w:sz w:val="19"/>
                <w:szCs w:val="19"/>
                <w:color w:val="auto"/>
              </w:rPr>
            </w:pPr>
          </w:p>
        </w:tc>
        <w:tc>
          <w:tcPr>
            <w:tcW w:w="3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4,144</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RSUs</w:t>
            </w:r>
          </w:p>
        </w:tc>
        <w:tc>
          <w:tcPr>
            <w:tcW w:w="13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22,172</w:t>
            </w:r>
          </w:p>
        </w:tc>
        <w:tc>
          <w:tcPr>
            <w:tcW w:w="3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46,465</w:t>
            </w:r>
          </w:p>
        </w:tc>
        <w:tc>
          <w:tcPr>
            <w:tcW w:w="3560" w:type="dxa"/>
            <w:vAlign w:val="bottom"/>
            <w:tcBorders>
              <w:bottom w:val="single" w:sz="8" w:color="CCEEFF"/>
            </w:tcBorders>
            <w:shd w:val="clear" w:color="auto" w:fill="CCEEFF"/>
          </w:tcPr>
          <w:p>
            <w:pPr>
              <w:spacing w:after="0"/>
              <w:rPr>
                <w:sz w:val="21"/>
                <w:szCs w:val="21"/>
                <w:color w:val="auto"/>
              </w:rPr>
            </w:pP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Supply Chain Financing</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December 31, 2021, AES and Siemens issued guarantees of $50.0 million each, for a total of $100.0 million, to the SCF Bank on our behalf.</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December 31, 2021 and September 30, 2021, we had $34.6 million and $58.4 million of payables outstanding subject to the program. All outstanding payments owed under the program are recorded within “Accounts payable”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6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Certain statements in this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or the Exchange Act. Statements regarding our future results of operations and financial position, business strategy and plans, and objectives of management for future operations, including, among others, statements regarding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indicated in these forward-looking statements, including, but are not limited to, the following:</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financial performance, including our ability to achieve or maintain profitability;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execute our business and growth strategy;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new offerings and services, including digital applications;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optimize sales channels and market segmentation;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continued impact of the COVID-19 pandemic on our ground operations at project sites, our manufacturing facilities and our suppliers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vendors;</w:t>
      </w:r>
    </w:p>
    <w:p>
      <w:pPr>
        <w:spacing w:after="0" w:line="129" w:lineRule="exact"/>
        <w:rPr>
          <w:rFonts w:ascii="Arial" w:cs="Arial" w:eastAsia="Arial" w:hAnsi="Arial"/>
          <w:sz w:val="17"/>
          <w:szCs w:val="17"/>
          <w:color w:val="auto"/>
        </w:rPr>
      </w:pPr>
    </w:p>
    <w:p>
      <w:pPr>
        <w:ind w:right="20" w:firstLine="332"/>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customer contracts due to events and incidents relating to storage, delivery, installation, operation and shutdowns of our energy storage products, including events and incidents outside of our control;</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prevent defects, errors, or bugs in hardware or software of our products and technology as well as any product liability or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claims;</w:t>
      </w:r>
    </w:p>
    <w:p>
      <w:pPr>
        <w:spacing w:after="0" w:line="143"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our global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our existing and future markets in which we compete;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concerning our relationships with third parties;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continued listing of our securities on the Nasdaq Global Select Market;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significant influence the Continuing Equity Owners have over us, including control over decisions that require the approval of stockholders;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4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detailed under the heading “Risk Factors” in our 2021 Annual Report and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foregoing factors should not be construed as exhaustive.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contained in this Report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audited consolidated financial statements and related notes included in our 2021 Annual Report and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completion of our IPO on November 1, 2021, Fluence Energy, Inc. became a holding company whose sole material assets are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will pay income taxes with respect to their allocable shares of its net taxable income. As of December 31, 2021, Fluence Energy, LLC had subsidiaries including Fluence Energy GmbH in Germany, Fluence Energy Pty Ltd. in Australia, Fluence Energy Inc. in the Philippines, Fluence Energy Global Production Operation, LLC in Delaware, Fluence Energy Singapore PTE. Ltd. in Singapore, and Fluence BESS India Private Limited. in India.</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fiscal year begins on October 1 and ends on September 30.</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our inception, we have focused on international growth and to further develop our energy storage product and delivery services, the operational services, and digital applications. We have incurred net operating losses each year since our inception. Through December 31, 2021, we have financed our operations with the proceeds from our IPO, equity contributions from AES Grid Stability, Siemens Industry, and QFH, cash and cash equivalents, negative working capital, and short-term borrowings.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2021, we deployed cumulative 1,033 MW of energy storage products, compared to 971 MW as of September 30, 2021. New energy storage product contracts executed during the three months ended December 31, 2021 represented total contracted power of approximately 600 MW compared to 96 MW for the three months ended December 31, 2020. We recognized total revenue of $174.9 million, representing an increase of $58.7 million, or 50.5%, for the three months ended December 31, 2021 compared to the three months ended December 31, 2020 as we expanded our sales in terms of the number of energy storage products sold as well as geographic footprint. Our revenue for the three month ended December 31, 2021 has been negatively affected by impacts related to the COVID-19 pandemic, such as delays in shipping energy storage products and temporary closures of customer construction sites. Such delays may continue in fiscal year 2022.</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had a gross loss of $(53.1) million and gross profit margin of (30.4)% for the three months ended December 31, 2021, compared to a gross profit of $4.8 million and gross profit margin of 4.1% for the three months ended December 31, 2020. The gross loss for the three month ended December 31, 2021 has been negatively impacted by (i) capacity constraints within the shipping industry and increased shipping costs, both of which are caused primarily as a result of the COVID-19 pandemic, and (ii) cost overruns and delays we are experiencing in some projects currently under construction.</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gross loss was $(8.4) million and adjusted gross profit margin was (4.8)% for the three months ended December 31, 2021, compared to adjusted gross profit of $4.8 million and adjusted gross profit margin of 4.1% for the three months ended December 31, 2020, representing a decrease of $13.2 million, or (274.1)%, in adjusted gross profit primarily due to project cost overruns and unfavorable foreign currency impacts.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General and administrative, research and development, and sales and marketing expenses increased $24.5 million, $6.6 million, and $8.3 million, or 364.2%, 159.6%, and 175.4%, respectively, for the three months ended December 31, 2021, compared to the three months ended December 31, 2020 as we have been investing heavily in our human capital, technology, products and services to support significant increases in our operations and related revenues. The increases in general and administrative, research and development and sales and marketing expenses include stock based compensation expense of $13.1 million, $1.8 million and $6.4 million, respectively. We expect our operating expenses, exclusive of stock based compensation expense, to increase for the foreseeable future as we experience continuing substantial growth and mature as a public company.</w:t>
      </w:r>
    </w:p>
    <w:p>
      <w:pPr>
        <w:spacing w:after="0" w:line="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the proceeds received from our IPO, cash flows from operations, along with the short-term borrowing will be sufficient to meet our expense and capital requirements for the next twelve months following the filing of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Related Transactions</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November 1, 2021, the Company completed an IPO in which it issued and sold 35,650,000 shares of its Class A common stock at the public offering price of $28.00 per share. The net proceeds to the Company from the IPO were $935.8 million, after deducting underwriting discounts and offering expenses payable by the Company. </w:t>
      </w:r>
      <w:r>
        <w:rPr>
          <w:rFonts w:ascii="Arial" w:cs="Arial" w:eastAsia="Arial" w:hAnsi="Arial"/>
          <w:sz w:val="18"/>
          <w:szCs w:val="18"/>
          <w:color w:val="0D0D0D"/>
        </w:rPr>
        <w:t>The net proceeds from the IPO have been used to purchase 35,650,000 newly issued LLC Interests directly from</w:t>
      </w:r>
      <w:r>
        <w:rPr>
          <w:rFonts w:ascii="Arial" w:cs="Arial" w:eastAsia="Arial" w:hAnsi="Arial"/>
          <w:sz w:val="18"/>
          <w:szCs w:val="18"/>
          <w:color w:val="auto"/>
        </w:rPr>
        <w:t xml:space="preserve"> </w:t>
      </w:r>
      <w:r>
        <w:rPr>
          <w:rFonts w:ascii="Arial" w:cs="Arial" w:eastAsia="Arial" w:hAnsi="Arial"/>
          <w:sz w:val="18"/>
          <w:szCs w:val="18"/>
          <w:color w:val="0D0D0D"/>
        </w:rPr>
        <w:t>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our existing Line of Credit and the Promissory Notes, and the remainder is used for working capital and other general corporate purposes.</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connection with the IPO, the Company and the Founders completed a series of Transactions. Following the completion of the Transactions, the Company owns 31.6% of the economic interest in Fluence Energy, LLC and the Founders own 68.4% of the economic interest in Fluence Energy, LLC. As the sole managing member of Fluence Energy, LLC, the Company operates and controls all the business and affairs of Fluence Energy, LLC and its direct and indirect subsidiaries. As a result, the Company consolidates Fluence Energy, LLC and records a non-controlling interest in its consolidated financial statements for the economic interest in Fluence Energy, LLC held by the Founders. Refer to Note 1 - </w:t>
      </w:r>
      <w:r>
        <w:rPr>
          <w:rFonts w:ascii="Arial" w:cs="Arial" w:eastAsia="Arial" w:hAnsi="Arial"/>
          <w:sz w:val="16"/>
          <w:szCs w:val="16"/>
          <w:i w:val="1"/>
          <w:iCs w:val="1"/>
          <w:color w:val="auto"/>
        </w:rPr>
        <w:t>Organization and Operations</w:t>
      </w:r>
      <w:r>
        <w:rPr>
          <w:rFonts w:ascii="Arial" w:cs="Arial" w:eastAsia="Arial" w:hAnsi="Arial"/>
          <w:sz w:val="16"/>
          <w:szCs w:val="16"/>
          <w:color w:val="auto"/>
        </w:rPr>
        <w:t xml:space="preserve"> to the unaudited condensed consolidated financial statements included in this Report for more information about the IPO and related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11, 2020, the World Health Organization declared the outbreak of a strain of novel coronavirus disease, the COVID-19 pandemic, a global pandemic. Governments in affected areas and countries in which we operate have imposed a number of measures designed to contain the outbreak, including business closures, travel restrictions, quarantines, and cancellations of gatherings and events. We have implemented operational and protective measures to ensure the safety, health, and welfare of our employees and stakeholders. This includes implementing work from home policies for all office employees. We have also ensured that all employees and visitors that visit our facilities have access to personal protective equipment, and we strictly enforce social distancing. Many of the sites where our products and services are delivered have been declared critical infrastructure and remained open following the respective safety protocols. However, many of our customers’ project sites have experienced shutdowns and delays related to COVID-19. We continue to maintain these precautions and procedures until the COVID-19 pandemic is under adequate control. For the three months ended December 31, 2021, the Company incurred $36.9 million in COVID-19 related costs which was included in “Cost of goods and services” in the accompanying condensed consolidated financial statements. The cost was caused by delays in shipping energy storage products and temporary closures of customer construction sites. If these situations continue or there are additional disruptions in our supply chain, it could materially and adversely impact our operating results and financial condition. We continue to actively manage through these temporary supply chain disruptions.</w:t>
      </w:r>
    </w:p>
    <w:p>
      <w:pPr>
        <w:spacing w:after="0" w:line="1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full impact of the COVID-19 pandemic on our financial condition and results of operations will depend on future developments, such as the ultimate duration and scope of the pandemic, its impact on our employees, customers, and vendors, in addition to how quickly normal economic conditions and operations resume and whether the pandemic impacts other risks disclosed in Part I, Item 1A. “Risk Factors” in our 2021 Annual Report. Even after the pandemic has subsided, we may continue to experience adverse impacts to our business from any economic recession or depression that may occur as a result of the pandemic. Therefore, we cannot reasonably estimate the impact at this time. We continue to actively monitor the pandemic and may decide to take further actions that alter our business operations as may be required by federal, state, or local authorities or that we determine to be in the best interests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our employees, customers, vendors, and shareholders</w:t>
      </w:r>
      <w:r>
        <w:rPr>
          <w:rFonts w:ascii="Arial" w:cs="Arial" w:eastAsia="Arial" w:hAnsi="Arial"/>
          <w:sz w:val="21"/>
          <w:szCs w:val="21"/>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Cargo Loss Incident</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April 28, 2021, the Company was notified of an emergency aboard a vessel carrying Fluence inventory. This incident resulted in damage to a portion of our cargo aboard the vessel. We recorded a $13.0 million inventory provision as of September 30, 2021 based on the estimated net realizable value of cargo that was destroyed. During the three months ended December 31, 2021, $11.5 million of inventory was written off against the provision. In addition to the inventory losses, we have incurred and expect to incur incremental expenses related to the incident, primarily consisting of inspection costs, project cost overruns due to logistical changes, legal fees, and fees to dispose of the damaged cargo. The amount of these incremental expenses incurred during fiscal year 2021 were approximately $9.4 million, and we expect to incur at least an additional $7.5 million during fiscal year 2022, of which $4.3 million was recognized in “Cost of goods and services” in the Company’s condensed consolidated statements of operations and comprehensive loss for the three months ended December 31, 2021. We expect insurance proceeds of at least $10.0 million related to non-disputed claims, of which $7.5 million was collected in October 2021 and the remainder is probable of collection.</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notified the marine cargo insurers of the incident and also notified each affected customer of this event, which under relevant supply contracts, provides the Company an extension of the relevant schedule due to the resulting battery supply delays. We believe this event qualifies as force majeure under the contracts with our customers. However, if the incident ultimately is determined not to constitute a force majeure event, the Company estimates potential liquidated damages exposure of approximately $15.0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Overheating Event at Customer Facility</w:t>
      </w:r>
    </w:p>
    <w:p>
      <w:pPr>
        <w:spacing w:after="0" w:line="1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September 4, 2021, a 300 MW energy storage facility owned by one of our customers experienced an overheating event. Fluence served as the energy storage technology provider and installed the facility, which was completed in fiscal year 2021. No injuries were reported from the incident. Since then, the facility was taken offline as teams from Fluence, our customer, and the battery manufacturer investigate the incident. Our customer recently has released initial findings on what it contends is the root cause of the incident. At this time, Fluence cannot comment on or accept the customer’s stated findings, because Fluence’s investigation of the root cause remains ongoing, with continued participation by our customer and other parties involved.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We are currently not able to estimate the impact, if any, that this incident may have on our reputation or financial results, or on the market adoption of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w:t>
      </w:r>
    </w:p>
    <w:p>
      <w:pPr>
        <w:spacing w:after="0" w:line="14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in Item 1A. “Risk Factors” in our 2021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Decrease In Lithium-ion Battery Cost</w:t>
      </w:r>
    </w:p>
    <w:p>
      <w:pPr>
        <w:spacing w:after="0" w:line="15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revenue growth is directly tied to the continued adoption of energy storage products by our customers. The cost of lithium-ion energy storage hardware has declined significantly in the last decade and has resulted in a large addressable market today. However, according to BloombergNEF, higher raw material costs could push the average price of a lithium-ion battery pack from $132 per kilowatt hour (“kWh”) in 2021 to $135/kWh in 2022, which would mark the first annual increase in price since at least 2010, when the average price was above $1,200/kWh. BloombergNEF predicts battery prices could fall below $100/kWh by 2024, although the timing of that decline could be pushed back by two years in the absence of improvements mitigating the short-term price increases. The market for energy storage is rapidly evolving, and while we believe costs will continue to decline over the long term, there is no guarantee that they will decline or decline at the rates we expect, and the short-term increases predicted by BloombergNEF could be larger or last longer than they predict. If costs do not continue to decline, this could adversely affect our ability to increase our revenue or grow our business.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Deployment Of Renewable Energy</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10 years. Energy storage is critical to reducing the intermittency and volatility of solar and wind generation.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for our products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our revenue and ability to generate profits in the future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experience seasonality and typically see increased order intake in our third and fourth fiscal quarters (April – September), driven by demand in the Northern Hemisphere to install energy storage products before the summer of the following year. Combined third and fourth fiscal quarter order intake generally accounted for 80% or more of our total intake each year. As a result, revenue generation is typically significantly stronger in our third and fourth fiscal quarters as we provide the majority of our products to customers during these periods. Cash flows historically have been negative in our first and second fiscal quarters, neutral to positive in our third fiscal quarter, and positive in our fourth fiscal quarter. Our services and digital applications and solutions offerings do not experience the same seasonality given their recurring nature.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describes certain line items in our Condensed Consolidated Statements of Operations and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revenue from the sale of energy storage products, service agreements with customers to provide operational services related to battery-based energy storage products, and from digital application contracts after the acquisition of AMS in fiscal year 2021. Fluence enters into contracts with utility companies, developers, and commercial and industrial customers. We derive the majority of our revenues from selling energy storage products. When we sell a battery-based energy storage product, we enter into a contract with our customers covering the price, specifications, delivery dates and warranty for the products being purchased, among other things.</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revenue growth is dependent on continued growth in the amount of battery-based energy storage products projects constructed each year and our ability to increase our share of demand in the geographies where we currently compete and plan to compete in the future as well as our ability to continue to develop and commercialize new and innovative products that address the changing technology and performance requirements of our customers.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We generally expect the ratio of cost of goods and services to revenue to decrease as sales volumes increase due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economies of scale, however, some of these costs, primarily personnel related costs, are not directly affected by sales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(loss) and gross profit margin may vary from quarter to quarter and is primarily affected by our sales volume, product prices, product costs, product mix, customer mix, geographical mix, shipping method, warranty costs, and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benefits, sales commissions, and payroll taxes. We expect to invest in additional resources to support our growth which will increase our operating expenses in the near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consist primarily of personnel-related expenses, including salaries, benefits, and payroll taxes, for engineers engaged in the design and development of products and technologies, as well as products, materials, and third-party services used in our research and development process.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Sales and marketing expenses consist primarily of personnel-related expenses, including salaries, benefits, amortization of sales commissions, and payroll taxes, for our sales and marketing organization, consultants and other third-party vendors. We expect to increase our sales and marketing personnel as we expand into new geographic markets. We intend to expand our sales presence and marketing efforts to additional countries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General and administrative expenses consist primarily of personnel-related expenses, including salaries, benefits, and payroll taxes, for our executives, sales,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We expect general and administrative expenses to increase in the future as we scale our headcount with the growth of our business. We also expect that we will incur additional audit, tax, accounting, legal and other costs related to compliance with applicable securities and other regulations, as well as additional insurance, investor relations and other costs associated with being a public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Interest expense consists primarily of interest incurred on our Line of Credit and Promissory Notes, unused line fees related to the Revolving Credit Facility, and amortization of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consists of income (expense) from foreign currency exchange adjustments for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Historically, Fluence Energy, LLC was not subject to U.S. federal or state income tax. As such, Fluence Energy, LLC did not pay U.S. federal or state income tax, as taxable income or loss will be included in the U.S. tax returns of its members. Fluence Energy LLC is subject to income taxes, including withholding taxes, outside the U.S. and our income tax expense (benefit) on the consolidated statements of operations primarily relates to income taxes from foreign operations and changes in valuation allowances related to deferred tax assets of certain foreign subsidiaries. After our IPO, we are now subject to U.S. federal and state income taxes with respect to our allocable share of any taxable income or loss of Fluence Energy, LLC, and we are taxed at the prevailing corporate tax rates. We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our key operating metrics as of December 31, 2021 and September 30, 2021, and for the three months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0719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MW)</w:t>
            </w:r>
          </w:p>
        </w:tc>
        <w:tc>
          <w:tcPr>
            <w:tcW w:w="26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December 31, 2021</w:t>
            </w:r>
          </w:p>
        </w:tc>
        <w:tc>
          <w:tcPr>
            <w:tcW w:w="2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September 30, 2021</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6"/>
              </w:rPr>
              <w:t>Change</w:t>
            </w:r>
          </w:p>
        </w:tc>
        <w:tc>
          <w:tcPr>
            <w:tcW w:w="8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w:t>
            </w:r>
          </w:p>
        </w:tc>
        <w:tc>
          <w:tcPr>
            <w:tcW w:w="26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Deployed</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1,033</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971</w:t>
            </w:r>
          </w:p>
        </w:tc>
        <w:tc>
          <w:tcPr>
            <w:tcW w:w="106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3,217</w:t>
            </w: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2,679</w:t>
            </w: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2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13,894</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14,161</w:t>
            </w: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(267)</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26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Asset under Management</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832</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772</w:t>
            </w:r>
          </w:p>
        </w:tc>
        <w:tc>
          <w:tcPr>
            <w:tcW w:w="106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2,108</w:t>
            </w: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1,918</w:t>
            </w: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shd w:val="clear" w:color="auto" w:fill="CCEEFF"/>
          </w:tcPr>
          <w:p>
            <w:pPr>
              <w:spacing w:after="0"/>
              <w:rPr>
                <w:sz w:val="19"/>
                <w:szCs w:val="19"/>
                <w:color w:val="auto"/>
              </w:rPr>
            </w:pPr>
          </w:p>
        </w:tc>
      </w:tr>
      <w:tr>
        <w:trPr>
          <w:trHeight w:val="230"/>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2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11,758</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10,930</w:t>
            </w: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828</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tcPr>
          <w:p>
            <w:pPr>
              <w:spacing w:after="0"/>
              <w:rPr>
                <w:sz w:val="19"/>
                <w:szCs w:val="19"/>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26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Asset under Management</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3,871</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3,108</w:t>
            </w:r>
          </w:p>
        </w:tc>
        <w:tc>
          <w:tcPr>
            <w:tcW w:w="106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19"/>
                <w:szCs w:val="19"/>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1,201</w:t>
            </w:r>
          </w:p>
        </w:tc>
        <w:tc>
          <w:tcPr>
            <w:tcW w:w="2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1,629</w:t>
            </w: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shd w:val="clear" w:color="auto" w:fill="CCEEFF"/>
          </w:tcPr>
          <w:p>
            <w:pPr>
              <w:spacing w:after="0"/>
              <w:rPr>
                <w:sz w:val="19"/>
                <w:szCs w:val="19"/>
                <w:color w:val="auto"/>
              </w:rPr>
            </w:pPr>
          </w:p>
        </w:tc>
      </w:tr>
      <w:tr>
        <w:trPr>
          <w:trHeight w:val="230"/>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2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4,493</w:t>
            </w: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3,301</w:t>
            </w: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1,192</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36.1 %</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 December 31,</w:t>
            </w:r>
          </w:p>
        </w:tc>
        <w:tc>
          <w:tcPr>
            <w:tcW w:w="44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MW)</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0"/>
              </w:rPr>
              <w:t>Change</w:t>
            </w:r>
          </w:p>
        </w:tc>
        <w:tc>
          <w:tcPr>
            <w:tcW w:w="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w:t>
            </w:r>
          </w:p>
        </w:tc>
        <w:tc>
          <w:tcPr>
            <w:tcW w:w="12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600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525.0 %</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12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12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335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0"/>
              </w:rPr>
              <w:t>(186)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Deployed or Asset Under Management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Deployed represents cumulative energy storage products that have achieved substantial completion and are not decommissioned.</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Asset under management for service contracts represents our long-term service contracts with customers associated with our completed energy storage system products. We start providing maintenance, monitoring, or other operational services after the storage product projects are completed.</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Asset under management for digital software contracts represents the amount of MWs under signed digital application contracts, including Fluence Trading Platform after the acquisition of AMS in fiscal year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Contracted Backlog and Contracted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energy storage products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Contracted represents new energy storage product contracts, new service contracts and new digital contracts signed during each fiscal year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Pipeline represents our uncontracted, potential revenue from energy storage products, service, and digital software contracts currently in process, which have a reasonable likelihood of contract execution within 24 months. Pipeline is monitored by management to understand the growth of our Company and our estimated future revenue related to customer contracts for our battery-based energy storage products and services.</w:t>
      </w:r>
    </w:p>
    <w:p>
      <w:pPr>
        <w:spacing w:after="0" w:line="9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at all or in a timely manner, we could experience a reduction in revenue, profitability, and liquidity. Pipeline is an internal management metric that we construct from market information reported by our global sales force. We monitor and track our pipeline, but it is not audited.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contains references to certain non-GAAP financial measures, including Adjusted EBITDA, Adjusted Gross Profit (Loss), Adjusted Gross Profit Margin, Adjusted Net Loss, and Free Cash Flow.</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is calculated from the consolidated statements of operations using net income (loss) adjusted for (i) interest income (expense), net,</w:t>
      </w:r>
    </w:p>
    <w:p>
      <w:pPr>
        <w:spacing w:after="0" w:line="46" w:lineRule="exact"/>
        <w:rPr>
          <w:sz w:val="20"/>
          <w:szCs w:val="20"/>
          <w:color w:val="auto"/>
        </w:rPr>
      </w:pPr>
    </w:p>
    <w:p>
      <w:pPr>
        <w:ind w:firstLine="8"/>
        <w:spacing w:after="0" w:line="260" w:lineRule="auto"/>
        <w:tabs>
          <w:tab w:leader="none" w:pos="2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taxes, (iii) depreciation and amortization, (iv) stock-based compensation, and (v) other non-recurring income or expenses. Adjusted EBITDA may in the future also be adjusted for amounts impacting net income related to the Tax Receivable Agreement liability.</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Gross Profit (Loss) is calculated using gross profit (loss), adjusted to exclude stock-based compensation and certain non-recurring income or expenses. Adjusted Gross Profit Margin is calculated using Adjusted Gross Profit (Loss) divided by total revenue.</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Net Loss is calculated using net loss, adjusted to exclude (i) amortization of intangibles, (ii) stock-based compensation, (iii) other non-recurring income or expenses, and (iv) tax impact of these adjustments.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non-GAAP measures are intended as supplemental measures of performance and/or liquidity that are neither required by, nor presented in accordance with, GAAP. We present these non-GAAP measures because we believe they assist investors and analysts in comparing our performance across reporting periods on a consistent basis by excluding items that we do not believe are indicative of our core operating performance. In addition, we use certain of these non-GAAP measures (i) as factors in evaluating management’s performance when determining incentive compensation and (ii) to evaluate the effectiveness of our business strategies.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our non-GAAP measures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tcBorders>
          </w:tcPr>
          <w:p>
            <w:pPr>
              <w:spacing w:after="0"/>
              <w:rPr>
                <w:sz w:val="21"/>
                <w:szCs w:val="21"/>
                <w:color w:val="auto"/>
              </w:rPr>
            </w:pPr>
          </w:p>
        </w:tc>
        <w:tc>
          <w:tcPr>
            <w:tcW w:w="3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December 31,</w:t>
            </w:r>
          </w:p>
        </w:tc>
        <w:tc>
          <w:tcPr>
            <w:tcW w:w="7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(111,460)</w:t>
            </w:r>
          </w:p>
        </w:tc>
        <w:tc>
          <w:tcPr>
            <w:tcW w:w="128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529</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(615.1)</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34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(327)</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(47.7)</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357</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33.4</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(a)</w:t>
            </w:r>
          </w:p>
        </w:tc>
        <w:tc>
          <w:tcPr>
            <w:tcW w:w="1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24,877</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24,877</w:t>
            </w: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0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Non-recurring expenses</w:t>
            </w:r>
            <w:r>
              <w:rPr>
                <w:rFonts w:ascii="Arial" w:cs="Arial" w:eastAsia="Arial" w:hAnsi="Arial"/>
                <w:sz w:val="23"/>
                <w:szCs w:val="23"/>
                <w:i w:val="1"/>
                <w:iCs w:val="1"/>
                <w:color w:val="auto"/>
                <w:vertAlign w:val="superscript"/>
              </w:rPr>
              <w:t>(b)</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41,350</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41,350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(42,833)</w:t>
            </w:r>
          </w:p>
        </w:tc>
        <w:tc>
          <w:tcPr>
            <w:tcW w:w="12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(10,655)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(32,178)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awards that will be settled in shares and awards that will be settled in cash.</w:t>
      </w:r>
    </w:p>
    <w:p>
      <w:pPr>
        <w:spacing w:after="0" w:line="13" w:lineRule="exact"/>
        <w:rPr>
          <w:rFonts w:ascii="Arial" w:cs="Arial" w:eastAsia="Arial" w:hAnsi="Arial"/>
          <w:sz w:val="14"/>
          <w:szCs w:val="14"/>
          <w:i w:val="1"/>
          <w:iCs w:val="1"/>
          <w:color w:val="auto"/>
        </w:rPr>
      </w:pPr>
    </w:p>
    <w:p>
      <w:pPr>
        <w:ind w:firstLine="8"/>
        <w:spacing w:after="0" w:line="255" w:lineRule="auto"/>
        <w:tabs>
          <w:tab w:leader="none" w:pos="213"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2021 included $5.6 million related to non-recurring excess shipping costs and $31.3 million of project charges and other costs which are compounding effects of the COVID-19 pandemic, $4.3 million related to the 2021 cargo loss incident, and $0.1 million non-recurring IPO-related expenses which did not qualify for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 December 31,</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174,887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116,233</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58,654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r>
      <w:tr>
        <w:trPr>
          <w:trHeight w:val="23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and services</w:t>
            </w: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228,036</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111,434</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116,602</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104.6</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48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(53,149)</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4,799</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(57,948)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(1207.5)</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(a)</w:t>
            </w:r>
          </w:p>
        </w:tc>
        <w:tc>
          <w:tcPr>
            <w:tcW w:w="48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3,528</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3,528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9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Non-recurring expenses</w:t>
            </w:r>
            <w:r>
              <w:rPr>
                <w:rFonts w:ascii="Arial" w:cs="Arial" w:eastAsia="Arial" w:hAnsi="Arial"/>
                <w:sz w:val="23"/>
                <w:szCs w:val="23"/>
                <w:i w:val="1"/>
                <w:iCs w:val="1"/>
                <w:color w:val="auto"/>
                <w:vertAlign w:val="superscript"/>
              </w:rPr>
              <w:t>(b)</w:t>
            </w: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41,266</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41,266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(8,355)</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4,799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(13,154)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Gross Profit Margin %</w:t>
            </w: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awards that will be settled in shares and awards that will be settled in cash.</w:t>
      </w:r>
    </w:p>
    <w:p>
      <w:pPr>
        <w:spacing w:after="0" w:line="13" w:lineRule="exact"/>
        <w:rPr>
          <w:rFonts w:ascii="Arial" w:cs="Arial" w:eastAsia="Arial" w:hAnsi="Arial"/>
          <w:sz w:val="14"/>
          <w:szCs w:val="14"/>
          <w:i w:val="1"/>
          <w:iCs w:val="1"/>
          <w:color w:val="auto"/>
        </w:rPr>
      </w:pPr>
    </w:p>
    <w:p>
      <w:pPr>
        <w:ind w:firstLine="8"/>
        <w:spacing w:after="0" w:line="255" w:lineRule="auto"/>
        <w:tabs>
          <w:tab w:leader="none" w:pos="204"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2021 included $5.6 million related to non-recurring excess shipping costs and $31.3 million of project charges and other costs which are compounding effects of the COVID-19 pandemic, and $4.3 million related to the 2021 cargo loss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3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December 31,</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(111,460)</w:t>
            </w:r>
          </w:p>
        </w:tc>
        <w:tc>
          <w:tcPr>
            <w:tcW w:w="138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(98,964)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118</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w:t>
            </w:r>
          </w:p>
        </w:tc>
      </w:tr>
      <w:tr>
        <w:trPr>
          <w:trHeight w:val="230"/>
        </w:trPr>
        <w:tc>
          <w:tcPr>
            <w:tcW w:w="4060" w:type="dxa"/>
            <w:vAlign w:val="bottom"/>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(a)</w:t>
            </w:r>
          </w:p>
        </w:tc>
        <w:tc>
          <w:tcPr>
            <w:tcW w:w="1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24,877</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24,877</w:t>
            </w:r>
          </w:p>
        </w:tc>
        <w:tc>
          <w:tcPr>
            <w:tcW w:w="13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0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Non-recurring expenses</w:t>
            </w:r>
            <w:r>
              <w:rPr>
                <w:rFonts w:ascii="Arial" w:cs="Arial" w:eastAsia="Arial" w:hAnsi="Arial"/>
                <w:sz w:val="23"/>
                <w:szCs w:val="23"/>
                <w:i w:val="1"/>
                <w:iCs w:val="1"/>
                <w:color w:val="auto"/>
                <w:vertAlign w:val="superscript"/>
              </w:rPr>
              <w:t>(b)</w:t>
            </w:r>
          </w:p>
        </w:tc>
        <w:tc>
          <w:tcPr>
            <w:tcW w:w="1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41,350</w:t>
            </w:r>
          </w:p>
        </w:tc>
        <w:tc>
          <w:tcPr>
            <w:tcW w:w="1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41,350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Loss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(44,315)</w:t>
            </w:r>
          </w:p>
        </w:tc>
        <w:tc>
          <w:tcPr>
            <w:tcW w:w="13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(11,696)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(32,619)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awards that will be settled in shares and awards that will be settled in cash.</w:t>
      </w:r>
    </w:p>
    <w:p>
      <w:pPr>
        <w:spacing w:after="0" w:line="13" w:lineRule="exact"/>
        <w:rPr>
          <w:rFonts w:ascii="Arial" w:cs="Arial" w:eastAsia="Arial" w:hAnsi="Arial"/>
          <w:sz w:val="14"/>
          <w:szCs w:val="14"/>
          <w:i w:val="1"/>
          <w:iCs w:val="1"/>
          <w:color w:val="auto"/>
        </w:rPr>
      </w:pPr>
    </w:p>
    <w:p>
      <w:pPr>
        <w:ind w:firstLine="8"/>
        <w:spacing w:after="0" w:line="255" w:lineRule="auto"/>
        <w:tabs>
          <w:tab w:leader="none" w:pos="204"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2021 included $5.6 million related to non-recurring excess shipping costs and $31.3 million of project charges and other costs which are compounding effects of the COVID-19 pandemic, $4.3 million related to the 2021 cargo loss incident, and $0.1 million non-recurring IPO-related expenses which did not qualify for capitalization.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98"/>
              </w:rPr>
              <w:t>Three Months Ended December 31,</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(191,551)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(133,243)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Purchase of property and equipment</w:t>
            </w: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185</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(17.5)</w:t>
            </w:r>
          </w:p>
        </w:tc>
      </w:tr>
      <w:tr>
        <w:trPr>
          <w:trHeight w:val="248"/>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(192,421)</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(133,058)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December 31, 2021 to the Three Months Ended December 31, 2020</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7"/>
              </w:rPr>
              <w:t>Three Months Ended December 31,</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174,887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116,233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58,654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r>
      <w:tr>
        <w:trPr>
          <w:trHeight w:val="23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of goods and services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228,036</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111,434</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116,602</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104.6</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(53,149)</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4,799</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(57,948)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(1207.5)</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Gross Profit %</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4.1 %</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10,758</w:t>
            </w:r>
          </w:p>
        </w:tc>
        <w:tc>
          <w:tcPr>
            <w:tcW w:w="4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4,144</w:t>
            </w:r>
          </w:p>
        </w:tc>
        <w:tc>
          <w:tcPr>
            <w:tcW w:w="32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6,614</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159.6</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13,059</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4,741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8,318</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175.4</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31,201</w:t>
            </w:r>
          </w:p>
        </w:tc>
        <w:tc>
          <w:tcPr>
            <w:tcW w:w="4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6,722</w:t>
            </w:r>
          </w:p>
        </w:tc>
        <w:tc>
          <w:tcPr>
            <w:tcW w:w="32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24,479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364.2</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1,427</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1,070</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357</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33.4</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682</w:t>
            </w:r>
          </w:p>
        </w:tc>
        <w:tc>
          <w:tcPr>
            <w:tcW w:w="4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593</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666.3</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(826)</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(982)</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(629.5)</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(111,102)</w:t>
            </w:r>
          </w:p>
        </w:tc>
        <w:tc>
          <w:tcPr>
            <w:tcW w:w="42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(11,811)</w:t>
            </w:r>
          </w:p>
        </w:tc>
        <w:tc>
          <w:tcPr>
            <w:tcW w:w="3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(99,291)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(840.7)</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358</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685</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(327)</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(47.7)</w:t>
            </w: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(111,460)</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(12,496)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(98,964)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r>
      <w:tr>
        <w:trPr>
          <w:trHeight w:val="223"/>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(82,655)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(12,496)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(70,159)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attributable to Fluence Energy,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(28,805)</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Total revenue increased from $116.2 million for the three months ended December 31, 2020 to $174.9 million for the three months ended December 31, 2021. The $58.7 million, or 50.5%, increase was mainly from the sales of our battery energy storage products as we expanded our business, particularly in the Americas and EMEA regions. While we continued our growth, our revenue for the three months ended December 31, 2021 has been negatively affected by impacts related to the COVID-19 pandemic, such as delays in shipping energy storage products and temporary closures of customer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construction sites</w:t>
      </w:r>
      <w:r>
        <w:rPr>
          <w:rFonts w:ascii="Arial" w:cs="Arial" w:eastAsia="Arial" w:hAnsi="Arial"/>
          <w:sz w:val="21"/>
          <w:szCs w:val="21"/>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increased from $111.4 million for the three months ended December 31, 2020 to $228.0 million for the three months ended December 31, 2021. The $116.6 million, or 104.6%, increase was primarily from materials and supplies associated with the sale of our battery energy storage products due to increased sales volume, as well as $36.9 million of increased shipping costs and project charges primarily attributable to the COVID-19 pandemic, and $3.5 million of stock based compensation expense.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loss was $(53.1) million, and gross profit margin was (30.4)%, for the three months ended December 31, 2021, compared to a gross profit of $4.8 million, and a gross profit margin of 4.1%, for the three months ended December 31, 2020. The gross loss for the three months ended December 31, 2021 has been negatively impacted by (i) capacity constraints within the shipping industry and increased shipping costs, both of which are caused primarily as a result of the COVID-19 pandemic, (ii) cost overruns, delays and other project charges we are experiencing in some projects currently under construction, and (iii) the Cargo Loss Incident.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increased from $4.1 million for the three months ended December 31, 2020 to $10.8 million for the three months ended December 31, 2021. The $6.6 million, or 159.6%, increase for the three months ended December 31, 2021 compared to the same period prior year was mainly related to increased salaries and personnel-related costs due to higher headcount to support the growth of the Company, including $1.8 million of stock 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Sales and marketing expenses increased from $4.7 million for the three months ended December 31, 2020 to $13.1 million for the three months ended December 31, 2021. The increase of $8.3 million, or 175.4%, is primarily related to increased personnel-related expenses for our sales and marketing organization, consultants and other third-party vendors, including $6.4 million of stock based compensation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increased from $6.7 million for the three months ended December 31, 2020 to $31.2 million for the three months ended December 31, 2021. The increase of $24.5 million, or 364.2%, was mainly related to increases in personnel-related expenses including corporate, executive, finance, and other administrative functions, including $13.1 million of stock based compensation expense, as well as expenses for outside professional services as we have been expanding our personnel headcount rapidly to support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increased from $1.1 million for the three months ended December 31, 2020 to $1.4 million for the three months ended December 31, 2021. The slight increase was attributable to the depreciation from increased fixed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was $0.7 million for the three months ended December 31, 2021, compared to $0.1 million for the three months ended December 31, 2020. The increase was mainly due to increased short-term borrowings from the Promissory Notes and Line of Credit, unused line fees related to the Revolver, and amortization of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expense was $(0.8) million for the three months ended December 31, 2021, compared to other income of $0.2 million for the three months ended December 31, 2020. The change was mainly a result of foreign currency exchange adjustments for monetary assets and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Income tax expense decreased from $0.7 million for the three months ended December 31, 2020 to $0.4 million for the three months ended December 31, 2021. The effective income tax rate was (0.3)% and (5.8)% for the three months ended December 31, 2021 and 2020, respectively. The decrease in income tax expense and change in effective tax rate were primarily due to an increase in global pre-tax loss.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inception and through December 31, 2021, our principal sources of liquidity were the proceeds from our IPO, our cash and cash equivalents, short-term borrowings, capital contributions from AES Grid Stability and Siemens Industry, and proceeds from the QFH investment and supply chain financing.</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November 1, 2021, Upon the closing of our IPO, we received net proceeds of $935.8 million, after deducting underwriting discounts and offering expenses payable by the Company. </w:t>
      </w:r>
      <w:r>
        <w:rPr>
          <w:rFonts w:ascii="Arial" w:cs="Arial" w:eastAsia="Arial" w:hAnsi="Arial"/>
          <w:sz w:val="18"/>
          <w:szCs w:val="18"/>
          <w:color w:val="0D0D0D"/>
        </w:rPr>
        <w:t>The net proceeds from the IPO have been used to purchase 35,650,000 newly issued LLC Interests directly from</w:t>
      </w:r>
      <w:r>
        <w:rPr>
          <w:rFonts w:ascii="Arial" w:cs="Arial" w:eastAsia="Arial" w:hAnsi="Arial"/>
          <w:sz w:val="18"/>
          <w:szCs w:val="18"/>
          <w:color w:val="auto"/>
        </w:rPr>
        <w:t xml:space="preserve"> </w:t>
      </w:r>
      <w:r>
        <w:rPr>
          <w:rFonts w:ascii="Arial" w:cs="Arial" w:eastAsia="Arial" w:hAnsi="Arial"/>
          <w:sz w:val="18"/>
          <w:szCs w:val="18"/>
          <w:color w:val="0D0D0D"/>
        </w:rPr>
        <w:t>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our existing Line of Credit and the Promissory Notes, and the remainder is used for working capital and other general corporate purposes.</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IPO, we had a Line of Credit with Citibank which allowed us to borrow an amount in aggregate not to exceed $50.0 million, with the expiration date on March 31, 2023. During the three months ended December 31, 2021, the Company paid off the $50.0 million outstanding borrowing under the Line of Credit using the proceeds from the IPO. The Line of Credit was canceled shortly thereafter.</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(together, the “Promissory Notes”). The Promissory Notes bear interest at a rate of 2.86%. The Promissory Notes were repaid on November 1, 2021 using proceeds from the IPO.</w:t>
      </w:r>
    </w:p>
    <w:p>
      <w:pPr>
        <w:spacing w:after="0" w:line="10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December 31, 2021, AES and Siemens issued guarantees of $50.0 million each, for a total of $100.0 million, to the SCF Bank on our behalf. As of December 31, 2021, we had $34.6 million of payables outstanding subject to the program. All outstanding payments owed under the program are recorded within “Accounts payable” on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entered into a Revolving Credit Facility on November 1, 2021,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is $190.0 million from the lenders party including JP Morgan Chase Bank, N.A., Morgan Stanley Senior Funding, Inc., Bank of America, N.A., Barclays Bank PLC, and five other banks. The maturity date of the Revolver is November 1, 2025.</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interest rate is either (i) the Adjusted LIBOR or Adjusted EURIBO Rate (each as defined in the Revolver) plus 3.0% or (ii) the Alternate Base Rate (as defined in the Revolver)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which will be the four-year anniversary of the closing date of the Revolver. The Revolver also provides for up to $190.0 million in letter of credit issuances, which will require customary issuance and administration fees, as well as a fronting fee payable to each issuer thereof and a letter of credit participation fee of 2.75% per annum payable to the lenders.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Revolver contains covenants that, among other things, will restrict our ability to incur additional indebtedness; incur liens; sell, transfer, or dispose of property and assets; make investments or acquisitions; make dividends, distributions, or other restricted payments; and engage in affiliate transactions. The Revolver limits our ability to make certain payments, including dividends and distributions on Fluence Energy, LLC’s equity, Fluence Energy, Inc.’s equity and other restricted payments.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(191,551)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2"/>
              </w:rPr>
              <w:t>(58,308)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(133,243)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610"/>
              <w:spacing w:after="0"/>
              <w:rPr>
                <w:sz w:val="20"/>
                <w:szCs w:val="20"/>
                <w:color w:val="auto"/>
              </w:rPr>
            </w:pPr>
            <w:r>
              <w:rPr>
                <w:rFonts w:ascii="Arial" w:cs="Arial" w:eastAsia="Arial" w:hAnsi="Arial"/>
                <w:sz w:val="18"/>
                <w:szCs w:val="18"/>
                <w:color w:val="auto"/>
                <w:w w:val="92"/>
              </w:rPr>
              <w:t>(19,055)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18,185</w:t>
            </w:r>
          </w:p>
        </w:tc>
        <w:tc>
          <w:tcPr>
            <w:tcW w:w="138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833,487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7"/>
              </w:rPr>
              <w:t>22,000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811,487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3688.6 %</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flows used in operating activities were $191.6 million for the three months ended December 31, 2021 compared to $58.3 million for the three months ended December 31, 2020. The increase in net operating cash outflows was mainly due to increased net loss for the three months ended December 31, 2021, $81.1 million decrease in accounts payable, and $60.0 million advance payment as a capacity guarantee pursuant to a purchase agreement with one of our suppliers.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flows used in investing activities were $0.9 million for the three months ended December 31, 2021, which is related to the purchases of property and equipment. Net cash flows used in investing activities were $19.1 million for the three months ended December 31, 2020, which included $18.0 million cash paid for a business acquisition and $1.1 million purchases of property and equipment.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flows provided by financing activities were $833.5 million for the three months ended December 31, 2021, which included $948.0 million net proceeds from issuance of Class A common stock sold in the IPO, net of underwriting discounts, offset by the repayment of $100.0 million short term borrowings from the Line of Credit and the Promissory Notes, a $6.3 million payment of transaction cost related to issuance of membership units, $5.5 million payments of IPO costs, and $2.7 million payments of debt issuance costs related to the Revolver. Cash flows provided by financing activities of $22.0 million for the three months ended December 31, 2020 related to short term borrowings under the Line of Credit.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Support and Reimbursement Agreement</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Credit Support and Reimbursement Agreement will not provide any credit support from September 30, 2026, provided that either AES or Siemens Industry will be permitted to terminate the agreement upon six months prior notice.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Historically, Fluence Energy, LLC was not subject to U.S. federal or state income tax. As such, Fluence Energy, LLC did not pay U.S. federal or state income tax, as taxable income or loss will be included in the U.S. tax returns of its members. Fluence Energy LLC is subject to income taxes, including withholding taxes, outside the U.S. and our income tax expense (benefit) on the consolidated statements of operations primarily relates to income taxes from foreign operations and changes in valuation allowances related to deferred tax assets of certain foreign subsidiaries. After our IPO, we are now subject to U.S. federal and state income taxes with respect to our allocable share of any taxable income or loss of Fluence Energy, LLC, and we are taxed at the prevailing corporate tax rates. We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5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other significant changes in application of our critical accounting policies or estimation procedures from those presented in our 2021 Annual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with respect to our market risk disclosed in our 2021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required by SEC Rule 13a-15(b), our management, with the participation of our Chief Executive Officer and Chief Financial Officer, carried out an evaluation of the effectiveness of our disclosure controls and procedures as of December 31, 2021, the end of the period covered by this Report. Based upon that evaluation, and as a result of the material weaknesses described below, management concluded that, as of December 31, 2021, our disclosure controls and procedures were not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and Remediation Measures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2021, a material weakness in the internal control over revenue recognition process has not been remediated. The design and implementation of controls did not sufficiently interpret ASC 606 and its application to in-transit, uninstalled or delivered equipment, as well as liquidated damages. We are in the process of remediating the material weakness which includes, without limitation, i) hiring additional experienced accounting, financial reporting and internal control personnel, ii) implementing controls to enhance our review of significant accounting transactions and other new technical accounting and financial reporting issues and preparing and reviewing accounting memoranda addressing these issues, and iii) implementing controls to enable an effective and timely review of account analyses and account reconciliations. We have recently hired additional resources, and we have engaged with a third-party consulting firm to assist us with our formal internal control plan and provide staff augmentation.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will not be able to conclude whether the steps we are taking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taking actions to remediate the material weaknesses relating to our internal control over financial reporting. Other than the changes to our internal control over financial reporting described in “Material Weakness and Remediation Measures” above, 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be involved in litigation relating to claims that arise out of our operations and businesses and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contingencies, please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unaudited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There have been no material changes with respect to our risk factors disclosed in our 2021 Annual Report, except as stated below. You should carefully consider the risks described in </w:t>
      </w:r>
      <w:hyperlink r:id="rId78">
        <w:r>
          <w:rPr>
            <w:rFonts w:ascii="Arial" w:cs="Arial" w:eastAsia="Arial" w:hAnsi="Arial"/>
            <w:sz w:val="18"/>
            <w:szCs w:val="18"/>
            <w:u w:val="single" w:color="auto"/>
            <w:color w:val="0000FF"/>
          </w:rPr>
          <w:t>Item 1A. "Risk Factors" of our 2021 Annual Report</w:t>
        </w:r>
      </w:hyperlink>
      <w:r>
        <w:rPr>
          <w:rFonts w:ascii="Arial" w:cs="Arial" w:eastAsia="Arial" w:hAnsi="Arial"/>
          <w:sz w:val="18"/>
          <w:szCs w:val="18"/>
          <w:color w:val="auto"/>
        </w:rPr>
        <w:t>, which are incorporated herein by reference, together with all of the other information included in this Report, before making an investment decision. Our business, financial condition and results of operations could be materially and adversely affected by any of these risks or uncertainties.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changes in the cost of raw materials or to logistic cost could adversely affect our financial performance.</w:t>
      </w:r>
    </w:p>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risk from fluctuating market prices of certain commodity raw materials, including steel, aluminum, lithium carbonate and cobalt, that are used in the components from suppliers, such as lithium-ion batteries, that are used in our energy storage products. Our revenue growth is directly tied to the continued adoption of energy storage products by our customers, which may be affected by price fluctuations, or if lithium-ion storage technology is not competitive with other storage technologies. Prices of these raw materials may be affected by supply restrictions or other logistic costs market factors from time to time. As we are not the direct buyer of these raw materials, we do not enter into hedging arrangements to mitigate commodity risk. Significant price changes for these raw materials could reduce our operating margins if suppliers increase component prices and we are unable to recover such increases from our customers, and could harm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consummation of our IPO, the Company issued (i) 117,173,390 shares of Class B-1 common stock of the Company, par value $0.00001 per share, consisting of 58,586,695 shares issued to AES Grid Stability and 58,586,695 shares issued to Siemens Industry, on a one-to-one basis equal to the number of LLC Interests they own, respectively, in exchange for nominal consideration and (ii) 18,493,275 shares of the Common Stock to Qatar Holding LLC, as consideration in the Blocker Mergers undertaken in connection with the IPO, in exchange for the LLC Interests the Blocker Company held prior to the Blocker Merger (the “Exchange”) .</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underwriters were involved in the issuance and sale of the shares of Class B-1 common stock or the issuance of shares of Common Stock pursuant to the Exchange. The shares of Class B-1 common stock and shares of Common Stock issued to Qatar Holding LLC pursuant to the Exchange were issued in reliance upon an exemption from registration pursuant to Section 4(a)(2) of the Securities Act on the basis that the transaction did not involve a public offering.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D0D0D"/>
        </w:rPr>
        <w:t xml:space="preserve">On November 1, 2021, we completed our IPO, in which we issued and sold </w:t>
      </w:r>
      <w:r>
        <w:rPr>
          <w:rFonts w:ascii="Arial" w:cs="Arial" w:eastAsia="Arial" w:hAnsi="Arial"/>
          <w:sz w:val="16"/>
          <w:szCs w:val="16"/>
          <w:color w:val="000000"/>
        </w:rPr>
        <w:t>35,650,000</w:t>
      </w:r>
      <w:r>
        <w:rPr>
          <w:rFonts w:ascii="Arial" w:cs="Arial" w:eastAsia="Arial" w:hAnsi="Arial"/>
          <w:sz w:val="16"/>
          <w:szCs w:val="16"/>
          <w:color w:val="0D0D0D"/>
        </w:rPr>
        <w:t xml:space="preserve"> shares of our Class A common stock at a price to the public of $28.00 per share. We raised net proceeds of $935.8 million </w:t>
      </w:r>
      <w:r>
        <w:rPr>
          <w:rFonts w:ascii="Arial" w:cs="Arial" w:eastAsia="Arial" w:hAnsi="Arial"/>
          <w:sz w:val="16"/>
          <w:szCs w:val="16"/>
          <w:color w:val="000000"/>
        </w:rPr>
        <w:t>after deducting underwriting discounts and offering expenses payable by the Company.</w:t>
      </w:r>
      <w:r>
        <w:rPr>
          <w:rFonts w:ascii="Arial" w:cs="Arial" w:eastAsia="Arial" w:hAnsi="Arial"/>
          <w:sz w:val="16"/>
          <w:szCs w:val="16"/>
          <w:color w:val="0D0D0D"/>
        </w:rPr>
        <w:t xml:space="preserve"> The net proceeds from our IPO were used to purchase 35,650,000 newly issued LLC Interests directly from Fluence Energy, LLC at a price per unit equal to the IPO price per share of Class A common stock less the underwriting discount and estimated offering expenses payable by us.</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D0D0D"/>
        </w:rPr>
        <w:t>Fluence Energy, LLC used the net proceeds from the sale of LLC Interests to Fluence Energy, Inc. to repay all outstanding borrowings under our existing Line of Credit and the Promissory Notes, and the remainder will be for working capital and other general corporate purposes.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Arial" w:cs="Arial" w:eastAsia="Arial" w:hAnsi="Arial"/>
          <w:sz w:val="16"/>
          <w:szCs w:val="16"/>
          <w:color w:val="0D0D0D"/>
        </w:rPr>
        <w:t>There has been no material change in the expected use of net proceeds from the IPO as described in the IPO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Incorporated by Reference</w:t>
            </w:r>
          </w:p>
        </w:tc>
      </w:tr>
      <w:tr>
        <w:trPr>
          <w:trHeight w:val="328"/>
        </w:trPr>
        <w:tc>
          <w:tcPr>
            <w:tcW w:w="120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6"/>
        </w:trPr>
        <w:tc>
          <w:tcPr>
            <w:tcW w:w="12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7"/>
              </w:rPr>
              <w:t>No.</w:t>
            </w:r>
          </w:p>
        </w:tc>
        <w:tc>
          <w:tcPr>
            <w:tcW w:w="520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File No.</w:t>
            </w:r>
          </w:p>
        </w:tc>
        <w:tc>
          <w:tcPr>
            <w:tcW w:w="32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Exhibit No. Filing Date</w:t>
            </w:r>
          </w:p>
        </w:tc>
      </w:tr>
      <w:tr>
        <w:trPr>
          <w:trHeight w:val="202"/>
        </w:trPr>
        <w:tc>
          <w:tcPr>
            <w:tcW w:w="1200" w:type="dxa"/>
            <w:vAlign w:val="bottom"/>
            <w:shd w:val="clear" w:color="auto" w:fill="CCEEFF"/>
          </w:tcPr>
          <w:p>
            <w:pPr>
              <w:jc w:val="center"/>
              <w:ind w:right="13"/>
              <w:spacing w:after="0" w:line="202" w:lineRule="exact"/>
              <w:rPr>
                <w:sz w:val="20"/>
                <w:szCs w:val="20"/>
                <w:color w:val="auto"/>
              </w:rPr>
            </w:pPr>
            <w:r>
              <w:rPr>
                <w:rFonts w:ascii="Arial" w:cs="Arial" w:eastAsia="Arial" w:hAnsi="Arial"/>
                <w:sz w:val="18"/>
                <w:szCs w:val="18"/>
                <w:color w:val="auto"/>
                <w:w w:val="87"/>
              </w:rPr>
              <w:t>3.1</w:t>
            </w:r>
          </w:p>
        </w:tc>
        <w:tc>
          <w:tcPr>
            <w:tcW w:w="5200" w:type="dxa"/>
            <w:vAlign w:val="bottom"/>
            <w:gridSpan w:val="13"/>
            <w:shd w:val="clear" w:color="auto" w:fill="CCEEFF"/>
          </w:tcPr>
          <w:p>
            <w:pPr>
              <w:spacing w:after="0" w:line="202"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Amended and Restated Certificate of Incorporation of Fluence Energy,</w:t>
              </w:r>
            </w:hyperlink>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0"/>
              </w:rPr>
              <w:t>001-40978</w:t>
            </w:r>
          </w:p>
        </w:tc>
        <w:tc>
          <w:tcPr>
            <w:tcW w:w="11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3.1</w:t>
            </w:r>
          </w:p>
        </w:tc>
        <w:tc>
          <w:tcPr>
            <w:tcW w:w="21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November 3, 2021</w:t>
            </w:r>
          </w:p>
        </w:tc>
      </w:tr>
      <w:tr>
        <w:trPr>
          <w:trHeight w:val="217"/>
        </w:trPr>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0000FF"/>
              <w:bottom w:val="single" w:sz="8" w:color="0000FF"/>
            </w:tcBorders>
            <w:shd w:val="clear" w:color="auto" w:fill="CCEEFF"/>
          </w:tcPr>
          <w:p>
            <w:pPr>
              <w:spacing w:after="0" w:line="182" w:lineRule="exact"/>
              <w:rPr>
                <w:rFonts w:ascii="Arial" w:cs="Arial" w:eastAsia="Arial" w:hAnsi="Arial"/>
                <w:sz w:val="18"/>
                <w:szCs w:val="18"/>
                <w:color w:val="0000FF"/>
                <w:w w:val="89"/>
              </w:rPr>
            </w:pPr>
            <w:hyperlink r:id="rId81">
              <w:r>
                <w:rPr>
                  <w:rFonts w:ascii="Arial" w:cs="Arial" w:eastAsia="Arial" w:hAnsi="Arial"/>
                  <w:sz w:val="18"/>
                  <w:szCs w:val="18"/>
                  <w:color w:val="0000FF"/>
                  <w:w w:val="89"/>
                </w:rPr>
                <w:t>Inc.</w:t>
              </w:r>
            </w:hyperlink>
          </w:p>
        </w:tc>
        <w:tc>
          <w:tcPr>
            <w:tcW w:w="4820" w:type="dxa"/>
            <w:vAlign w:val="bottom"/>
            <w:tcBorders>
              <w:top w:val="single" w:sz="8" w:color="0000FF"/>
              <w:bottom w:val="single" w:sz="8" w:color="CCEEFF"/>
            </w:tcBorders>
            <w:gridSpan w:val="1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9"/>
        </w:trPr>
        <w:tc>
          <w:tcPr>
            <w:tcW w:w="1200" w:type="dxa"/>
            <w:vAlign w:val="bottom"/>
          </w:tcPr>
          <w:p>
            <w:pPr>
              <w:jc w:val="center"/>
              <w:ind w:right="13"/>
              <w:spacing w:after="0" w:line="189" w:lineRule="exact"/>
              <w:rPr>
                <w:sz w:val="20"/>
                <w:szCs w:val="20"/>
                <w:color w:val="auto"/>
              </w:rPr>
            </w:pPr>
            <w:r>
              <w:rPr>
                <w:rFonts w:ascii="Arial" w:cs="Arial" w:eastAsia="Arial" w:hAnsi="Arial"/>
                <w:sz w:val="18"/>
                <w:szCs w:val="18"/>
                <w:color w:val="auto"/>
                <w:w w:val="87"/>
              </w:rPr>
              <w:t>3.2</w:t>
            </w:r>
          </w:p>
        </w:tc>
        <w:tc>
          <w:tcPr>
            <w:tcW w:w="5200" w:type="dxa"/>
            <w:vAlign w:val="bottom"/>
            <w:gridSpan w:val="13"/>
          </w:tcPr>
          <w:p>
            <w:pPr>
              <w:spacing w:after="0" w:line="189" w:lineRule="exact"/>
              <w:rPr>
                <w:rFonts w:ascii="Arial" w:cs="Arial" w:eastAsia="Arial" w:hAnsi="Arial"/>
                <w:sz w:val="18"/>
                <w:szCs w:val="18"/>
                <w:color w:val="0000FF"/>
              </w:rPr>
            </w:pPr>
            <w:hyperlink r:id="rId82">
              <w:r>
                <w:rPr>
                  <w:rFonts w:ascii="Arial" w:cs="Arial" w:eastAsia="Arial" w:hAnsi="Arial"/>
                  <w:sz w:val="18"/>
                  <w:szCs w:val="18"/>
                  <w:color w:val="0000FF"/>
                </w:rPr>
                <w:t>Amended and Restated Bylaws of Fluence Energy, Inc.</w:t>
              </w:r>
            </w:hyperlink>
          </w:p>
        </w:tc>
        <w:tc>
          <w:tcPr>
            <w:tcW w:w="560" w:type="dxa"/>
            <w:vAlign w:val="bottom"/>
          </w:tcPr>
          <w:p>
            <w:pPr>
              <w:ind w:left="20"/>
              <w:spacing w:after="0" w:line="189" w:lineRule="exact"/>
              <w:rPr>
                <w:sz w:val="20"/>
                <w:szCs w:val="20"/>
                <w:color w:val="auto"/>
              </w:rPr>
            </w:pPr>
            <w:r>
              <w:rPr>
                <w:rFonts w:ascii="Arial" w:cs="Arial" w:eastAsia="Arial" w:hAnsi="Arial"/>
                <w:sz w:val="18"/>
                <w:szCs w:val="18"/>
                <w:color w:val="auto"/>
              </w:rPr>
              <w:t>8-K</w:t>
            </w:r>
          </w:p>
        </w:tc>
        <w:tc>
          <w:tcPr>
            <w:tcW w:w="1000" w:type="dxa"/>
            <w:vAlign w:val="bottom"/>
          </w:tcPr>
          <w:p>
            <w:pPr>
              <w:ind w:left="200"/>
              <w:spacing w:after="0" w:line="189" w:lineRule="exact"/>
              <w:rPr>
                <w:sz w:val="20"/>
                <w:szCs w:val="20"/>
                <w:color w:val="auto"/>
              </w:rPr>
            </w:pPr>
            <w:r>
              <w:rPr>
                <w:rFonts w:ascii="Arial" w:cs="Arial" w:eastAsia="Arial" w:hAnsi="Arial"/>
                <w:sz w:val="18"/>
                <w:szCs w:val="18"/>
                <w:color w:val="auto"/>
                <w:w w:val="90"/>
              </w:rPr>
              <w:t>001-40978</w:t>
            </w:r>
          </w:p>
        </w:tc>
        <w:tc>
          <w:tcPr>
            <w:tcW w:w="1180" w:type="dxa"/>
            <w:vAlign w:val="bottom"/>
          </w:tcPr>
          <w:p>
            <w:pPr>
              <w:ind w:left="700"/>
              <w:spacing w:after="0" w:line="189" w:lineRule="exact"/>
              <w:rPr>
                <w:sz w:val="20"/>
                <w:szCs w:val="20"/>
                <w:color w:val="auto"/>
              </w:rPr>
            </w:pPr>
            <w:r>
              <w:rPr>
                <w:rFonts w:ascii="Arial" w:cs="Arial" w:eastAsia="Arial" w:hAnsi="Arial"/>
                <w:sz w:val="18"/>
                <w:szCs w:val="18"/>
                <w:color w:val="auto"/>
              </w:rPr>
              <w:t>3.2</w:t>
            </w:r>
          </w:p>
        </w:tc>
        <w:tc>
          <w:tcPr>
            <w:tcW w:w="2100" w:type="dxa"/>
            <w:vAlign w:val="bottom"/>
          </w:tcPr>
          <w:p>
            <w:pPr>
              <w:ind w:left="260"/>
              <w:spacing w:after="0" w:line="189" w:lineRule="exact"/>
              <w:rPr>
                <w:sz w:val="20"/>
                <w:szCs w:val="20"/>
                <w:color w:val="auto"/>
              </w:rPr>
            </w:pPr>
            <w:r>
              <w:rPr>
                <w:rFonts w:ascii="Arial" w:cs="Arial" w:eastAsia="Arial" w:hAnsi="Arial"/>
                <w:sz w:val="18"/>
                <w:szCs w:val="18"/>
                <w:color w:val="auto"/>
              </w:rPr>
              <w:t>November 3, 2021</w:t>
            </w:r>
          </w:p>
        </w:tc>
      </w:tr>
      <w:tr>
        <w:trPr>
          <w:trHeight w:val="20"/>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ind w:right="13"/>
              <w:spacing w:after="0" w:line="189" w:lineRule="exact"/>
              <w:rPr>
                <w:sz w:val="20"/>
                <w:szCs w:val="20"/>
                <w:color w:val="auto"/>
              </w:rPr>
            </w:pPr>
            <w:r>
              <w:rPr>
                <w:rFonts w:ascii="Arial" w:cs="Arial" w:eastAsia="Arial" w:hAnsi="Arial"/>
                <w:sz w:val="18"/>
                <w:szCs w:val="18"/>
                <w:color w:val="auto"/>
                <w:w w:val="99"/>
              </w:rPr>
              <w:t>31.1*</w:t>
            </w:r>
          </w:p>
        </w:tc>
        <w:tc>
          <w:tcPr>
            <w:tcW w:w="5200" w:type="dxa"/>
            <w:vAlign w:val="bottom"/>
            <w:gridSpan w:val="13"/>
            <w:shd w:val="clear" w:color="auto" w:fill="CCEEFF"/>
          </w:tcPr>
          <w:p>
            <w:pPr>
              <w:spacing w:after="0" w:line="189" w:lineRule="exact"/>
              <w:rPr>
                <w:rFonts w:ascii="Arial" w:cs="Arial" w:eastAsia="Arial" w:hAnsi="Arial"/>
                <w:sz w:val="18"/>
                <w:szCs w:val="18"/>
                <w:color w:val="0000FF"/>
                <w:w w:val="98"/>
              </w:rPr>
            </w:pPr>
            <w:hyperlink w:anchor="page43">
              <w:r>
                <w:rPr>
                  <w:rFonts w:ascii="Arial" w:cs="Arial" w:eastAsia="Arial" w:hAnsi="Arial"/>
                  <w:sz w:val="18"/>
                  <w:szCs w:val="18"/>
                  <w:color w:val="0000FF"/>
                  <w:w w:val="98"/>
                </w:rPr>
                <w:t>Certification of the Company’s Chief Executive Officer pursuant to</w:t>
              </w:r>
            </w:hyperlink>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486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Rule 13a-14(a) and Rule 15d-14(a) of the Securities and Exchange</w:t>
              </w:r>
            </w:hyperlink>
          </w:p>
        </w:tc>
        <w:tc>
          <w:tcPr>
            <w:tcW w:w="340" w:type="dxa"/>
            <w:vAlign w:val="bottom"/>
            <w:tcBorders>
              <w:top w:val="single" w:sz="8" w:color="CCEEFF"/>
            </w:tcBorders>
            <w:gridSpan w:val="6"/>
            <w:shd w:val="clear" w:color="auto" w:fill="CCEEFF"/>
          </w:tcPr>
          <w:p>
            <w:pPr>
              <w:jc w:val="right"/>
              <w:ind w:right="100"/>
              <w:spacing w:after="0" w:line="156" w:lineRule="exact"/>
              <w:rPr>
                <w:rFonts w:ascii="Arial" w:cs="Arial" w:eastAsia="Arial" w:hAnsi="Arial"/>
                <w:sz w:val="18"/>
                <w:szCs w:val="18"/>
                <w:color w:val="0000FF"/>
                <w:w w:val="84"/>
              </w:rPr>
            </w:pPr>
            <w:hyperlink w:anchor="page43">
              <w:r>
                <w:rPr>
                  <w:rFonts w:ascii="Arial" w:cs="Arial" w:eastAsia="Arial" w:hAnsi="Arial"/>
                  <w:sz w:val="18"/>
                  <w:szCs w:val="18"/>
                  <w:color w:val="0000FF"/>
                  <w:w w:val="84"/>
                </w:rPr>
                <w:t>Act</w:t>
              </w:r>
            </w:hyperlink>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spacing w:after="0"/>
              <w:rPr>
                <w:sz w:val="13"/>
                <w:szCs w:val="13"/>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w w:val="92"/>
              </w:rPr>
            </w:pPr>
            <w:hyperlink w:anchor="page43">
              <w:r>
                <w:rPr>
                  <w:rFonts w:ascii="Arial" w:cs="Arial" w:eastAsia="Arial" w:hAnsi="Arial"/>
                  <w:sz w:val="18"/>
                  <w:szCs w:val="18"/>
                  <w:color w:val="0000FF"/>
                  <w:w w:val="92"/>
                </w:rPr>
                <w:t>of 1934, as amended, pursuant to Section 302 of the Sarbanes-Oxley</w:t>
              </w:r>
            </w:hyperlink>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spacing w:after="0"/>
              <w:rPr>
                <w:sz w:val="13"/>
                <w:szCs w:val="13"/>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494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Act of 2002.</w:t>
              </w:r>
            </w:hyperlink>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spacing w:after="0"/>
              <w:rPr>
                <w:sz w:val="13"/>
                <w:szCs w:val="13"/>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jc w:val="center"/>
              <w:ind w:right="13"/>
              <w:spacing w:after="0" w:line="189" w:lineRule="exact"/>
              <w:rPr>
                <w:sz w:val="20"/>
                <w:szCs w:val="20"/>
                <w:color w:val="auto"/>
              </w:rPr>
            </w:pPr>
            <w:r>
              <w:rPr>
                <w:rFonts w:ascii="Arial" w:cs="Arial" w:eastAsia="Arial" w:hAnsi="Arial"/>
                <w:sz w:val="18"/>
                <w:szCs w:val="18"/>
                <w:color w:val="auto"/>
                <w:w w:val="99"/>
              </w:rPr>
              <w:t>31.2*</w:t>
            </w:r>
          </w:p>
        </w:tc>
        <w:tc>
          <w:tcPr>
            <w:tcW w:w="5200" w:type="dxa"/>
            <w:vAlign w:val="bottom"/>
            <w:gridSpan w:val="13"/>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Certification of the Company’s Chief Financial Officer pursuant to</w:t>
              </w:r>
            </w:hyperlink>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56"/>
        </w:trPr>
        <w:tc>
          <w:tcPr>
            <w:tcW w:w="1200" w:type="dxa"/>
            <w:vAlign w:val="bottom"/>
          </w:tcPr>
          <w:p>
            <w:pPr>
              <w:spacing w:after="0"/>
              <w:rPr>
                <w:sz w:val="13"/>
                <w:szCs w:val="13"/>
                <w:color w:val="auto"/>
              </w:rPr>
            </w:pPr>
          </w:p>
        </w:tc>
        <w:tc>
          <w:tcPr>
            <w:tcW w:w="4800" w:type="dxa"/>
            <w:vAlign w:val="bottom"/>
            <w:tcBorders>
              <w:top w:val="single" w:sz="8" w:color="0000FF"/>
            </w:tcBorders>
            <w:gridSpan w:val="6"/>
          </w:tcPr>
          <w:p>
            <w:pPr>
              <w:spacing w:after="0" w:line="15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Rule 13a-14(a) and Rule 15d-14(a) of the Securities and Exchange</w:t>
              </w:r>
            </w:hyperlink>
          </w:p>
        </w:tc>
        <w:tc>
          <w:tcPr>
            <w:tcW w:w="400" w:type="dxa"/>
            <w:vAlign w:val="bottom"/>
            <w:gridSpan w:val="7"/>
          </w:tcPr>
          <w:p>
            <w:pPr>
              <w:jc w:val="right"/>
              <w:ind w:right="100"/>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Act</w:t>
              </w:r>
            </w:hyperlink>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512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w:anchor="page44">
              <w:r>
                <w:rPr>
                  <w:rFonts w:ascii="Arial" w:cs="Arial" w:eastAsia="Arial" w:hAnsi="Arial"/>
                  <w:sz w:val="18"/>
                  <w:szCs w:val="18"/>
                  <w:color w:val="0000FF"/>
                  <w:w w:val="92"/>
                </w:rPr>
                <w:t>of 1934, as amended, pursuant to Section 302 of the Sarbanes-Oxley</w:t>
              </w:r>
            </w:hyperlink>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49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Act of 2002.</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21"/>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ind w:right="13"/>
              <w:spacing w:after="0" w:line="189" w:lineRule="exact"/>
              <w:rPr>
                <w:sz w:val="20"/>
                <w:szCs w:val="20"/>
                <w:color w:val="auto"/>
              </w:rPr>
            </w:pPr>
            <w:r>
              <w:rPr>
                <w:rFonts w:ascii="Arial" w:cs="Arial" w:eastAsia="Arial" w:hAnsi="Arial"/>
                <w:sz w:val="18"/>
                <w:szCs w:val="18"/>
                <w:color w:val="auto"/>
              </w:rPr>
              <w:t>32.1**</w:t>
            </w:r>
          </w:p>
        </w:tc>
        <w:tc>
          <w:tcPr>
            <w:tcW w:w="5200" w:type="dxa"/>
            <w:vAlign w:val="bottom"/>
            <w:gridSpan w:val="13"/>
            <w:shd w:val="clear" w:color="auto" w:fill="CCEEFF"/>
          </w:tcPr>
          <w:p>
            <w:pPr>
              <w:spacing w:after="0" w:line="189" w:lineRule="exact"/>
              <w:rPr>
                <w:rFonts w:ascii="Arial" w:cs="Arial" w:eastAsia="Arial" w:hAnsi="Arial"/>
                <w:sz w:val="18"/>
                <w:szCs w:val="18"/>
                <w:color w:val="0000FF"/>
                <w:w w:val="94"/>
              </w:rPr>
            </w:pPr>
            <w:hyperlink w:anchor="page45">
              <w:r>
                <w:rPr>
                  <w:rFonts w:ascii="Arial" w:cs="Arial" w:eastAsia="Arial" w:hAnsi="Arial"/>
                  <w:sz w:val="18"/>
                  <w:szCs w:val="18"/>
                  <w:color w:val="0000FF"/>
                  <w:w w:val="94"/>
                </w:rPr>
                <w:t>Certification of the Company’s Chief Executive Officer pursuant to 18</w:t>
              </w:r>
            </w:hyperlink>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U.S.C. Section 1350, as adopted pursuant to Section 906 of the</w:t>
              </w:r>
            </w:hyperlink>
          </w:p>
        </w:tc>
        <w:tc>
          <w:tcPr>
            <w:tcW w:w="120" w:type="dxa"/>
            <w:vAlign w:val="bottom"/>
            <w:tcBorders>
              <w:top w:val="single" w:sz="8" w:color="CCEEFF"/>
            </w:tcBorders>
            <w:gridSpan w:val="3"/>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spacing w:after="0"/>
              <w:rPr>
                <w:sz w:val="13"/>
                <w:szCs w:val="13"/>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210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Sarbanes-Oxley Act of 2002.</w:t>
              </w:r>
            </w:hyperlink>
          </w:p>
        </w:tc>
        <w:tc>
          <w:tcPr>
            <w:tcW w:w="244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4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2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200" w:type="dxa"/>
            <w:vAlign w:val="bottom"/>
          </w:tcPr>
          <w:p>
            <w:pPr>
              <w:jc w:val="center"/>
              <w:ind w:right="13"/>
              <w:spacing w:after="0" w:line="189" w:lineRule="exact"/>
              <w:rPr>
                <w:sz w:val="20"/>
                <w:szCs w:val="20"/>
                <w:color w:val="auto"/>
              </w:rPr>
            </w:pPr>
            <w:r>
              <w:rPr>
                <w:rFonts w:ascii="Arial" w:cs="Arial" w:eastAsia="Arial" w:hAnsi="Arial"/>
                <w:sz w:val="18"/>
                <w:szCs w:val="18"/>
                <w:color w:val="auto"/>
              </w:rPr>
              <w:t>32.2**</w:t>
            </w:r>
          </w:p>
        </w:tc>
        <w:tc>
          <w:tcPr>
            <w:tcW w:w="5200" w:type="dxa"/>
            <w:vAlign w:val="bottom"/>
            <w:gridSpan w:val="13"/>
          </w:tcPr>
          <w:p>
            <w:pPr>
              <w:spacing w:after="0" w:line="189"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Certification of the Company’s Chief Financial Officer pursuant to 18</w:t>
              </w:r>
            </w:hyperlink>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55"/>
        </w:trPr>
        <w:tc>
          <w:tcPr>
            <w:tcW w:w="1200" w:type="dxa"/>
            <w:vAlign w:val="bottom"/>
          </w:tcPr>
          <w:p>
            <w:pPr>
              <w:spacing w:after="0"/>
              <w:rPr>
                <w:sz w:val="13"/>
                <w:szCs w:val="13"/>
                <w:color w:val="auto"/>
              </w:rPr>
            </w:pPr>
          </w:p>
        </w:tc>
        <w:tc>
          <w:tcPr>
            <w:tcW w:w="5020" w:type="dxa"/>
            <w:vAlign w:val="bottom"/>
            <w:tcBorders>
              <w:top w:val="single" w:sz="8" w:color="0000FF"/>
            </w:tcBorders>
            <w:gridSpan w:val="9"/>
          </w:tcPr>
          <w:p>
            <w:pPr>
              <w:spacing w:after="0" w:line="156" w:lineRule="exact"/>
              <w:rPr>
                <w:rFonts w:ascii="Arial" w:cs="Arial" w:eastAsia="Arial" w:hAnsi="Arial"/>
                <w:sz w:val="18"/>
                <w:szCs w:val="18"/>
                <w:color w:val="0000FF"/>
                <w:w w:val="98"/>
              </w:rPr>
            </w:pPr>
            <w:hyperlink w:anchor="page46">
              <w:r>
                <w:rPr>
                  <w:rFonts w:ascii="Arial" w:cs="Arial" w:eastAsia="Arial" w:hAnsi="Arial"/>
                  <w:sz w:val="18"/>
                  <w:szCs w:val="18"/>
                  <w:color w:val="0000FF"/>
                  <w:w w:val="98"/>
                </w:rPr>
                <w:t>U.S.C. Section 1350, as adopted pursuant to Section 906 of the</w:t>
              </w:r>
            </w:hyperlink>
          </w:p>
        </w:tc>
        <w:tc>
          <w:tcPr>
            <w:tcW w:w="18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45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Sarbanes-Oxley Act of 2002.</w:t>
              </w:r>
            </w:hyperlink>
          </w:p>
        </w:tc>
        <w:tc>
          <w:tcPr>
            <w:tcW w:w="660" w:type="dxa"/>
            <w:vAlign w:val="bottom"/>
            <w:gridSpan w:val="8"/>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21"/>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5"/>
        </w:trPr>
        <w:tc>
          <w:tcPr>
            <w:tcW w:w="1200" w:type="dxa"/>
            <w:vAlign w:val="bottom"/>
            <w:shd w:val="clear" w:color="auto" w:fill="CCEEFF"/>
          </w:tcPr>
          <w:p>
            <w:pPr>
              <w:jc w:val="center"/>
              <w:ind w:right="13"/>
              <w:spacing w:after="0" w:line="176" w:lineRule="exact"/>
              <w:rPr>
                <w:sz w:val="20"/>
                <w:szCs w:val="20"/>
                <w:color w:val="auto"/>
              </w:rPr>
            </w:pPr>
            <w:r>
              <w:rPr>
                <w:rFonts w:ascii="Arial" w:cs="Arial" w:eastAsia="Arial" w:hAnsi="Arial"/>
                <w:sz w:val="18"/>
                <w:szCs w:val="18"/>
                <w:color w:val="auto"/>
                <w:w w:val="95"/>
              </w:rPr>
              <w:t>101.INS</w:t>
            </w:r>
          </w:p>
        </w:tc>
        <w:tc>
          <w:tcPr>
            <w:tcW w:w="52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176"/>
        </w:trPr>
        <w:tc>
          <w:tcPr>
            <w:tcW w:w="1200" w:type="dxa"/>
            <w:vAlign w:val="bottom"/>
            <w:shd w:val="clear" w:color="auto" w:fill="CCEEFF"/>
          </w:tcPr>
          <w:p>
            <w:pPr>
              <w:spacing w:after="0"/>
              <w:rPr>
                <w:sz w:val="15"/>
                <w:szCs w:val="15"/>
                <w:color w:val="auto"/>
              </w:rPr>
            </w:pPr>
          </w:p>
        </w:tc>
        <w:tc>
          <w:tcPr>
            <w:tcW w:w="52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w w:val="94"/>
              </w:rPr>
              <w:t>the Interactive Data File because its XBRL tags are embedded within</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229"/>
        </w:trPr>
        <w:tc>
          <w:tcPr>
            <w:tcW w:w="1200" w:type="dxa"/>
            <w:vAlign w:val="bottom"/>
            <w:shd w:val="clear" w:color="auto" w:fill="CCEEFF"/>
          </w:tcPr>
          <w:p>
            <w:pPr>
              <w:spacing w:after="0"/>
              <w:rPr>
                <w:sz w:val="19"/>
                <w:szCs w:val="19"/>
                <w:color w:val="auto"/>
              </w:rPr>
            </w:pPr>
          </w:p>
        </w:tc>
        <w:tc>
          <w:tcPr>
            <w:tcW w:w="52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1200" w:type="dxa"/>
            <w:vAlign w:val="bottom"/>
          </w:tcPr>
          <w:p>
            <w:pPr>
              <w:jc w:val="center"/>
              <w:ind w:right="13"/>
              <w:spacing w:after="0"/>
              <w:rPr>
                <w:sz w:val="20"/>
                <w:szCs w:val="20"/>
                <w:color w:val="auto"/>
              </w:rPr>
            </w:pPr>
            <w:r>
              <w:rPr>
                <w:rFonts w:ascii="Arial" w:cs="Arial" w:eastAsia="Arial" w:hAnsi="Arial"/>
                <w:sz w:val="18"/>
                <w:szCs w:val="18"/>
                <w:color w:val="auto"/>
                <w:w w:val="92"/>
              </w:rPr>
              <w:t>101.SCH*</w:t>
            </w:r>
          </w:p>
        </w:tc>
        <w:tc>
          <w:tcPr>
            <w:tcW w:w="52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0"/>
        </w:trPr>
        <w:tc>
          <w:tcPr>
            <w:tcW w:w="120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rPr>
              <w:t>101.CAL*</w:t>
            </w:r>
          </w:p>
        </w:tc>
        <w:tc>
          <w:tcPr>
            <w:tcW w:w="52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1200" w:type="dxa"/>
            <w:vAlign w:val="bottom"/>
          </w:tcPr>
          <w:p>
            <w:pPr>
              <w:jc w:val="center"/>
              <w:ind w:right="13"/>
              <w:spacing w:after="0"/>
              <w:rPr>
                <w:sz w:val="20"/>
                <w:szCs w:val="20"/>
                <w:color w:val="auto"/>
              </w:rPr>
            </w:pPr>
            <w:r>
              <w:rPr>
                <w:rFonts w:ascii="Arial" w:cs="Arial" w:eastAsia="Arial" w:hAnsi="Arial"/>
                <w:sz w:val="18"/>
                <w:szCs w:val="18"/>
                <w:color w:val="auto"/>
                <w:w w:val="94"/>
              </w:rPr>
              <w:t>101.DEF*</w:t>
            </w:r>
          </w:p>
        </w:tc>
        <w:tc>
          <w:tcPr>
            <w:tcW w:w="52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29"/>
        </w:trPr>
        <w:tc>
          <w:tcPr>
            <w:tcW w:w="120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rPr>
              <w:t>101.LAB*</w:t>
            </w:r>
          </w:p>
        </w:tc>
        <w:tc>
          <w:tcPr>
            <w:tcW w:w="52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1200" w:type="dxa"/>
            <w:vAlign w:val="bottom"/>
          </w:tcPr>
          <w:p>
            <w:pPr>
              <w:jc w:val="center"/>
              <w:ind w:right="13"/>
              <w:spacing w:after="0"/>
              <w:rPr>
                <w:sz w:val="20"/>
                <w:szCs w:val="20"/>
                <w:color w:val="auto"/>
              </w:rPr>
            </w:pPr>
            <w:r>
              <w:rPr>
                <w:rFonts w:ascii="Arial" w:cs="Arial" w:eastAsia="Arial" w:hAnsi="Arial"/>
                <w:sz w:val="18"/>
                <w:szCs w:val="18"/>
                <w:color w:val="auto"/>
                <w:w w:val="93"/>
              </w:rPr>
              <w:t>101.PRE*</w:t>
            </w:r>
          </w:p>
        </w:tc>
        <w:tc>
          <w:tcPr>
            <w:tcW w:w="52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1200"/>
        <w:spacing w:after="0" w:line="220" w:lineRule="auto"/>
        <w:rPr>
          <w:sz w:val="20"/>
          <w:szCs w:val="20"/>
          <w:color w:val="auto"/>
        </w:rPr>
      </w:pPr>
      <w:r>
        <w:rPr>
          <w:rFonts w:ascii="Arial" w:cs="Arial" w:eastAsia="Arial" w:hAnsi="Arial"/>
          <w:sz w:val="18"/>
          <w:szCs w:val="18"/>
          <w:color w:val="auto"/>
        </w:rPr>
        <w:t>Cover Page Interactive Data File - The cover page interactive data file</w:t>
      </w:r>
    </w:p>
    <w:p>
      <w:pPr>
        <w:ind w:left="1200"/>
        <w:spacing w:after="0" w:line="203" w:lineRule="auto"/>
        <w:rPr>
          <w:sz w:val="20"/>
          <w:szCs w:val="20"/>
          <w:color w:val="auto"/>
        </w:rPr>
      </w:pPr>
      <w:r>
        <w:rPr>
          <w:rFonts w:ascii="Arial" w:cs="Arial" w:eastAsia="Arial" w:hAnsi="Arial"/>
          <w:sz w:val="18"/>
          <w:szCs w:val="18"/>
          <w:color w:val="auto"/>
        </w:rPr>
        <w:t>does not appear in the Interactive Data File because its XBRL tags are</w:t>
      </w:r>
    </w:p>
    <w:p>
      <w:pPr>
        <w:spacing w:after="0" w:line="1" w:lineRule="exact"/>
        <w:rPr>
          <w:sz w:val="20"/>
          <w:szCs w:val="20"/>
          <w:color w:val="auto"/>
        </w:rPr>
      </w:pPr>
    </w:p>
    <w:p>
      <w:pPr>
        <w:ind w:right="6740" w:firstLine="413"/>
        <w:spacing w:after="0" w:line="289" w:lineRule="auto"/>
        <w:tabs>
          <w:tab w:leader="none" w:pos="11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embedded within the Inline XBRL document. * Filed herewith.</w:t>
      </w:r>
    </w:p>
    <w:p>
      <w:pPr>
        <w:spacing w:after="0" w:line="1" w:lineRule="exact"/>
        <w:rPr>
          <w:rFonts w:ascii="Arial" w:cs="Arial" w:eastAsia="Arial" w:hAnsi="Arial"/>
          <w:sz w:val="18"/>
          <w:szCs w:val="18"/>
          <w:color w:val="auto"/>
        </w:rPr>
      </w:pPr>
    </w:p>
    <w:p>
      <w:pPr>
        <w:jc w:val="both"/>
        <w:ind w:firstLine="8"/>
        <w:spacing w:after="0" w:line="239" w:lineRule="auto"/>
        <w:tabs>
          <w:tab w:leader="none" w:pos="22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5360" w:type="dxa"/>
            <w:vAlign w:val="bottom"/>
            <w:gridSpan w:val="2"/>
          </w:tcPr>
          <w:p>
            <w:pPr>
              <w:ind w:left="1780"/>
              <w:spacing w:after="0"/>
              <w:rPr>
                <w:sz w:val="20"/>
                <w:szCs w:val="20"/>
                <w:color w:val="auto"/>
              </w:rPr>
            </w:pPr>
            <w:r>
              <w:rPr>
                <w:rFonts w:ascii="Arial" w:cs="Arial" w:eastAsia="Arial" w:hAnsi="Arial"/>
                <w:sz w:val="18"/>
                <w:szCs w:val="18"/>
                <w:color w:val="auto"/>
              </w:rPr>
              <w:t>Fluence Energy, Inc.</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February 10, 2022</w:t>
            </w:r>
          </w:p>
        </w:tc>
        <w:tc>
          <w:tcPr>
            <w:tcW w:w="2300" w:type="dxa"/>
            <w:vAlign w:val="bottom"/>
          </w:tcPr>
          <w:p>
            <w:pPr>
              <w:ind w:left="178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Manuel Perez Dubuc</w:t>
            </w:r>
          </w:p>
        </w:tc>
      </w:tr>
      <w:tr>
        <w:trPr>
          <w:trHeight w:val="169"/>
        </w:trPr>
        <w:tc>
          <w:tcPr>
            <w:tcW w:w="3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60" w:type="dxa"/>
            <w:vAlign w:val="bottom"/>
          </w:tcPr>
          <w:p>
            <w:pPr>
              <w:ind w:left="20"/>
              <w:spacing w:after="0" w:line="169" w:lineRule="exact"/>
              <w:rPr>
                <w:sz w:val="20"/>
                <w:szCs w:val="20"/>
                <w:color w:val="auto"/>
              </w:rPr>
            </w:pPr>
            <w:r>
              <w:rPr>
                <w:rFonts w:ascii="Arial" w:cs="Arial" w:eastAsia="Arial" w:hAnsi="Arial"/>
                <w:sz w:val="18"/>
                <w:szCs w:val="18"/>
                <w:color w:val="auto"/>
              </w:rPr>
              <w:t>Manuel Perez Dubuc</w:t>
            </w:r>
          </w:p>
        </w:tc>
      </w:tr>
      <w:tr>
        <w:trPr>
          <w:trHeight w:val="230"/>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526"/>
        </w:trPr>
        <w:tc>
          <w:tcPr>
            <w:tcW w:w="3540" w:type="dxa"/>
            <w:vAlign w:val="bottom"/>
          </w:tcPr>
          <w:p>
            <w:pPr>
              <w:spacing w:after="0"/>
              <w:rPr>
                <w:sz w:val="20"/>
                <w:szCs w:val="20"/>
                <w:color w:val="auto"/>
              </w:rPr>
            </w:pPr>
            <w:r>
              <w:rPr>
                <w:rFonts w:ascii="Arial" w:cs="Arial" w:eastAsia="Arial" w:hAnsi="Arial"/>
                <w:sz w:val="18"/>
                <w:szCs w:val="18"/>
                <w:color w:val="auto"/>
              </w:rPr>
              <w:t>Date: February 10, 2022</w:t>
            </w:r>
          </w:p>
        </w:tc>
        <w:tc>
          <w:tcPr>
            <w:tcW w:w="2300" w:type="dxa"/>
            <w:vAlign w:val="bottom"/>
          </w:tcPr>
          <w:p>
            <w:pPr>
              <w:ind w:left="178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Fehr</w:t>
            </w:r>
          </w:p>
        </w:tc>
      </w:tr>
      <w:tr>
        <w:trPr>
          <w:trHeight w:val="169"/>
        </w:trPr>
        <w:tc>
          <w:tcPr>
            <w:tcW w:w="3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60" w:type="dxa"/>
            <w:vAlign w:val="bottom"/>
          </w:tcPr>
          <w:p>
            <w:pPr>
              <w:ind w:left="80"/>
              <w:spacing w:after="0" w:line="169" w:lineRule="exact"/>
              <w:rPr>
                <w:sz w:val="20"/>
                <w:szCs w:val="20"/>
                <w:color w:val="auto"/>
              </w:rPr>
            </w:pPr>
            <w:r>
              <w:rPr>
                <w:rFonts w:ascii="Arial" w:cs="Arial" w:eastAsia="Arial" w:hAnsi="Arial"/>
                <w:sz w:val="18"/>
                <w:szCs w:val="18"/>
                <w:color w:val="auto"/>
              </w:rPr>
              <w:t>Dennis Fehr</w:t>
            </w:r>
          </w:p>
        </w:tc>
      </w:tr>
      <w:tr>
        <w:trPr>
          <w:trHeight w:val="230"/>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line="25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 Manuel Perez Dubuc, certify that:</w:t>
      </w:r>
    </w:p>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jc w:val="both"/>
        <w:ind w:left="660" w:firstLine="320"/>
        <w:spacing w:after="0" w:line="263" w:lineRule="auto"/>
        <w:tabs>
          <w:tab w:leader="none" w:pos="117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180" w:hanging="200"/>
        <w:spacing w:after="0"/>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660" w:right="380" w:firstLine="320"/>
        <w:spacing w:after="0" w:line="342" w:lineRule="auto"/>
        <w:tabs>
          <w:tab w:leader="none" w:pos="1169"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340" w:firstLine="320"/>
        <w:spacing w:after="0" w:line="263" w:lineRule="auto"/>
        <w:tabs>
          <w:tab w:leader="none" w:pos="117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right="20" w:firstLine="320"/>
        <w:spacing w:after="0" w:line="277" w:lineRule="auto"/>
        <w:tabs>
          <w:tab w:leader="none" w:pos="11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firstLine="320"/>
        <w:spacing w:after="0" w:line="277" w:lineRule="auto"/>
        <w:tabs>
          <w:tab w:leader="none" w:pos="11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Manuel Perez Dubuc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18599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Manuel Perez Dubuc</w:t>
      </w:r>
    </w:p>
    <w:p>
      <w:pPr>
        <w:ind w:left="6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line="25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Dennis Fehr, certify that:</w:t>
      </w:r>
    </w:p>
    <w:p>
      <w:pPr>
        <w:spacing w:after="0" w:line="14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jc w:val="both"/>
        <w:ind w:left="660" w:firstLine="320"/>
        <w:spacing w:after="0" w:line="263" w:lineRule="auto"/>
        <w:tabs>
          <w:tab w:leader="none" w:pos="11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180" w:hanging="200"/>
        <w:spacing w:after="0"/>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660" w:right="380" w:firstLine="320"/>
        <w:spacing w:after="0" w:line="342" w:lineRule="auto"/>
        <w:tabs>
          <w:tab w:leader="none" w:pos="1169"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340" w:firstLine="320"/>
        <w:spacing w:after="0" w:line="263" w:lineRule="auto"/>
        <w:tabs>
          <w:tab w:leader="none" w:pos="117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right="20" w:firstLine="320"/>
        <w:spacing w:after="0" w:line="277" w:lineRule="auto"/>
        <w:tabs>
          <w:tab w:leader="none" w:pos="11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firstLine="320"/>
        <w:spacing w:after="0" w:line="277" w:lineRule="auto"/>
        <w:tabs>
          <w:tab w:leader="none" w:pos="11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Fehr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1663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Dennis Fehr</w:t>
      </w:r>
    </w:p>
    <w:p>
      <w:pPr>
        <w:ind w:left="6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8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65" w:lineRule="exact"/>
        <w:rPr>
          <w:sz w:val="20"/>
          <w:szCs w:val="20"/>
          <w:color w:val="auto"/>
        </w:rPr>
      </w:pPr>
    </w:p>
    <w:p>
      <w:pPr>
        <w:ind w:right="300" w:firstLine="324"/>
        <w:spacing w:after="0" w:line="221" w:lineRule="exact"/>
        <w:rPr>
          <w:sz w:val="20"/>
          <w:szCs w:val="20"/>
          <w:color w:val="auto"/>
        </w:rPr>
      </w:pPr>
      <w:r>
        <w:rPr>
          <w:rFonts w:ascii="Arial" w:cs="Arial" w:eastAsia="Arial" w:hAnsi="Arial"/>
          <w:sz w:val="16"/>
          <w:szCs w:val="16"/>
          <w:color w:val="auto"/>
        </w:rPr>
        <w:t>In connection with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Fluence Energy, Inc. (the “Company”) for the quarter ended December 31, 2021 as filed with the Securities and Exchange Commission on the date hereof (the “Report”), I, Manuel Perez Dubuc, Chief Executive Officer of the Company, certifies, pursuant to 18 U.S.C. Section 1350, as adopted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that, to the best of my knowledge:</w:t>
      </w:r>
    </w:p>
    <w:p>
      <w:pPr>
        <w:spacing w:after="0" w:line="123" w:lineRule="exact"/>
        <w:rPr>
          <w:sz w:val="20"/>
          <w:szCs w:val="20"/>
          <w:color w:val="auto"/>
        </w:rPr>
      </w:pPr>
    </w:p>
    <w:p>
      <w:pPr>
        <w:ind w:left="600" w:hanging="187"/>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Manuel Perez Dubuc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18173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Manuel Perez Dubuc</w:t>
      </w:r>
    </w:p>
    <w:p>
      <w:pPr>
        <w:ind w:left="6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65" w:lineRule="exact"/>
        <w:rPr>
          <w:sz w:val="20"/>
          <w:szCs w:val="20"/>
          <w:color w:val="auto"/>
        </w:rPr>
      </w:pPr>
    </w:p>
    <w:p>
      <w:pPr>
        <w:ind w:firstLine="324"/>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Fluence Energy, Inc. (the “Company”) for the quarter ended December 31, 2021 as filed with the Securities and Exchange Commission on the date hereof (the “Report”), I, Dennis Fehr, Chief Financial Officer of the Company, certifies, pursuant to 18 U.S.C. Section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that, to the best of my knowledge:</w:t>
      </w:r>
    </w:p>
    <w:p>
      <w:pPr>
        <w:spacing w:after="0" w:line="121" w:lineRule="exact"/>
        <w:rPr>
          <w:sz w:val="20"/>
          <w:szCs w:val="20"/>
          <w:color w:val="auto"/>
        </w:rPr>
      </w:pPr>
    </w:p>
    <w:p>
      <w:pPr>
        <w:ind w:left="600" w:hanging="187"/>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00" w:lineRule="exact"/>
        <w:rPr>
          <w:sz w:val="20"/>
          <w:szCs w:val="20"/>
          <w:color w:val="auto"/>
        </w:rPr>
      </w:pPr>
    </w:p>
    <w:p>
      <w:pPr>
        <w:spacing w:after="0" w:line="390"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Fehr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16459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Dennis Fehr</w:t>
      </w:r>
    </w:p>
    <w:p>
      <w:pPr>
        <w:ind w:left="62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lvl w:ilvl="1">
      <w:lvlJc w:val="left"/>
      <w:lvlText w:val="•"/>
      <w:numFmt w:val="bullet"/>
      <w:start w:val="1"/>
    </w:lvl>
    <w:lvl w:ilvl="2">
      <w:lvlJc w:val="left"/>
      <w:lvlText w:val="(%3)"/>
      <w:numFmt w:val="decimal"/>
      <w:start w:val="2"/>
    </w:lvl>
  </w:abstractNum>
  <w:abstractNum w:abstractNumId="6">
    <w:nsid w:val="431BD7B7"/>
    <w:multiLevelType w:val="hybridMultilevel"/>
    <w:lvl w:ilvl="0">
      <w:lvlJc w:val="left"/>
      <w:lvlText w:val="%1."/>
      <w:numFmt w:val="decimal"/>
      <w:start w:val="2"/>
    </w:lvl>
    <w:lvl w:ilvl="1">
      <w:lvlJc w:val="left"/>
      <w:lvlText w:val="•"/>
      <w:numFmt w:val="bullet"/>
      <w:start w:val="1"/>
    </w:lvl>
    <w:lvl w:ilvl="2">
      <w:lvlJc w:val="left"/>
      <w:lvlText w:val="%3"/>
      <w:numFmt w:val="decimal"/>
      <w:start w:val="1"/>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lowerRoman"/>
      <w:start w:val="2"/>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1."/>
      <w:numFmt w:val="decimal"/>
      <w:start w:val="14"/>
    </w:lvl>
  </w:abstractNum>
  <w:abstractNum w:abstractNumId="17">
    <w:nsid w:val="6763845E"/>
    <w:multiLevelType w:val="hybridMultilevel"/>
    <w:lvl w:ilvl="0">
      <w:lvlJc w:val="left"/>
      <w:lvlText w:val="%1)"/>
      <w:numFmt w:val="decimal"/>
      <w:start w:val="1"/>
    </w:lvl>
    <w:lvl w:ilvl="1">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Roman"/>
      <w:start w:val="2"/>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78" Type="http://schemas.openxmlformats.org/officeDocument/2006/relationships/hyperlink" Target="https://www.sec.gov/Archives/edgar/data/0001868941/000186894121000012/fluenceenergyllc10-k2021.htm" TargetMode="External"/><Relationship Id="rId81" Type="http://schemas.openxmlformats.org/officeDocument/2006/relationships/hyperlink" Target="https://www.sec.gov/Archives/edgar/data/0001868941/000110465921133771/tm2120236d16_ex3-1.htm" TargetMode="External"/><Relationship Id="rId82" Type="http://schemas.openxmlformats.org/officeDocument/2006/relationships/hyperlink" Target="https://www.sec.gov/Archives/edgar/data/0001868941/000110465921133771/tm2120236d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2022-02-12T01:14:06Z</dcterms:created>
  <dcterms:modified xsi:type="dcterms:W3CDTF">2022-02-12T01:14:06Z</dcterms:modified>
</cp:coreProperties>
</file>