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021605.xml.htm"/>
      <w:bookmarkStart w:id="1" w:name="kswkform3_179002160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Coughlin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FLUENCE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2107 WILSON BOULEVARD,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Fluence Energy, Inc.</w:t>
              </w:r>
            </w:hyperlink>
            <w:r>
              <w:rPr/>
              <w:t xml:space="preserve"> [ </w:t>
            </w:r>
            <w:r>
              <w:rPr>
                <w:rFonts w:ascii="Times;serif" w:hAnsi="Times;serif"/>
                <w:color w:val="0000FF"/>
                <w:sz w:val="24"/>
                <w:shd w:fill="FFFFFF" w:val="clear"/>
              </w:rPr>
              <w:t>FLNC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Patterson as Attorney-in-Fact for Stephen Coughlin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s16filingsxflncsepte.htm"/>
      <w:bookmarkStart w:id="3" w:name="kspoas16filingsxflncsept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SV\340998.1 POWER OF ATTORNEY With respect to holdings of and transactions in securities issued by Fluence Energy,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 1. 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2. execute for and on behalf of the undersigned, Forms 3, 4, and 5 in accordance with Section 16 of the Securities Exchange Act of 1934, as amended,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4. 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and (iv) any other actions contemplated by Rule 10 of Regulation S-T with respect to account administrators; 5. accept, or cause the Company to accept, a delegation of authority from any of the undersigned’s EDGAR account administrators and, pursuant to that delegation, authorize the Company’s EDGAR account administrators to appoint, remove or replace users for the undersigned’s EDGAR account; and 6.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10 day of September, 2026. Signature: /s/ Stephen Coughlin Print Name: Stephen Coughlin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Individuals Appointed as Attorney-in-Fact with Full Power of Substitution and Resubstitution 1. Vincent W. Mathis 2. Leah Patterson 3. Christian Yungwirth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87269" TargetMode="External"/><Relationship Id="rId3" Type="http://schemas.openxmlformats.org/officeDocument/2006/relationships/hyperlink" Target="http://www.sec.gov/cgi-bin/browse-edgar?action=getcompany&amp;CIK=00018689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1086</Words>
  <Characters>5910</Characters>
  <CharactersWithSpaces>6956</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poa-s16filingsxflncsepte</dc:title>
</cp:coreProperties>
</file>