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0001891368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Fluence Energy,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4601 Fairfax Drive, Suite 600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Arlington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8333583623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AES Grid Stability, LLC</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ectPr>
          <w:pgSz w:w="11900" w:h="16838" w:orient="portrait"/>
          <w:cols w:equalWidth="0" w:num="1">
            <w:col w:w="11240"/>
          </w:cols>
          <w:pgMar w:left="320" w:top="261" w:right="339" w:bottom="0" w:gutter="0" w:footer="0" w:header="0"/>
          <w:type w:val="continuous"/>
        </w:sect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63" w:lineRule="exact"/>
        <w:rPr>
          <w:sz w:val="24"/>
          <w:szCs w:val="24"/>
          <w:color w:val="auto"/>
        </w:rPr>
      </w:pPr>
    </w:p>
    <w:p>
      <w:pPr>
        <w:ind w:left="4940"/>
        <w:spacing w:after="0"/>
        <w:tabs>
          <w:tab w:leader="none" w:pos="7480" w:val="left"/>
        </w:tabs>
        <w:rPr>
          <w:sz w:val="20"/>
          <w:szCs w:val="20"/>
          <w:color w:val="auto"/>
        </w:rPr>
      </w:pPr>
      <w:r>
        <w:rPr>
          <w:rFonts w:ascii="Times New Roman" w:cs="Times New Roman" w:eastAsia="Times New Roman" w:hAnsi="Times New Roman"/>
          <w:sz w:val="22"/>
          <w:szCs w:val="22"/>
          <w:b w:val="1"/>
          <w:bCs w:val="1"/>
          <w:color w:val="auto"/>
        </w:rPr>
        <w:t>Number of</w:t>
      </w:r>
      <w:r>
        <w:rPr>
          <w:sz w:val="20"/>
          <w:szCs w:val="20"/>
          <w:color w:val="auto"/>
        </w:rPr>
        <w:tab/>
      </w:r>
      <w:r>
        <w:rPr>
          <w:rFonts w:ascii="Times New Roman" w:cs="Times New Roman" w:eastAsia="Times New Roman" w:hAnsi="Times New Roman"/>
          <w:sz w:val="21"/>
          <w:szCs w:val="21"/>
          <w:b w:val="1"/>
          <w:bCs w:val="1"/>
          <w:color w:val="auto"/>
        </w:rPr>
        <w:t>Number of</w:t>
      </w:r>
    </w:p>
    <w:p>
      <w:pPr>
        <w:spacing w:after="0" w:line="8" w:lineRule="exact"/>
        <w:rPr>
          <w:sz w:val="24"/>
          <w:szCs w:val="24"/>
          <w:color w:val="auto"/>
        </w:rPr>
      </w:pPr>
    </w:p>
    <w:p>
      <w:pPr>
        <w:ind w:left="360"/>
        <w:spacing w:after="0"/>
        <w:tabs>
          <w:tab w:leader="none" w:pos="2640" w:val="left"/>
          <w:tab w:leader="none" w:pos="4980" w:val="left"/>
          <w:tab w:leader="none" w:pos="6240" w:val="left"/>
          <w:tab w:leader="none" w:pos="7540" w:val="left"/>
          <w:tab w:leader="none" w:pos="8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2"/>
          <w:szCs w:val="22"/>
          <w:b w:val="1"/>
          <w:bCs w:val="1"/>
          <w:color w:val="auto"/>
        </w:rPr>
        <w:t>Name and Address of</w:t>
        <w:tab/>
        <w:t>Shares or</w:t>
      </w:r>
      <w:r>
        <w:rPr>
          <w:sz w:val="20"/>
          <w:szCs w:val="20"/>
          <w:color w:val="auto"/>
        </w:rPr>
        <w:tab/>
      </w:r>
      <w:r>
        <w:rPr>
          <w:rFonts w:ascii="Times New Roman" w:cs="Times New Roman" w:eastAsia="Times New Roman" w:hAnsi="Times New Roman"/>
          <w:sz w:val="22"/>
          <w:szCs w:val="22"/>
          <w:b w:val="1"/>
          <w:bCs w:val="1"/>
          <w:color w:val="auto"/>
        </w:rPr>
        <w:t>Aggregate</w:t>
        <w:tab/>
        <w:t>Shares or</w:t>
      </w:r>
      <w:r>
        <w:rPr>
          <w:sz w:val="20"/>
          <w:szCs w:val="20"/>
          <w:color w:val="auto"/>
        </w:rPr>
        <w:tab/>
      </w:r>
      <w:r>
        <w:rPr>
          <w:rFonts w:ascii="Times New Roman" w:cs="Times New Roman" w:eastAsia="Times New Roman" w:hAnsi="Times New Roman"/>
          <w:sz w:val="21"/>
          <w:szCs w:val="21"/>
          <w:b w:val="1"/>
          <w:bCs w:val="1"/>
          <w:color w:val="auto"/>
        </w:rPr>
        <w:t>Approximate</w:t>
      </w:r>
    </w:p>
    <w:p>
      <w:pPr>
        <w:ind w:left="280"/>
        <w:spacing w:after="0" w:line="230" w:lineRule="auto"/>
        <w:tabs>
          <w:tab w:leader="none" w:pos="3140" w:val="left"/>
          <w:tab w:leader="none" w:pos="488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2"/>
          <w:szCs w:val="22"/>
          <w:b w:val="1"/>
          <w:bCs w:val="1"/>
          <w:color w:val="auto"/>
        </w:rPr>
        <w:t>the Broker</w:t>
      </w:r>
      <w:r>
        <w:rPr>
          <w:sz w:val="20"/>
          <w:szCs w:val="20"/>
          <w:color w:val="auto"/>
        </w:rPr>
        <w:tab/>
      </w:r>
      <w:r>
        <w:rPr>
          <w:rFonts w:ascii="Times New Roman" w:cs="Times New Roman" w:eastAsia="Times New Roman" w:hAnsi="Times New Roman"/>
          <w:sz w:val="22"/>
          <w:szCs w:val="22"/>
          <w:b w:val="1"/>
          <w:bCs w:val="1"/>
          <w:color w:val="auto"/>
        </w:rPr>
        <w:t>Other Units Market Value Other Units  Date of Sale</w:t>
      </w:r>
    </w:p>
    <w:p>
      <w:pPr>
        <w:spacing w:after="0" w:line="1" w:lineRule="exact"/>
        <w:rPr>
          <w:sz w:val="24"/>
          <w:szCs w:val="24"/>
          <w:color w:val="auto"/>
        </w:rPr>
      </w:pPr>
    </w:p>
    <w:p>
      <w:pPr>
        <w:ind w:left="4960"/>
        <w:spacing w:after="0"/>
        <w:tabs>
          <w:tab w:leader="none" w:pos="7420" w:val="left"/>
        </w:tabs>
        <w:rPr>
          <w:sz w:val="20"/>
          <w:szCs w:val="20"/>
          <w:color w:val="auto"/>
        </w:rPr>
      </w:pPr>
      <w:r>
        <w:rPr>
          <w:rFonts w:ascii="Times New Roman" w:cs="Times New Roman" w:eastAsia="Times New Roman" w:hAnsi="Times New Roman"/>
          <w:sz w:val="22"/>
          <w:szCs w:val="22"/>
          <w:b w:val="1"/>
          <w:bCs w:val="1"/>
          <w:color w:val="auto"/>
        </w:rPr>
        <w:t>To Be Sold</w:t>
      </w:r>
      <w:r>
        <w:rPr>
          <w:sz w:val="20"/>
          <w:szCs w:val="20"/>
          <w:color w:val="auto"/>
        </w:rPr>
        <w:tab/>
      </w:r>
      <w:r>
        <w:rPr>
          <w:rFonts w:ascii="Times New Roman" w:cs="Times New Roman" w:eastAsia="Times New Roman" w:hAnsi="Times New Roman"/>
          <w:sz w:val="21"/>
          <w:szCs w:val="21"/>
          <w:b w:val="1"/>
          <w:bCs w:val="1"/>
          <w:color w:val="auto"/>
        </w:rPr>
        <w:t>Outstanding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the</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Securities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Exchange</w:t>
      </w:r>
    </w:p>
    <w:p>
      <w:pPr>
        <w:spacing w:after="0" w:line="152" w:lineRule="exact"/>
        <w:rPr>
          <w:sz w:val="24"/>
          <w:szCs w:val="24"/>
          <w:color w:val="auto"/>
        </w:rPr>
      </w:pPr>
    </w:p>
    <w:p>
      <w:pPr>
        <w:sectPr>
          <w:pgSz w:w="11900" w:h="16838" w:orient="portrait"/>
          <w:cols w:equalWidth="0" w:num="2">
            <w:col w:w="9880" w:space="240"/>
            <w:col w:w="1120"/>
          </w:cols>
          <w:pgMar w:left="320" w:top="261" w:right="339" w:bottom="0" w:gutter="0" w:footer="0" w:header="0"/>
          <w:type w:val="continuous"/>
        </w:sectPr>
      </w:pPr>
    </w:p>
    <w:p>
      <w:pPr>
        <w:ind w:left="2500"/>
        <w:spacing w:after="0"/>
        <w:rPr>
          <w:sz w:val="20"/>
          <w:szCs w:val="20"/>
          <w:color w:val="auto"/>
        </w:rPr>
      </w:pPr>
      <w:r>
        <w:rPr>
          <w:rFonts w:ascii="Times New Roman" w:cs="Times New Roman" w:eastAsia="Times New Roman" w:hAnsi="Times New Roman"/>
          <w:sz w:val="22"/>
          <w:szCs w:val="22"/>
          <w:color w:val="auto"/>
        </w:rPr>
        <w:t>Goldman Sachs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International</w:t>
      </w:r>
    </w:p>
    <w:p>
      <w:pPr>
        <w:ind w:left="40"/>
        <w:spacing w:after="0"/>
        <w:tabs>
          <w:tab w:leader="none" w:pos="2480" w:val="left"/>
          <w:tab w:leader="none" w:pos="4840" w:val="left"/>
          <w:tab w:leader="none" w:pos="6060" w:val="left"/>
          <w:tab w:leader="none" w:pos="8620" w:val="left"/>
          <w:tab w:leader="none" w:pos="992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Plumtree Court</w:t>
      </w:r>
      <w:r>
        <w:rPr>
          <w:sz w:val="20"/>
          <w:szCs w:val="20"/>
          <w:color w:val="auto"/>
        </w:rPr>
        <w:tab/>
      </w:r>
      <w:r>
        <w:rPr>
          <w:rFonts w:ascii="Times New Roman" w:cs="Times New Roman" w:eastAsia="Times New Roman" w:hAnsi="Times New Roman"/>
          <w:sz w:val="22"/>
          <w:szCs w:val="22"/>
          <w:color w:val="auto"/>
        </w:rPr>
        <w:t>15000000</w:t>
      </w:r>
      <w:r>
        <w:rPr>
          <w:sz w:val="20"/>
          <w:szCs w:val="20"/>
          <w:color w:val="auto"/>
        </w:rPr>
        <w:tab/>
      </w:r>
      <w:r>
        <w:rPr>
          <w:rFonts w:ascii="Times New Roman" w:cs="Times New Roman" w:eastAsia="Times New Roman" w:hAnsi="Times New Roman"/>
          <w:sz w:val="22"/>
          <w:szCs w:val="22"/>
          <w:color w:val="auto"/>
        </w:rPr>
        <w:t>377850000.00 132811490</w:t>
        <w:tab/>
        <w:t>06/22/2026</w:t>
      </w:r>
      <w:r>
        <w:rPr>
          <w:sz w:val="20"/>
          <w:szCs w:val="20"/>
          <w:color w:val="auto"/>
        </w:rPr>
        <w:tab/>
      </w:r>
      <w:r>
        <w:rPr>
          <w:rFonts w:ascii="Times New Roman" w:cs="Times New Roman" w:eastAsia="Times New Roman" w:hAnsi="Times New Roman"/>
          <w:sz w:val="21"/>
          <w:szCs w:val="21"/>
          <w:color w:val="auto"/>
        </w:rPr>
        <w:t>NASDAQ</w:t>
      </w:r>
    </w:p>
    <w:p>
      <w:pPr>
        <w:ind w:left="2500"/>
        <w:spacing w:after="0" w:line="231" w:lineRule="auto"/>
        <w:rPr>
          <w:sz w:val="20"/>
          <w:szCs w:val="20"/>
          <w:color w:val="auto"/>
        </w:rPr>
      </w:pPr>
      <w:r>
        <w:rPr>
          <w:rFonts w:ascii="Times New Roman" w:cs="Times New Roman" w:eastAsia="Times New Roman" w:hAnsi="Times New Roman"/>
          <w:sz w:val="22"/>
          <w:szCs w:val="22"/>
          <w:color w:val="auto"/>
        </w:rPr>
        <w:t>25 Shoe Lane</w:t>
      </w:r>
    </w:p>
    <w:p>
      <w:pPr>
        <w:ind w:left="2500"/>
        <w:spacing w:after="0"/>
        <w:rPr>
          <w:sz w:val="20"/>
          <w:szCs w:val="20"/>
          <w:color w:val="auto"/>
        </w:rPr>
      </w:pPr>
      <w:r>
        <w:rPr>
          <w:rFonts w:ascii="Times New Roman" w:cs="Times New Roman" w:eastAsia="Times New Roman" w:hAnsi="Times New Roman"/>
          <w:sz w:val="22"/>
          <w:szCs w:val="22"/>
          <w:color w:val="auto"/>
        </w:rPr>
        <w:t>London  X0  EC4A 2AU</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10/27/2021</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placement</w:t>
            </w:r>
          </w:p>
        </w:tc>
        <w:tc>
          <w:tcPr>
            <w:tcW w:w="1400" w:type="dxa"/>
            <w:vAlign w:val="bottom"/>
            <w:vMerge w:val="restart"/>
          </w:tcPr>
          <w:p>
            <w:pPr>
              <w:jc w:val="right"/>
              <w:ind w:right="952"/>
              <w:spacing w:after="0"/>
              <w:rPr>
                <w:sz w:val="20"/>
                <w:szCs w:val="20"/>
                <w:color w:val="auto"/>
              </w:rPr>
            </w:pPr>
            <w:r>
              <w:rPr>
                <w:rFonts w:ascii="Times New Roman" w:cs="Times New Roman" w:eastAsia="Times New Roman" w:hAnsi="Times New Roman"/>
                <w:sz w:val="22"/>
                <w:szCs w:val="22"/>
                <w:color w:val="auto"/>
              </w:rPr>
              <w:t>(1)</w:t>
            </w:r>
          </w:p>
        </w:tc>
        <w:tc>
          <w:tcPr>
            <w:tcW w:w="282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58586695</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10/27/2021 (1)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10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AES Grid Stability,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4300 Wilson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05/15/2026 10066414</w:t>
            </w:r>
          </w:p>
        </w:tc>
        <w:tc>
          <w:tcPr>
            <w:tcW w:w="15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211394694.00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Arlington  VA  22203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2"/>
          <w:szCs w:val="22"/>
          <w:color w:val="auto"/>
        </w:rPr>
        <w:t>In accordance with procedures described in interpretive letters from staff of the SEC to Goldman, Sachs &amp; Co., dated December 20, 1999, and to Bank of America, N.A., Merrill Lynch, Pierce, Fenner &amp; Smith Inc., dated December 1, 2011, shares being sold are subject to a post-paid forward sale contract with a financial institution. At maturity, seller expects to deliver up to the number of shares described herein and receive a cash payment based on the VWAP of Class A shares during a valuation period determined by the financial institution, subject to an agreed maturity window. The final number of Class A shares delivered may be reduced if, during the valuation period, the VWAP is below a specified minimum price. The seller expects to pledge as collateral LLC Units and Class B-1 shares redeemable for Class A shares deliverable at settlement. Any related hedging activity would be conducted by or through the broker named herein. (1) See Annex A on Exhibit 99.1 hereto.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Jennifer V. Gillcrist, Secretary of AES Grid Stability, LLC</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u w:val="single" w:color="auto"/>
          <w:color w:val="auto"/>
        </w:rPr>
        <w:t>Annex A</w:t>
      </w:r>
    </w:p>
    <w:p>
      <w:pPr>
        <w:spacing w:after="0" w:line="198" w:lineRule="exact"/>
        <w:rPr>
          <w:sz w:val="20"/>
          <w:szCs w:val="20"/>
          <w:color w:val="auto"/>
        </w:rPr>
      </w:pPr>
    </w:p>
    <w:p>
      <w:pPr>
        <w:ind w:left="520" w:right="280" w:hanging="517"/>
        <w:spacing w:after="0" w:line="253" w:lineRule="auto"/>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Fluence Energy, LLC, a Delaware limited liability company (the “Company”) was established in January 2018 as a joint venture between AES Grid Stability, LLC (“AES Grid Stability”) and Siemens Industry, Inc. Pursuant to the Company’s Third Amended and Restated Limited Liability Company Agreement, dated as of October 27, 2021, by and among the Company, a Delaware limited liability company, Fluence Energy, Inc., a Delaware corporation (“Issuer”), AES Grid Stability and the other Members (as defined therein) party thereto, and in connection with the consummation of Issuer’s initial public offering, Issuer recapitalized the units, including the Class A units, held by the existing members of the Company, which included AES Grid Stability among others, into a new single class of limited liability company interest in the Company (the “LLC Units”), resulting in AES Grid Stability receiving 58,586,695 LLC Units and an equivalent number of shares of Class B-1 common stock, $0.00001 par value per share, of Issuer (the “Class B-1 Common Stock”). Each LLC Unit and an equal number of shares of Class B-1 Common Stock of the Issuer together are exchangeable at the discretion of the holder for, at the Issuer's election, shares of Class A Common Stock on a one-for-one basis or the cash value thereof, subject to certain exceptions, conditions and adjustments, and have no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313055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00"/>
      </w:cols>
      <w:pgMar w:left="46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2026-06-22T19:56:01Z</dcterms:created>
  <dcterms:modified xsi:type="dcterms:W3CDTF">2026-06-22T19:56:01Z</dcterms:modified>
</cp:coreProperties>
</file>