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508000</wp:posOffset>
            </wp:positionH>
            <wp:positionV relativeFrom="page">
              <wp:posOffset>603250</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629285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4" w:lineRule="exact"/>
        <w:rPr>
          <w:sz w:val="24"/>
          <w:szCs w:val="24"/>
          <w:color w:val="auto"/>
        </w:rPr>
      </w:pPr>
    </w:p>
    <w:p>
      <w:pPr>
        <w:ind w:left="1880" w:hanging="1231"/>
        <w:spacing w:after="0"/>
        <w:tabs>
          <w:tab w:leader="none" w:pos="18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For the fiscal year ended </w:t>
      </w:r>
      <w:r>
        <w:rPr>
          <w:rFonts w:ascii="Arial" w:cs="Arial" w:eastAsia="Arial" w:hAnsi="Arial"/>
          <w:sz w:val="17"/>
          <w:szCs w:val="17"/>
          <w:b w:val="1"/>
          <w:bCs w:val="1"/>
          <w:color w:val="auto"/>
        </w:rPr>
        <w:t>September 30, 2022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760" w:type="dxa"/>
            <w:vAlign w:val="bottom"/>
            <w:gridSpan w:val="2"/>
          </w:tcPr>
          <w:p>
            <w:pPr>
              <w:jc w:val="center"/>
              <w:ind w:left="390"/>
              <w:spacing w:after="0"/>
              <w:rPr>
                <w:sz w:val="20"/>
                <w:szCs w:val="20"/>
                <w:color w:val="auto"/>
              </w:rPr>
            </w:pPr>
            <w:r>
              <w:rPr>
                <w:rFonts w:ascii="Arial" w:cs="Arial" w:eastAsia="Arial" w:hAnsi="Arial"/>
                <w:sz w:val="16"/>
                <w:szCs w:val="16"/>
                <w:b w:val="1"/>
                <w:bCs w:val="1"/>
                <w:color w:val="auto"/>
                <w:w w:val="93"/>
              </w:rPr>
              <w:t>For the transition period from to</w:t>
            </w:r>
          </w:p>
        </w:tc>
        <w:tc>
          <w:tcPr>
            <w:tcW w:w="356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6320" w:type="dxa"/>
            <w:vAlign w:val="bottom"/>
            <w:gridSpan w:val="3"/>
          </w:tcPr>
          <w:p>
            <w:pPr>
              <w:jc w:val="center"/>
              <w:ind w:right="2999"/>
              <w:spacing w:after="0"/>
              <w:rPr>
                <w:sz w:val="20"/>
                <w:szCs w:val="20"/>
                <w:color w:val="auto"/>
              </w:rPr>
            </w:pPr>
            <w:r>
              <w:rPr>
                <w:rFonts w:ascii="Arial" w:cs="Arial" w:eastAsia="Arial" w:hAnsi="Arial"/>
                <w:sz w:val="16"/>
                <w:szCs w:val="16"/>
                <w:b w:val="1"/>
                <w:bCs w:val="1"/>
                <w:color w:val="auto"/>
                <w:w w:val="91"/>
              </w:rPr>
              <w:t>Commission file number 001-40978</w:t>
            </w:r>
          </w:p>
        </w:tc>
      </w:tr>
      <w:tr>
        <w:trPr>
          <w:trHeight w:val="505"/>
        </w:trPr>
        <w:tc>
          <w:tcPr>
            <w:tcW w:w="4000" w:type="dxa"/>
            <w:vAlign w:val="bottom"/>
          </w:tcPr>
          <w:p>
            <w:pPr>
              <w:spacing w:after="0"/>
              <w:rPr>
                <w:sz w:val="24"/>
                <w:szCs w:val="24"/>
                <w:color w:val="auto"/>
              </w:rPr>
            </w:pPr>
          </w:p>
        </w:tc>
        <w:tc>
          <w:tcPr>
            <w:tcW w:w="6320" w:type="dxa"/>
            <w:vAlign w:val="bottom"/>
            <w:gridSpan w:val="3"/>
          </w:tcPr>
          <w:p>
            <w:pPr>
              <w:jc w:val="center"/>
              <w:ind w:right="2999"/>
              <w:spacing w:after="0"/>
              <w:rPr>
                <w:sz w:val="20"/>
                <w:szCs w:val="20"/>
                <w:color w:val="auto"/>
              </w:rPr>
            </w:pPr>
            <w:r>
              <w:rPr>
                <w:rFonts w:ascii="Arial" w:cs="Arial" w:eastAsia="Arial" w:hAnsi="Arial"/>
                <w:sz w:val="29"/>
                <w:szCs w:val="29"/>
                <w:b w:val="1"/>
                <w:bCs w:val="1"/>
                <w:color w:val="auto"/>
                <w:w w:val="89"/>
              </w:rPr>
              <w:t>Fluence Energy, Inc.</w:t>
            </w:r>
          </w:p>
        </w:tc>
      </w:tr>
      <w:tr>
        <w:trPr>
          <w:trHeight w:val="210"/>
        </w:trPr>
        <w:tc>
          <w:tcPr>
            <w:tcW w:w="10320" w:type="dxa"/>
            <w:vAlign w:val="bottom"/>
            <w:gridSpan w:val="4"/>
          </w:tcPr>
          <w:p>
            <w:pPr>
              <w:jc w:val="center"/>
              <w:ind w:left="85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374"/>
        </w:trPr>
        <w:tc>
          <w:tcPr>
            <w:tcW w:w="4000" w:type="dxa"/>
            <w:vAlign w:val="bottom"/>
          </w:tcPr>
          <w:p>
            <w:pPr>
              <w:jc w:val="center"/>
              <w:ind w:left="1079"/>
              <w:spacing w:after="0"/>
              <w:rPr>
                <w:sz w:val="20"/>
                <w:szCs w:val="20"/>
                <w:color w:val="auto"/>
              </w:rPr>
            </w:pPr>
            <w:r>
              <w:rPr>
                <w:rFonts w:ascii="Arial" w:cs="Arial" w:eastAsia="Arial" w:hAnsi="Arial"/>
                <w:sz w:val="16"/>
                <w:szCs w:val="16"/>
                <w:b w:val="1"/>
                <w:bCs w:val="1"/>
                <w:color w:val="auto"/>
                <w:w w:val="91"/>
              </w:rPr>
              <w:t>Delaware</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right"/>
              <w:ind w:right="2119"/>
              <w:spacing w:after="0"/>
              <w:rPr>
                <w:sz w:val="20"/>
                <w:szCs w:val="20"/>
                <w:color w:val="auto"/>
              </w:rPr>
            </w:pPr>
            <w:r>
              <w:rPr>
                <w:rFonts w:ascii="Arial" w:cs="Arial" w:eastAsia="Arial" w:hAnsi="Arial"/>
                <w:sz w:val="16"/>
                <w:szCs w:val="16"/>
                <w:b w:val="1"/>
                <w:bCs w:val="1"/>
                <w:color w:val="auto"/>
              </w:rPr>
              <w:t>87-1304612</w:t>
            </w:r>
          </w:p>
        </w:tc>
      </w:tr>
      <w:tr>
        <w:trPr>
          <w:trHeight w:val="203"/>
        </w:trPr>
        <w:tc>
          <w:tcPr>
            <w:tcW w:w="4000" w:type="dxa"/>
            <w:vAlign w:val="bottom"/>
          </w:tcPr>
          <w:p>
            <w:pPr>
              <w:jc w:val="center"/>
              <w:ind w:left="1079"/>
              <w:spacing w:after="0"/>
              <w:rPr>
                <w:sz w:val="20"/>
                <w:szCs w:val="20"/>
                <w:color w:val="auto"/>
              </w:rPr>
            </w:pPr>
            <w:r>
              <w:rPr>
                <w:rFonts w:ascii="Arial" w:cs="Arial" w:eastAsia="Arial" w:hAnsi="Arial"/>
                <w:sz w:val="16"/>
                <w:szCs w:val="16"/>
                <w:color w:val="auto"/>
                <w:w w:val="93"/>
              </w:rPr>
              <w:t>(State or other jurisdiction of</w:t>
            </w:r>
          </w:p>
        </w:tc>
        <w:tc>
          <w:tcPr>
            <w:tcW w:w="2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60" w:type="dxa"/>
            <w:vAlign w:val="bottom"/>
          </w:tcPr>
          <w:p>
            <w:pPr>
              <w:jc w:val="center"/>
              <w:ind w:right="1559"/>
              <w:spacing w:after="0"/>
              <w:rPr>
                <w:sz w:val="20"/>
                <w:szCs w:val="20"/>
                <w:color w:val="auto"/>
              </w:rPr>
            </w:pPr>
            <w:r>
              <w:rPr>
                <w:rFonts w:ascii="Arial" w:cs="Arial" w:eastAsia="Arial" w:hAnsi="Arial"/>
                <w:sz w:val="16"/>
                <w:szCs w:val="16"/>
                <w:color w:val="auto"/>
                <w:w w:val="95"/>
              </w:rPr>
              <w:t>(I.R.S. Employer</w:t>
            </w:r>
          </w:p>
        </w:tc>
      </w:tr>
      <w:tr>
        <w:trPr>
          <w:trHeight w:val="206"/>
        </w:trPr>
        <w:tc>
          <w:tcPr>
            <w:tcW w:w="4000" w:type="dxa"/>
            <w:vAlign w:val="bottom"/>
          </w:tcPr>
          <w:p>
            <w:pPr>
              <w:jc w:val="center"/>
              <w:ind w:left="1079"/>
              <w:spacing w:after="0"/>
              <w:rPr>
                <w:sz w:val="20"/>
                <w:szCs w:val="20"/>
                <w:color w:val="auto"/>
              </w:rPr>
            </w:pPr>
            <w:r>
              <w:rPr>
                <w:rFonts w:ascii="Arial" w:cs="Arial" w:eastAsia="Arial" w:hAnsi="Arial"/>
                <w:sz w:val="16"/>
                <w:szCs w:val="16"/>
                <w:color w:val="auto"/>
                <w:w w:val="94"/>
              </w:rPr>
              <w:t>incorporation or organization)</w:t>
            </w:r>
          </w:p>
        </w:tc>
        <w:tc>
          <w:tcPr>
            <w:tcW w:w="2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60" w:type="dxa"/>
            <w:vAlign w:val="bottom"/>
          </w:tcPr>
          <w:p>
            <w:pPr>
              <w:jc w:val="center"/>
              <w:ind w:right="1559"/>
              <w:spacing w:after="0"/>
              <w:rPr>
                <w:sz w:val="20"/>
                <w:szCs w:val="20"/>
                <w:color w:val="auto"/>
              </w:rPr>
            </w:pPr>
            <w:r>
              <w:rPr>
                <w:rFonts w:ascii="Arial" w:cs="Arial" w:eastAsia="Arial" w:hAnsi="Arial"/>
                <w:sz w:val="16"/>
                <w:szCs w:val="16"/>
                <w:color w:val="auto"/>
                <w:w w:val="96"/>
              </w:rPr>
              <w:t>Identification No.)</w:t>
            </w:r>
          </w:p>
        </w:tc>
      </w:tr>
      <w:tr>
        <w:trPr>
          <w:trHeight w:val="330"/>
        </w:trPr>
        <w:tc>
          <w:tcPr>
            <w:tcW w:w="4000" w:type="dxa"/>
            <w:vAlign w:val="bottom"/>
          </w:tcPr>
          <w:p>
            <w:pPr>
              <w:jc w:val="center"/>
              <w:ind w:left="1059"/>
              <w:spacing w:after="0"/>
              <w:rPr>
                <w:sz w:val="20"/>
                <w:szCs w:val="20"/>
                <w:color w:val="auto"/>
              </w:rPr>
            </w:pPr>
            <w:r>
              <w:rPr>
                <w:rFonts w:ascii="Arial" w:cs="Arial" w:eastAsia="Arial" w:hAnsi="Arial"/>
                <w:sz w:val="16"/>
                <w:szCs w:val="16"/>
                <w:b w:val="1"/>
                <w:bCs w:val="1"/>
                <w:color w:val="auto"/>
                <w:w w:val="93"/>
              </w:rPr>
              <w:t>4601 Fairfax Drive, Suite 600</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0"/>
        </w:trPr>
        <w:tc>
          <w:tcPr>
            <w:tcW w:w="4000" w:type="dxa"/>
            <w:vAlign w:val="bottom"/>
          </w:tcPr>
          <w:p>
            <w:pPr>
              <w:jc w:val="center"/>
              <w:ind w:left="1079"/>
              <w:spacing w:after="0"/>
              <w:rPr>
                <w:sz w:val="20"/>
                <w:szCs w:val="20"/>
                <w:color w:val="auto"/>
              </w:rPr>
            </w:pPr>
            <w:r>
              <w:rPr>
                <w:rFonts w:ascii="Arial" w:cs="Arial" w:eastAsia="Arial" w:hAnsi="Arial"/>
                <w:sz w:val="16"/>
                <w:szCs w:val="16"/>
                <w:b w:val="1"/>
                <w:bCs w:val="1"/>
                <w:color w:val="auto"/>
                <w:w w:val="95"/>
              </w:rPr>
              <w:t>Arlington, Virginia</w:t>
            </w:r>
          </w:p>
        </w:tc>
        <w:tc>
          <w:tcPr>
            <w:tcW w:w="2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60" w:type="dxa"/>
            <w:vAlign w:val="bottom"/>
          </w:tcPr>
          <w:p>
            <w:pPr>
              <w:jc w:val="right"/>
              <w:ind w:right="2319"/>
              <w:spacing w:after="0"/>
              <w:rPr>
                <w:sz w:val="20"/>
                <w:szCs w:val="20"/>
                <w:color w:val="auto"/>
              </w:rPr>
            </w:pPr>
            <w:r>
              <w:rPr>
                <w:rFonts w:ascii="Arial" w:cs="Arial" w:eastAsia="Arial" w:hAnsi="Arial"/>
                <w:sz w:val="16"/>
                <w:szCs w:val="16"/>
                <w:b w:val="1"/>
                <w:bCs w:val="1"/>
                <w:color w:val="auto"/>
              </w:rPr>
              <w:t>22203</w:t>
            </w:r>
          </w:p>
        </w:tc>
      </w:tr>
      <w:tr>
        <w:trPr>
          <w:trHeight w:val="283"/>
        </w:trPr>
        <w:tc>
          <w:tcPr>
            <w:tcW w:w="4000" w:type="dxa"/>
            <w:vAlign w:val="bottom"/>
          </w:tcPr>
          <w:p>
            <w:pPr>
              <w:jc w:val="center"/>
              <w:ind w:left="1079"/>
              <w:spacing w:after="0"/>
              <w:rPr>
                <w:sz w:val="20"/>
                <w:szCs w:val="20"/>
                <w:color w:val="auto"/>
              </w:rPr>
            </w:pPr>
            <w:r>
              <w:rPr>
                <w:rFonts w:ascii="Arial" w:cs="Arial" w:eastAsia="Arial" w:hAnsi="Arial"/>
                <w:sz w:val="16"/>
                <w:szCs w:val="16"/>
                <w:color w:val="auto"/>
                <w:w w:val="93"/>
              </w:rPr>
              <w:t>(Address of Principal Executive Offices)</w:t>
            </w:r>
          </w:p>
        </w:tc>
        <w:tc>
          <w:tcPr>
            <w:tcW w:w="2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60" w:type="dxa"/>
            <w:vAlign w:val="bottom"/>
          </w:tcPr>
          <w:p>
            <w:pPr>
              <w:jc w:val="center"/>
              <w:ind w:right="1559"/>
              <w:spacing w:after="0"/>
              <w:rPr>
                <w:sz w:val="20"/>
                <w:szCs w:val="20"/>
                <w:color w:val="auto"/>
              </w:rPr>
            </w:pPr>
            <w:r>
              <w:rPr>
                <w:rFonts w:ascii="Arial" w:cs="Arial" w:eastAsia="Arial" w:hAnsi="Arial"/>
                <w:sz w:val="16"/>
                <w:szCs w:val="16"/>
                <w:color w:val="auto"/>
                <w:w w:val="95"/>
              </w:rPr>
              <w:t>(Zip Code)</w:t>
            </w:r>
          </w:p>
        </w:tc>
      </w:tr>
      <w:tr>
        <w:trPr>
          <w:trHeight w:val="334"/>
        </w:trPr>
        <w:tc>
          <w:tcPr>
            <w:tcW w:w="4000" w:type="dxa"/>
            <w:vAlign w:val="bottom"/>
          </w:tcPr>
          <w:p>
            <w:pPr>
              <w:spacing w:after="0"/>
              <w:rPr>
                <w:sz w:val="24"/>
                <w:szCs w:val="24"/>
                <w:color w:val="auto"/>
              </w:rPr>
            </w:pPr>
          </w:p>
        </w:tc>
        <w:tc>
          <w:tcPr>
            <w:tcW w:w="2280" w:type="dxa"/>
            <w:vAlign w:val="bottom"/>
          </w:tcPr>
          <w:p>
            <w:pPr>
              <w:jc w:val="center"/>
              <w:ind w:left="890"/>
              <w:spacing w:after="0"/>
              <w:rPr>
                <w:sz w:val="20"/>
                <w:szCs w:val="20"/>
                <w:color w:val="auto"/>
              </w:rPr>
            </w:pPr>
            <w:r>
              <w:rPr>
                <w:rFonts w:ascii="Arial" w:cs="Arial" w:eastAsia="Arial" w:hAnsi="Arial"/>
                <w:sz w:val="16"/>
                <w:szCs w:val="16"/>
                <w:b w:val="1"/>
                <w:bCs w:val="1"/>
                <w:color w:val="auto"/>
                <w:w w:val="93"/>
              </w:rPr>
              <w:t>(833) 358-3623</w:t>
            </w:r>
          </w:p>
        </w:tc>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6"/>
        </w:trPr>
        <w:tc>
          <w:tcPr>
            <w:tcW w:w="4000" w:type="dxa"/>
            <w:vAlign w:val="bottom"/>
          </w:tcPr>
          <w:p>
            <w:pPr>
              <w:spacing w:after="0"/>
              <w:rPr>
                <w:sz w:val="17"/>
                <w:szCs w:val="17"/>
                <w:color w:val="auto"/>
              </w:rPr>
            </w:pPr>
          </w:p>
        </w:tc>
        <w:tc>
          <w:tcPr>
            <w:tcW w:w="6320" w:type="dxa"/>
            <w:vAlign w:val="bottom"/>
            <w:gridSpan w:val="3"/>
          </w:tcPr>
          <w:p>
            <w:pPr>
              <w:jc w:val="center"/>
              <w:ind w:right="2979"/>
              <w:spacing w:after="0"/>
              <w:rPr>
                <w:sz w:val="20"/>
                <w:szCs w:val="20"/>
                <w:color w:val="auto"/>
              </w:rPr>
            </w:pPr>
            <w:r>
              <w:rPr>
                <w:rFonts w:ascii="Arial" w:cs="Arial" w:eastAsia="Arial" w:hAnsi="Arial"/>
                <w:sz w:val="16"/>
                <w:szCs w:val="16"/>
                <w:color w:val="auto"/>
                <w:w w:val="90"/>
              </w:rPr>
              <w:t>Registrant's telephone number, including area c</w:t>
            </w:r>
            <w:r>
              <w:rPr>
                <w:rFonts w:ascii="Arial" w:cs="Arial" w:eastAsia="Arial" w:hAnsi="Arial"/>
                <w:sz w:val="14"/>
                <w:szCs w:val="14"/>
                <w:color w:val="auto"/>
                <w:w w:val="90"/>
              </w:rPr>
              <w:t>ode</w:t>
            </w:r>
          </w:p>
        </w:tc>
      </w:tr>
      <w:tr>
        <w:trPr>
          <w:trHeight w:val="297"/>
        </w:trPr>
        <w:tc>
          <w:tcPr>
            <w:tcW w:w="10320" w:type="dxa"/>
            <w:vAlign w:val="bottom"/>
            <w:gridSpan w:val="4"/>
          </w:tcPr>
          <w:p>
            <w:pPr>
              <w:jc w:val="center"/>
              <w:ind w:left="8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114"/>
        </w:trPr>
        <w:tc>
          <w:tcPr>
            <w:tcW w:w="40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r>
      <w:tr>
        <w:trPr>
          <w:trHeight w:val="207"/>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80" w:type="dxa"/>
            <w:vAlign w:val="bottom"/>
            <w:tcBorders>
              <w:bottom w:val="single" w:sz="8" w:color="auto"/>
            </w:tcBorders>
          </w:tcPr>
          <w:p>
            <w:pPr>
              <w:spacing w:after="0"/>
              <w:rPr>
                <w:sz w:val="17"/>
                <w:szCs w:val="17"/>
                <w:color w:val="auto"/>
              </w:rPr>
            </w:pPr>
          </w:p>
        </w:tc>
        <w:tc>
          <w:tcPr>
            <w:tcW w:w="3560" w:type="dxa"/>
            <w:vAlign w:val="bottom"/>
            <w:tcBorders>
              <w:bottom w:val="single" w:sz="8" w:color="auto"/>
              <w:right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9"/>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Class A common stock, $0.00001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FLNC</w:t>
            </w:r>
          </w:p>
        </w:tc>
        <w:tc>
          <w:tcPr>
            <w:tcW w:w="480" w:type="dxa"/>
            <w:vAlign w:val="bottom"/>
            <w:tcBorders>
              <w:bottom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jc w:val="center"/>
              <w:ind w:right="439"/>
              <w:spacing w:after="0"/>
              <w:rPr>
                <w:sz w:val="20"/>
                <w:szCs w:val="20"/>
                <w:color w:val="auto"/>
              </w:rPr>
            </w:pPr>
            <w:r>
              <w:rPr>
                <w:rFonts w:ascii="Arial" w:cs="Arial" w:eastAsia="Arial" w:hAnsi="Arial"/>
                <w:sz w:val="16"/>
                <w:szCs w:val="16"/>
                <w:color w:val="0D0D0D"/>
                <w:w w:val="91"/>
              </w:rPr>
              <w:t>The Nasdaq Global Select Market</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60" w:lineRule="exact"/>
        <w:rPr>
          <w:sz w:val="24"/>
          <w:szCs w:val="24"/>
          <w:color w:val="auto"/>
        </w:rPr>
      </w:pPr>
    </w:p>
    <w:p>
      <w:pPr>
        <w:ind w:right="2660"/>
        <w:spacing w:after="0" w:line="25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47" w:lineRule="exact"/>
        <w:rPr>
          <w:sz w:val="24"/>
          <w:szCs w:val="24"/>
          <w:color w:val="auto"/>
        </w:rPr>
      </w:pPr>
    </w:p>
    <w:p>
      <w:pPr>
        <w:ind w:right="380"/>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6"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7"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500" w:type="dxa"/>
        <w:tblCellMar>
          <w:top w:w="0" w:type="dxa"/>
          <w:left w:w="0" w:type="dxa"/>
          <w:bottom w:w="0" w:type="dxa"/>
          <w:right w:w="0" w:type="dxa"/>
        </w:tblCellMar>
      </w:tblP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560"/>
              <w:spacing w:after="0"/>
              <w:rPr>
                <w:sz w:val="20"/>
                <w:szCs w:val="20"/>
                <w:color w:val="auto"/>
              </w:rPr>
            </w:pPr>
            <w:r>
              <w:rPr>
                <w:rFonts w:ascii="Arial" w:cs="Arial" w:eastAsia="Arial" w:hAnsi="Arial"/>
                <w:sz w:val="16"/>
                <w:szCs w:val="16"/>
                <w:color w:val="auto"/>
              </w:rPr>
              <w:t>o</w:t>
            </w:r>
          </w:p>
        </w:tc>
        <w:tc>
          <w:tcPr>
            <w:tcW w:w="4620" w:type="dxa"/>
            <w:vAlign w:val="bottom"/>
          </w:tcPr>
          <w:p>
            <w:pPr>
              <w:ind w:left="2360"/>
              <w:spacing w:after="0"/>
              <w:rPr>
                <w:sz w:val="20"/>
                <w:szCs w:val="20"/>
                <w:color w:val="auto"/>
              </w:rPr>
            </w:pPr>
            <w:r>
              <w:rPr>
                <w:rFonts w:ascii="Arial" w:cs="Arial" w:eastAsia="Arial" w:hAnsi="Arial"/>
                <w:sz w:val="16"/>
                <w:szCs w:val="16"/>
                <w:color w:val="auto"/>
              </w:rPr>
              <w:t>Accelerated filer</w:t>
            </w:r>
          </w:p>
        </w:tc>
        <w:tc>
          <w:tcPr>
            <w:tcW w:w="56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16"/>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580"/>
              <w:spacing w:after="0"/>
              <w:rPr>
                <w:sz w:val="20"/>
                <w:szCs w:val="20"/>
                <w:color w:val="auto"/>
              </w:rPr>
            </w:pPr>
            <w:r>
              <w:rPr>
                <w:rFonts w:ascii="Arial" w:cs="Arial" w:eastAsia="Arial" w:hAnsi="Arial"/>
                <w:sz w:val="16"/>
                <w:szCs w:val="16"/>
                <w:color w:val="auto"/>
              </w:rPr>
              <w:t>x</w:t>
            </w:r>
          </w:p>
        </w:tc>
        <w:tc>
          <w:tcPr>
            <w:tcW w:w="4620" w:type="dxa"/>
            <w:vAlign w:val="bottom"/>
          </w:tcPr>
          <w:p>
            <w:pPr>
              <w:ind w:left="236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jc w:val="right"/>
              <w:spacing w:after="0"/>
              <w:rPr>
                <w:sz w:val="20"/>
                <w:szCs w:val="20"/>
                <w:color w:val="auto"/>
              </w:rPr>
            </w:pPr>
            <w:r>
              <w:rPr>
                <w:rFonts w:ascii="Arial" w:cs="Arial" w:eastAsia="Arial" w:hAnsi="Arial"/>
                <w:sz w:val="16"/>
                <w:szCs w:val="16"/>
                <w:color w:val="auto"/>
              </w:rPr>
              <w:t>o</w:t>
            </w:r>
          </w:p>
        </w:tc>
      </w:tr>
      <w:tr>
        <w:trPr>
          <w:trHeight w:val="216"/>
        </w:trPr>
        <w:tc>
          <w:tcPr>
            <w:tcW w:w="2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20" w:type="dxa"/>
            <w:vAlign w:val="bottom"/>
          </w:tcPr>
          <w:p>
            <w:pPr>
              <w:ind w:left="236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jc w:val="right"/>
              <w:spacing w:after="0"/>
              <w:rPr>
                <w:sz w:val="20"/>
                <w:szCs w:val="20"/>
                <w:color w:val="auto"/>
              </w:rPr>
            </w:pPr>
            <w:r>
              <w:rPr>
                <w:rFonts w:ascii="Arial" w:cs="Arial" w:eastAsia="Arial" w:hAnsi="Arial"/>
                <w:sz w:val="16"/>
                <w:szCs w:val="16"/>
                <w:color w:val="auto"/>
              </w:rPr>
              <w:t>x</w:t>
            </w:r>
          </w:p>
        </w:tc>
      </w:tr>
    </w:tbl>
    <w:p>
      <w:pPr>
        <w:spacing w:after="0" w:line="77"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37" w:lineRule="exact"/>
        <w:rPr>
          <w:sz w:val="24"/>
          <w:szCs w:val="24"/>
          <w:color w:val="auto"/>
        </w:rPr>
      </w:pPr>
    </w:p>
    <w:p>
      <w:pPr>
        <w:ind w:right="220"/>
        <w:spacing w:after="0" w:line="34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4" w:lineRule="exact"/>
        <w:rPr>
          <w:sz w:val="24"/>
          <w:szCs w:val="24"/>
          <w:color w:val="auto"/>
        </w:rPr>
      </w:pPr>
    </w:p>
    <w:p>
      <w:pPr>
        <w:spacing w:after="0"/>
        <w:tabs>
          <w:tab w:leader="none" w:pos="6860" w:val="left"/>
          <w:tab w:leader="none" w:pos="7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Yes  o</w:t>
        <w:tab/>
        <w:t>No x</w:t>
      </w:r>
    </w:p>
    <w:p>
      <w:pPr>
        <w:spacing w:after="0" w:line="86" w:lineRule="exact"/>
        <w:rPr>
          <w:sz w:val="24"/>
          <w:szCs w:val="24"/>
          <w:color w:val="auto"/>
        </w:rPr>
      </w:pPr>
    </w:p>
    <w:p>
      <w:pPr>
        <w:ind w:right="60"/>
        <w:spacing w:after="0" w:line="241"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based upon the closing sale price of a share of the registrant’s Class A common stock on March 31, 2022, the last business day of the registrant’s most recently completed second fiscal quarter, as reported on the NASDAQ stock market, was $467.2 million. Shares of the registrant’s Class A common stock held by each executive officer, director, and each other person who may be deemed to be an affiliate of the registrant, have been excluded from this computation. This determination of affiliate status is not necessarily a conclusive determination for other purposes. While this public float meets the float condition to be an accelerated filer, the registrant has not been subject to the requirements of Exchange Act Section 13(a) or 15(d) for a period of at least twelve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 w:name="page2"/>
    <w:bookmarkEnd w:id="1"/>
    <w:p>
      <w:pPr>
        <w:spacing w:after="0" w:line="258" w:lineRule="auto"/>
        <w:rPr>
          <w:sz w:val="20"/>
          <w:szCs w:val="20"/>
          <w:color w:val="auto"/>
        </w:rPr>
      </w:pPr>
      <w:r>
        <w:rPr>
          <w:rFonts w:ascii="Arial" w:cs="Arial" w:eastAsia="Arial" w:hAnsi="Arial"/>
          <w:sz w:val="16"/>
          <w:szCs w:val="16"/>
          <w:color w:val="auto"/>
        </w:rPr>
        <w:t>calendar months (given the IPO occurred on October 28, 2021), the registrant will remain a non-accelerated filer until we re-evaluate filer status as of the end of fiscal year 2023.</w:t>
      </w:r>
    </w:p>
    <w:p>
      <w:pPr>
        <w:spacing w:after="0" w:line="239"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6"/>
          <w:szCs w:val="16"/>
          <w:color w:val="auto"/>
        </w:rPr>
        <w:t xml:space="preserve">As of December 11, 2022, the registrant had 115,865,811 shares of Class A common stock outstanding and 58,586,695 shares of Class B-1 common stock outstanding. </w:t>
      </w:r>
      <w:r>
        <w:rPr>
          <w:rFonts w:ascii="Arial" w:cs="Arial" w:eastAsia="Arial" w:hAnsi="Arial"/>
          <w:sz w:val="16"/>
          <w:szCs w:val="16"/>
          <w:b w:val="1"/>
          <w:bCs w:val="1"/>
          <w:color w:val="auto"/>
        </w:rPr>
        <w:t>Documents Incorporated by Reference</w:t>
      </w:r>
    </w:p>
    <w:p>
      <w:pPr>
        <w:jc w:val="both"/>
        <w:ind w:right="80"/>
        <w:spacing w:after="0" w:line="261" w:lineRule="auto"/>
        <w:rPr>
          <w:sz w:val="20"/>
          <w:szCs w:val="20"/>
          <w:color w:val="auto"/>
        </w:rPr>
      </w:pPr>
      <w:r>
        <w:rPr>
          <w:rFonts w:ascii="Arial" w:cs="Arial" w:eastAsia="Arial" w:hAnsi="Arial"/>
          <w:sz w:val="16"/>
          <w:szCs w:val="16"/>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6532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6532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245" cy="8890"/>
                    </a:xfrm>
                    <a:prstGeom prst="rect">
                      <a:avLst/>
                    </a:prstGeom>
                    <a:noFill/>
                  </pic:spPr>
                </pic:pic>
              </a:graphicData>
            </a:graphic>
          </wp:anchor>
        </w:drawing>
      </w:r>
    </w:p>
    <w:p>
      <w:pPr>
        <w:sectPr>
          <w:pgSz w:w="11900" w:h="16838" w:orient="portrait"/>
          <w:cols w:equalWidth="0" w:num="1">
            <w:col w:w="11100"/>
          </w:cols>
          <w:pgMar w:left="320" w:top="764"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00FF"/>
        </w:rPr>
        <w:t>Item 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00FF"/>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00FF"/>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00FF"/>
        </w:rPr>
        <w:t>Item 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00FF"/>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9B.</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0000FF"/>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00FF"/>
        </w:rPr>
        <w:t>Item 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00FF"/>
        </w:rPr>
        <w:t>Item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14.</w:t>
      </w:r>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b w:val="1"/>
          <w:bCs w:val="1"/>
          <w:color w:val="0000FF"/>
        </w:rPr>
        <w:t xml:space="preserve">PART IV </w:t>
      </w:r>
      <w:r>
        <w:rPr>
          <w:rFonts w:ascii="Arial" w:cs="Arial" w:eastAsia="Arial" w:hAnsi="Arial"/>
          <w:sz w:val="18"/>
          <w:szCs w:val="18"/>
          <w:color w:val="0000FF"/>
        </w:rPr>
        <w:t>Item 15.</w:t>
      </w:r>
    </w:p>
    <w:p>
      <w:pPr>
        <w:spacing w:after="0" w:line="2" w:lineRule="exact"/>
        <w:rPr>
          <w:sz w:val="20"/>
          <w:szCs w:val="20"/>
          <w:color w:val="auto"/>
        </w:rPr>
      </w:pPr>
    </w:p>
    <w:p>
      <w:pPr>
        <w:spacing w:after="0" w:line="474" w:lineRule="auto"/>
        <w:rPr>
          <w:sz w:val="20"/>
          <w:szCs w:val="20"/>
          <w:color w:val="auto"/>
        </w:rPr>
      </w:pPr>
      <w:r>
        <w:rPr>
          <w:rFonts w:ascii="Arial" w:cs="Arial" w:eastAsia="Arial" w:hAnsi="Arial"/>
          <w:sz w:val="15"/>
          <w:szCs w:val="15"/>
          <w:color w:val="0000FF"/>
        </w:rPr>
        <w:t>Item 16. Signatures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317500</wp:posOffset>
            </wp:positionV>
            <wp:extent cx="64465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Cautionary Statement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177800</wp:posOffset>
            </wp:positionV>
            <wp:extent cx="64465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0000FF"/>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Unresolved Staff Comments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Legal Proceedings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340360</wp:posOffset>
            </wp:positionV>
            <wp:extent cx="64465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0000FF"/>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Financial Statements and Supplementary Data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Changes in and Disagreements With Accountants on Accounting and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46520" cy="16319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340360</wp:posOffset>
            </wp:positionV>
            <wp:extent cx="64465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0000FF"/>
        </w:rPr>
        <w:t>Directors, Executive Officers and Corporate Governance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Principal Accounting Fees and Service</w:t>
      </w:r>
      <w:r>
        <w:rPr>
          <w:rFonts w:ascii="Arial" w:cs="Arial" w:eastAsia="Arial" w:hAnsi="Arial"/>
          <w:sz w:val="18"/>
          <w:szCs w:val="18"/>
          <w:color w:val="000000"/>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194945</wp:posOffset>
            </wp:positionV>
            <wp:extent cx="64465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6520" cy="1460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0000FF"/>
        </w:rPr>
        <w:t>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64465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65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00FF"/>
        </w:rPr>
        <w:t>Form 10-K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51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52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68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69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105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109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110</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111</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0000FF"/>
        </w:rPr>
        <w:t>116</w:t>
      </w:r>
    </w:p>
    <w:p>
      <w:pPr>
        <w:sectPr>
          <w:pgSz w:w="11900" w:h="16838" w:orient="portrait"/>
          <w:cols w:equalWidth="0" w:num="3">
            <w:col w:w="760" w:space="280"/>
            <w:col w:w="8060" w:space="540"/>
            <w:col w:w="480"/>
          </w:cols>
          <w:pgMar w:left="880" w:top="985" w:right="899" w:bottom="1440" w:gutter="0" w:footer="0" w:header="0"/>
        </w:sectPr>
      </w:pPr>
    </w:p>
    <w:bookmarkStart w:id="3" w:name="page4"/>
    <w:bookmarkEnd w:id="3"/>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Certain statements in this Annual Report on Form 10-K for the fiscal year ended September 30, 2022 (this “Annual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introduction of new products and services,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Factors that could cause our actual results to differ materially from those indicated in any forward-looking statements,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and operating performance, including our ability to achieve or maintain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our business plan and growth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new offerings and services, including digital applications;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optimize existing and future sales channels and market segmentation;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future markets and offerings;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revenue may be affected by any disruptions in asset deployment caused by supply, construction or utility delays;</w:t>
      </w:r>
    </w:p>
    <w:p>
      <w:pPr>
        <w:spacing w:after="0" w:line="102" w:lineRule="exact"/>
        <w:rPr>
          <w:rFonts w:ascii="Arial" w:cs="Arial" w:eastAsia="Arial" w:hAnsi="Arial"/>
          <w:sz w:val="18"/>
          <w:szCs w:val="18"/>
          <w:color w:val="auto"/>
        </w:rPr>
      </w:pPr>
    </w:p>
    <w:p>
      <w:pPr>
        <w:ind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supply chains and distribution channels, including our ability to secure inventory from suppliers to meet customer demand and source materials in line with our expectations;</w:t>
      </w:r>
    </w:p>
    <w:p>
      <w:pPr>
        <w:spacing w:after="0" w:line="62"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associated with fluctuations in the market prices of commodity raw materials, including steel, aluminum, lithium carbonate, and cobalt, that are used in the components from suppliers, such as lithium-ion batteries, that are used in our energy storage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17" w:lineRule="exact"/>
        <w:rPr>
          <w:rFonts w:ascii="Arial" w:cs="Arial" w:eastAsia="Arial" w:hAnsi="Arial"/>
          <w:sz w:val="18"/>
          <w:szCs w:val="18"/>
          <w:color w:val="auto"/>
        </w:rPr>
      </w:pPr>
    </w:p>
    <w:p>
      <w:pPr>
        <w:ind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economic, social, and political instability in the markets in which we operate and other regions of the world, including any impacts arising out of the ongoing conflict in Ukraine;</w:t>
      </w:r>
    </w:p>
    <w:p>
      <w:pPr>
        <w:spacing w:after="0" w:line="62"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levels of inflation, interest rates, and foreign currency exchange rates and related actions taken by government authorities in connection therewith;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our existing and future markets in which we compete;</w:t>
      </w:r>
    </w:p>
    <w:p>
      <w:pPr>
        <w:spacing w:after="0" w:line="117" w:lineRule="exact"/>
        <w:rPr>
          <w:rFonts w:ascii="Arial" w:cs="Arial" w:eastAsia="Arial" w:hAnsi="Arial"/>
          <w:sz w:val="18"/>
          <w:szCs w:val="18"/>
          <w:color w:val="auto"/>
        </w:rPr>
      </w:pPr>
    </w:p>
    <w:p>
      <w:pPr>
        <w:ind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and potential future impact of the COVID-19 pandemic on our ground operations at project sites, our manufacturing facilities, our customers, our workforce, and our suppliers and vendors;</w:t>
      </w:r>
    </w:p>
    <w:p>
      <w:pPr>
        <w:spacing w:after="0" w:line="62" w:lineRule="exact"/>
        <w:rPr>
          <w:rFonts w:ascii="Arial" w:cs="Arial" w:eastAsia="Arial" w:hAnsi="Arial"/>
          <w:sz w:val="18"/>
          <w:szCs w:val="18"/>
          <w:color w:val="auto"/>
        </w:rPr>
      </w:pPr>
    </w:p>
    <w:p>
      <w:pPr>
        <w:ind w:right="20"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customer contracts due to events and incidents relating to storage, delivery, installation, operation and shutdowns of our energy storage products, including events and incidents outside of our control;</w:t>
      </w:r>
    </w:p>
    <w:p>
      <w:pPr>
        <w:spacing w:after="0" w:line="62" w:lineRule="exact"/>
        <w:rPr>
          <w:rFonts w:ascii="Arial" w:cs="Arial" w:eastAsia="Arial" w:hAnsi="Arial"/>
          <w:sz w:val="18"/>
          <w:szCs w:val="18"/>
          <w:color w:val="auto"/>
        </w:rPr>
      </w:pPr>
    </w:p>
    <w:p>
      <w:pPr>
        <w:ind w:firstLine="332"/>
        <w:spacing w:after="0" w:line="277" w:lineRule="auto"/>
        <w:tabs>
          <w:tab w:leader="none" w:pos="643"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defects, errors, or bugs in hardware or software of our products and technology as well as any defects that may give rise to claims of product liability or other potential legal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information technology related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compliance with any existing and future applicable laws, regulations, sanctions, or tariffs on our business and operations;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status and implementation of government and economic incentives for energy storage products and/or services;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assessment and expectations regarding our global growth;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anticipated synergies from strategic initiatives and/or acquisitions by the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listing of our securities on the Nasdaq Global Select Market;</w:t>
      </w:r>
    </w:p>
    <w:p>
      <w:pPr>
        <w:spacing w:after="0" w:line="117" w:lineRule="exact"/>
        <w:rPr>
          <w:rFonts w:ascii="Arial" w:cs="Arial" w:eastAsia="Arial" w:hAnsi="Arial"/>
          <w:sz w:val="18"/>
          <w:szCs w:val="18"/>
          <w:color w:val="auto"/>
        </w:rPr>
      </w:pPr>
    </w:p>
    <w:p>
      <w:pPr>
        <w:ind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significant influence that Siemens AG and AES Grid Stability, LLC have over us, including control over decisions that require the approval of stockholders;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under the heading “Risk Factors” in Part I, Item 1A. of this Annual Report.</w:t>
      </w:r>
    </w:p>
    <w:p>
      <w:pPr>
        <w:spacing w:after="0" w:line="1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Annual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Inception and Organization</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27, 2020, Fluence Energy, LLC entered into an agreement with QIA Florence Holdings LLC (“QFH” or the “Blocker Company”) for a $125.0 million investment to accelerate our growth and the global deployment of our offerings. QFH is an affiliate of the Qatar Investment Authority (“QIA”), the sovereign wealth fund of Qatar, and its subsidiaries and affiliates. Following the completion of the transaction on June 9, 2021, Siemens Industry, AES Grid Stability and QFH (collectively, the “Original LLC Owners”) held 43.2%, 43.2% and 13.6%, respectively, of the limited liability interests (the “LLC Interests”) of Fluence Energy, LLC.</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Except where the content clearly indicates otherwise, any reference in this Annual Report to “Fluence,” “we,” “us,” “our” or “the Company” refers to Fluence Energy, Inc. and all of its direct and indirect subsidiaries, including Fluence Energy, LLC. When used in a historical context that is prior to the completion of our IPO (defined below) on November 1, 2021, “we,” “us,” “our” or “the Company” refer to Fluence Energy, LLC and its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6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On November 1, 2021, the Company completed an initial public offering (the “IPO”) in which it issued and sold 35,650,000 shares of its Class A common stock, par value $0.00001 per share, at the public offering price of $28.00 per share, which includes the exercise by the underwriters of their option to purchase an additional 4,650,000 shares of the Company’s Class A common stock. The net proceeds to the Company from the IPO were $935.8 million, after deducting underwriting discounts and commissions and offering expenses payable by the Company.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consummated the following transactions in connection with the IPO (collectively with the IPO, the “Transactions”):</w:t>
      </w:r>
    </w:p>
    <w:p>
      <w:pPr>
        <w:spacing w:after="0" w:line="158" w:lineRule="exact"/>
        <w:rPr>
          <w:sz w:val="20"/>
          <w:szCs w:val="20"/>
          <w:color w:val="auto"/>
        </w:rPr>
      </w:pPr>
    </w:p>
    <w:p>
      <w:pPr>
        <w:jc w:val="both"/>
        <w:ind w:left="66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amended and restated the existing limited liability company agreement of Fluence Energy, LLC, which became effective prior to the consummation of the IPO, to, among other things, (1) recapitalize all existing ownership interests in Fluence Energy, LLC into 135,666,665 LLC Interests and (2) appoint Fluence Energy, Inc. as the sole managing member of Fluence Energy, LLC upon its acquisition of LLC Interests;</w:t>
      </w:r>
    </w:p>
    <w:p>
      <w:pPr>
        <w:spacing w:after="0" w:line="8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amended and restated Fluence Energy, Inc.’s certificate of incorporation to, among other things, provide (1) for Class A common stock, with each share of our Class A common stock entitling its holder to one vote per share on all matters presented to our stockholders generally, (2) for Class B-1 common stock, with each share of our Class B-1 common stock entitling its holder to five votes per share on all matters presented to our stockholders generally, (3) for Class B-2 common stock, with each share of our Class B-2 common stock entitling its holder to one vote per share on all matters presented to our stockholders generally, and that shares of our Class B-1 and Class B-2 common stock may only be held by the Founders and their respective permitted transferees;</w:t>
      </w:r>
    </w:p>
    <w:p>
      <w:pPr>
        <w:spacing w:after="0" w:line="11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by means of one or more mergers (the “Blocker Mergers”), the Blocker Company and issued to its owner, Qatar Holding LLC (the “Blocker Shareholder”), 18,493,275 shares of our Class A common stock as consideration in the Blocker Mergers;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issued 117,173,390 shares of our Class B-1 common stock to the Founders, which is equal to the number of LLC Interests held by such Founders, for nominal consideration;</w:t>
      </w:r>
    </w:p>
    <w:p>
      <w:pPr>
        <w:spacing w:after="0" w:line="10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used the net proceeds from the IPO to purchase 35,650,000 newly issued LLC Interests directly from Fluence Energy, LLC at a price per unit equal to the initial public offering price per share of Class A common stock in the IPO less the underwriting discount and estimated offering expenses payable by us;</w:t>
      </w:r>
    </w:p>
    <w:p>
      <w:pPr>
        <w:spacing w:after="0" w:line="10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Fluence Energy, LLC used the net proceeds from the sale of LLC Interests to Fluence Energy, Inc. to repay all outstanding borrowings under our existing Line of Credit and the Promissory Notes (each as defined in “Management’s Discussion and Analysis of Financial Condition and Results of Operations—Liquidity and Capital Resources”), and intends to use the remainder for working capital and other general corporate purposes;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both"/>
        <w:ind w:left="660" w:hanging="328"/>
        <w:spacing w:after="0" w:line="27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AES Grid Stability, Siemens Industry, and the Blockers Shareholder (collectively, the “Continuing Equity Owners”) and Fluence Energy, Inc. entered into (1) the Stockholders Agreement (the “Stockholders Agreement”) and the (2) the Registration Rights Agreement (the “Registration Rights Agreement”), and Fluence Energy, Inc., Fluence Energy, LLC, and the Founders entered into a tax receivable agreement (the “Tax Receivable Agreement”). See “Item 7. Management’s Discussion and Analysis of Financial Condition and Results of Operations—Liquidity and Capital Resources—Tax Receivable Agreement” for further discussion of the Tax Receivable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consummation of the Transactions:</w:t>
      </w:r>
    </w:p>
    <w:p>
      <w:pPr>
        <w:spacing w:after="0" w:line="158" w:lineRule="exact"/>
        <w:rPr>
          <w:sz w:val="20"/>
          <w:szCs w:val="20"/>
          <w:color w:val="auto"/>
        </w:rPr>
      </w:pPr>
    </w:p>
    <w:p>
      <w:pPr>
        <w:jc w:val="both"/>
        <w:ind w:left="660" w:hanging="328"/>
        <w:spacing w:after="0" w:line="272" w:lineRule="auto"/>
        <w:tabs>
          <w:tab w:leader="none" w:pos="655" w:val="left"/>
        </w:tabs>
        <w:numPr>
          <w:ilvl w:val="0"/>
          <w:numId w:val="6"/>
        </w:numPr>
        <w:rPr>
          <w:rFonts w:ascii="Arial" w:cs="Arial" w:eastAsia="Arial" w:hAnsi="Arial"/>
          <w:sz w:val="17"/>
          <w:szCs w:val="17"/>
          <w:color w:val="0D0D0D"/>
        </w:rPr>
      </w:pPr>
      <w:r>
        <w:rPr>
          <w:rFonts w:ascii="Arial" w:cs="Arial" w:eastAsia="Arial" w:hAnsi="Arial"/>
          <w:sz w:val="17"/>
          <w:szCs w:val="17"/>
          <w:color w:val="auto"/>
        </w:rPr>
        <w:t xml:space="preserve">In connection with the IPO, the Company and AES Stability and Siemens Industry (together with AES Stability, the “Founders”) completed a series of Transactions. Following the completion of the Transactions, the Company owned 31.6% of the economic interest in Fluence Energy, LLC and the Founders own 68.4% of the economic interest in Fluence Energy, LLC. As the sole managing member of Fluence Energy, LLC, the Company operates and controls all the business and affairs of Fluence Energy, LLC and its direct and indirect subsidiaries. As a result, the Company consolidates Fluence Energy, LLC and records a non-controlling interest in its consolidated financial statements for the economic interest in Fluence Energy, LLC held by the Founders. Refer to Note 1 - </w:t>
      </w:r>
      <w:r>
        <w:rPr>
          <w:rFonts w:ascii="Arial" w:cs="Arial" w:eastAsia="Arial" w:hAnsi="Arial"/>
          <w:sz w:val="17"/>
          <w:szCs w:val="17"/>
          <w:i w:val="1"/>
          <w:iCs w:val="1"/>
          <w:color w:val="auto"/>
        </w:rPr>
        <w:t>Organization and Operations</w:t>
      </w:r>
      <w:r>
        <w:rPr>
          <w:rFonts w:ascii="Arial" w:cs="Arial" w:eastAsia="Arial" w:hAnsi="Arial"/>
          <w:sz w:val="17"/>
          <w:szCs w:val="17"/>
          <w:color w:val="auto"/>
        </w:rPr>
        <w:t xml:space="preserve"> to the consolidated financial statements included in this Report for more information about the IPO and related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Siemens Industry Redemption</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“Redemption”).</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elected to settle the Redemption through the issuance of 58,586,695 shares of the Company’s Class A common stock (the “Shares”). The Redemption settled on July 7, 2022. Siemens Industry, Inc. effected an internal transfer of its interest in the Shares to Siemens AG at the time of Redemption and as of June 30, 2022, Siemens AG became the beneficial owner of 58,586,695 shares of Class A common stock.</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transaction increased the beneficial ownership interest of the Company in Fluence Energy, LLC to 66.08% as of June 30, 2022. The impact of the change in ownership interest did not result in a change in control. The transaction has been accounted for as an equity transaction and the carrying amount of non-controlling interest has been adjusted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29, 2022, Siemens AG effected an internal transfer of its interest in 18,848,631 shares of Class A common stock to Siemens Pension-Trust E.V. (“SPT”). As of September 30, 2022, Siemens AG is the record owner of 39,738,064 shares of Class A Common Stock and SPT is the record owner of 18,848,631 shares of Class A Common Stock. Siemens AG is an affiliate of the SPT and may be deemed to share beneficial ownership of the shares held of record by the SPT Siemens AG.</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w:t>
      </w:r>
    </w:p>
    <w:p>
      <w:pPr>
        <w:spacing w:after="0" w:line="50" w:lineRule="exact"/>
        <w:rPr>
          <w:sz w:val="20"/>
          <w:szCs w:val="20"/>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AES owns (1) 58,586,695 LLC Interests, representing approximately 33.8% of the economic interest in Fluence Energy, LLC and (2) 58,586,695 shares of Class B-1 common stock of Fluence Energy, Inc., representing approximately 71.8% of the combined voting power of all of Fluence Energy, Inc.’s common stock;</w:t>
      </w:r>
    </w:p>
    <w:p>
      <w:pPr>
        <w:spacing w:after="0" w:line="27" w:lineRule="exact"/>
        <w:rPr>
          <w:rFonts w:ascii="Arial" w:cs="Arial" w:eastAsia="Arial" w:hAnsi="Arial"/>
          <w:sz w:val="22"/>
          <w:szCs w:val="22"/>
          <w:color w:val="auto"/>
        </w:rPr>
      </w:pPr>
    </w:p>
    <w:p>
      <w:pPr>
        <w:ind w:left="660" w:hanging="328"/>
        <w:spacing w:after="0" w:line="256"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17"/>
          <w:szCs w:val="17"/>
          <w:color w:val="auto"/>
        </w:rPr>
        <w:t>Siemens owns 58,586,695 shares of Class A common stock of Fluence Energy, Inc., representing approximately 14.4% of the combined voting power of all of Fluence Energy, Inc.’s common stock and approximately 51% of the economic interest in Fluence Energy, Inc.;</w:t>
      </w:r>
    </w:p>
    <w:p>
      <w:pPr>
        <w:spacing w:after="0" w:line="19"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QIA owns 18,493,275 shares of Class A common stock of Fluence Energy, Inc., representing approximately 4.5% of the combined voting power of all of Fluence Energy, Inc.’s common stock and approximately 16.1% of the economic interest in Fluence Energy, Inc., directly and indirectly through Fluence Energy, Inc.’s ownership of LLC Interests.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Fluence is a leading global provider of energy storage products and services and artificial intelligence (AI)-enabled digital applications (“Fluence IQ”) for renewables and storage. Our energy storage products are built on our sixth-generation technology stack (“Tech Stack”), which combines our modular, factory-built hardware (“Fluence Cube”) with a proprietary edge-based controls system (“Fluence OS”). Our service offerings include delivery services and recurring operational services, as well as financing structuring services, such as energy-storage-as-a-service (“ESaaS”). The Fluence IQ Digital Platform includes Fluence Mosaic, which delivers AI-powered market bidding optimization for solar, wind, and energy storage assets, including non-Fluence energy storage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p>
      <w:pPr>
        <w:jc w:val="both"/>
        <w:ind w:firstLine="324"/>
        <w:spacing w:after="0" w:line="257" w:lineRule="auto"/>
        <w:rPr>
          <w:sz w:val="20"/>
          <w:szCs w:val="20"/>
          <w:color w:val="auto"/>
        </w:rPr>
      </w:pPr>
      <w:r>
        <w:rPr>
          <w:rFonts w:ascii="Arial" w:cs="Arial" w:eastAsia="Arial" w:hAnsi="Arial"/>
          <w:sz w:val="18"/>
          <w:szCs w:val="18"/>
          <w:color w:val="auto"/>
        </w:rPr>
        <w:t>As of September 30, 2022, we had 1.8 gigawatts (“GW”) of energy storage assets deployed and 3.7 GW of contracted backlog across 44 markets in 36 countries with a gross global pipeline of 37.7 GW. As of September 30, 2022, our global operational and maintenance (“O&amp;M”) services team was providing services for 2.0 GW of energy storage assets, with a further 2.0 GW of contracted backlog. See the “Item 7. Management’s Discussion and Analysis of Financial Condition and Results of Operations—Key Operating Metrics” for additional information regarding our deployed assets, contracted backlog and pipeline.</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2020, we acquired the software and digital intelligence platform of Advanced Microgrid Solutions (“AMS”), a leading artificial intelligence-enabled optimized bidding software for utility-scale storage and renewable generation assets. In April 2022, the Company entered into a share sale purchase agreement and acquired all outstanding shares, the assets and assumed the liabilities of Nispera AG (“Nispera”), a Zurich based provider of artificial intelligence (AI) and machine learning-enabled software-as-a-service (SaaS) targeting the renewable energy sector. The software we acquired from AMS became Fluence Mosaic. As of September 30, 2022, we had an aggregate of 13.7 GW of renewable energy assets using Fluence Mosaic and 3.6 GW of contracted backlog related to renewable and energy storage assets. We expect our services and Fluence IQ digital applications, including Fluence Mosaic, to expand meaningfully over the next five years and contribute increasingly to our bottom-line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Climate change is an existential threat. Severe weather events and broader awareness of the financial implications of climate change are driving a systemic global transition away from fossil fuels towards sustainable energy systems. However, renewable generation, unlike fossil fuel generation, has no inherent storage capacity and can only be used in favorable wind and solar conditions. Energy storage is therefore a critical enabler of large-scale adoption of 24/7 renewable energy. Furthermore, accelerating electrification of industries such as transportation is driving demand for more generation. Energy storage can help both serve and smooth additional peak demand, improving grid reliability and managing energy requirements.</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 first truly digital asset on the electric grid, energy storage is also a uniquely flexible tool for grid planners, operators, and power providers. We believe energy storage sits at the epicenter of the global clean energy transition and represents the backbone of a massive change in our energy market infrastructure driven by three key trends: Grid modernization, decarbonization, and digitalization. The energy transformation will require $134 trillion of investment through 2050 based on the midpoint of Bloomberg New Energy Finance’s (“BloombergNEF”) New Energy Outlook (“NEO”) 2021 clean electricity and green hydrogen pathway.</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Governments across the globe have announced and implemented various policies, regulation and legislation to support the transition from fossil fuels to low-carbon forms of energy which will act as potential catalysts to our growth in the Americas, Europe and Asia. For Example, In August 2022, the United States passed the Inflation Reduction Act of 2022 (the “IRA”), which includes a number of government incentives that support the adoption of energy storage products and services and are anticipated to benefit the Company and its operations. Refer to the Government Regulation and Compliance section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Storage Market Opportunity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energy storage market is comprised of three components:</w:t>
      </w:r>
    </w:p>
    <w:p>
      <w:pPr>
        <w:spacing w:after="0" w:line="158" w:lineRule="exact"/>
        <w:rPr>
          <w:sz w:val="20"/>
          <w:szCs w:val="20"/>
          <w:color w:val="auto"/>
        </w:rPr>
      </w:pPr>
    </w:p>
    <w:p>
      <w:pPr>
        <w:jc w:val="both"/>
        <w:ind w:firstLine="332"/>
        <w:spacing w:after="0" w:line="254" w:lineRule="auto"/>
        <w:tabs>
          <w:tab w:leader="none" w:pos="44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Energy storage products </w:t>
      </w:r>
      <w:r>
        <w:rPr>
          <w:rFonts w:ascii="Arial" w:cs="Arial" w:eastAsia="Arial" w:hAnsi="Arial"/>
          <w:sz w:val="18"/>
          <w:szCs w:val="18"/>
          <w:color w:val="auto"/>
        </w:rPr>
        <w:t>— the components (including batteries), professional services, and labor required to manufacture, assemble, and install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The energy storage products market is driven by the deployment of new energy storage products globally, and its addressable market is comprised of the annual spend associated with the manufacturing, delivery, and installation of new energy storage products. According to BloombergNEF, global annual energy storage capacity installations, excluding the residential market, grew from 0.6 GW a year in 2015 to 16 GW a year in 2022, and are expected to grow to 72 GW a year by 2030. We believe most forecasts for the energy storage sector, including BloombergNEF’s, understate the size and market opportunity as forecasts generally only account for spend associated with the physical energy storage asset and do not account for the associated service and digital spend.</w:t>
      </w:r>
    </w:p>
    <w:p>
      <w:pPr>
        <w:spacing w:after="0" w:line="123" w:lineRule="exact"/>
        <w:rPr>
          <w:rFonts w:ascii="Arial" w:cs="Arial" w:eastAsia="Arial" w:hAnsi="Arial"/>
          <w:sz w:val="18"/>
          <w:szCs w:val="18"/>
          <w:b w:val="1"/>
          <w:bCs w:val="1"/>
          <w:i w:val="1"/>
          <w:iCs w:val="1"/>
          <w:color w:val="auto"/>
        </w:rPr>
      </w:pPr>
    </w:p>
    <w:p>
      <w:pPr>
        <w:jc w:val="both"/>
        <w:ind w:firstLine="332"/>
        <w:spacing w:after="0" w:line="294" w:lineRule="auto"/>
        <w:tabs>
          <w:tab w:leader="none" w:pos="445"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Service</w:t>
      </w:r>
      <w:r>
        <w:rPr>
          <w:rFonts w:ascii="Arial" w:cs="Arial" w:eastAsia="Arial" w:hAnsi="Arial"/>
          <w:sz w:val="16"/>
          <w:szCs w:val="16"/>
          <w:b w:val="1"/>
          <w:bCs w:val="1"/>
          <w:color w:val="auto"/>
        </w:rPr>
        <w: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recurring operational and maintenance services that energy storage products require, management services that are provided by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when asset owners outsource the operations of their systems, and the provision of ESaaS. The services market is driven by the growth in installed energy storage products globally, and its addressable market is comprised of the recurring annual service spend across the entire fleet of energy storage products, which is continuing to grow through new product installations. According to BloombergNEF, global installed energy storage capacity, excluding the residential market, grew 57% per annum between 2015 and 2020, and the installed base is expected to grow at a 31% annual growth rate through 2030. BloombergNEF forecasts that global installed energy storage capacity will reach 193.7 GW by 2030, excluding the residential market.</w:t>
      </w:r>
    </w:p>
    <w:p>
      <w:pPr>
        <w:spacing w:after="0" w:line="82" w:lineRule="exact"/>
        <w:rPr>
          <w:rFonts w:ascii="Arial" w:cs="Arial" w:eastAsia="Arial" w:hAnsi="Arial"/>
          <w:sz w:val="16"/>
          <w:szCs w:val="16"/>
          <w:b w:val="1"/>
          <w:bCs w:val="1"/>
          <w:i w:val="1"/>
          <w:iCs w:val="1"/>
          <w:color w:val="auto"/>
        </w:rPr>
      </w:pPr>
    </w:p>
    <w:p>
      <w:pPr>
        <w:jc w:val="both"/>
        <w:ind w:firstLine="332"/>
        <w:spacing w:after="0" w:line="257" w:lineRule="auto"/>
        <w:tabs>
          <w:tab w:leader="none" w:pos="44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Digital applications and solutions </w:t>
      </w:r>
      <w:r>
        <w:rPr>
          <w:rFonts w:ascii="Arial" w:cs="Arial" w:eastAsia="Arial" w:hAnsi="Arial"/>
          <w:sz w:val="18"/>
          <w:szCs w:val="18"/>
          <w:color w:val="auto"/>
        </w:rPr>
        <w:t>— operating systems, applications, such as trading platforms that allow system owners to manage their grid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participation. These trading platforms can be deployed on both energy storage assets and renewable and conventional generation assets. The digital applications and solutions sector is driven by the growth in installed energy storage products and renewable and conventional generation assets, and its addressable market is comprised of the total global installed fleet of energy storage products and renewable and conventional generation assets. The digital applications and solutions economic model</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is primarily structured as (i) $/kilowatt (“kW”) recurring fixed fees, and in some cases (ii) $/kW performance-based incentive fees both calculated based on the GWs of storage and generation assets on which digital applications and solutions service offerings are deployed. We believe there is an opportunity to not only deploy digital applications and solutions on individual assets but also across entire energy storage fleets and portfolios of generation assets to improve their collective performance and economic output, and to reduce the overall carbon footprint of the electric grid by optimizing the interactions between different asset types.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there are multiple factors driving continued growth in the energy storage sector, including:</w:t>
      </w:r>
    </w:p>
    <w:p>
      <w:pPr>
        <w:spacing w:after="0" w:line="158" w:lineRule="exact"/>
        <w:rPr>
          <w:sz w:val="20"/>
          <w:szCs w:val="20"/>
          <w:color w:val="auto"/>
        </w:rPr>
      </w:pPr>
    </w:p>
    <w:p>
      <w:pPr>
        <w:jc w:val="both"/>
        <w:ind w:firstLine="332"/>
        <w:spacing w:after="0" w:line="263" w:lineRule="auto"/>
        <w:tabs>
          <w:tab w:leader="none" w:pos="44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accelerating transition from fossil to renewable generation is expected to require significant increases in energy storage capacity to both offset potential grid instability caused by intermittent renewable resources and enable the use of power from renewable generation assets at times when the natural resource is unavailable.</w:t>
      </w:r>
    </w:p>
    <w:p>
      <w:pPr>
        <w:spacing w:after="0" w:line="116" w:lineRule="exact"/>
        <w:rPr>
          <w:rFonts w:ascii="Arial" w:cs="Arial" w:eastAsia="Arial" w:hAnsi="Arial"/>
          <w:sz w:val="18"/>
          <w:szCs w:val="18"/>
          <w:color w:val="auto"/>
        </w:rPr>
      </w:pPr>
    </w:p>
    <w:p>
      <w:pPr>
        <w:ind w:firstLine="332"/>
        <w:spacing w:after="0" w:line="277" w:lineRule="auto"/>
        <w:tabs>
          <w:tab w:leader="none" w:pos="463"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capacity constraints on existing power grids that were not designed to support distributed and renewable generation infrastructure or technologies such as electric vehicles are positioning energy storage assets as a key solution.</w:t>
      </w:r>
    </w:p>
    <w:p>
      <w:pPr>
        <w:spacing w:after="0" w:line="89" w:lineRule="exact"/>
        <w:rPr>
          <w:rFonts w:ascii="Arial" w:cs="Arial" w:eastAsia="Arial" w:hAnsi="Arial"/>
          <w:sz w:val="18"/>
          <w:szCs w:val="18"/>
          <w:color w:val="auto"/>
        </w:rPr>
      </w:pPr>
    </w:p>
    <w:p>
      <w:pPr>
        <w:ind w:right="20" w:firstLine="332"/>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predicted by IHS Markit, a forecasted reduction in the battery cost by 2024 is expected to improve the economics of energy storage and support the development of larger energy storage systems.</w:t>
      </w:r>
    </w:p>
    <w:p>
      <w:pPr>
        <w:spacing w:after="0" w:line="102" w:lineRule="exact"/>
        <w:rPr>
          <w:rFonts w:ascii="Arial" w:cs="Arial" w:eastAsia="Arial" w:hAnsi="Arial"/>
          <w:sz w:val="18"/>
          <w:szCs w:val="18"/>
          <w:color w:val="auto"/>
        </w:rPr>
      </w:pPr>
    </w:p>
    <w:p>
      <w:pPr>
        <w:ind w:left="460" w:hanging="128"/>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Environmental responsibility has become a priority for major companies and investors, with over 300 major companies having pledged to source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 of their energy from renewables as part of the RE100, a global corporate renewable energy initiative.</w:t>
      </w:r>
    </w:p>
    <w:p>
      <w:pPr>
        <w:spacing w:after="0" w:line="143" w:lineRule="exact"/>
        <w:rPr>
          <w:rFonts w:ascii="Arial" w:cs="Arial" w:eastAsia="Arial" w:hAnsi="Arial"/>
          <w:sz w:val="16"/>
          <w:szCs w:val="16"/>
          <w:color w:val="auto"/>
        </w:rPr>
      </w:pPr>
    </w:p>
    <w:p>
      <w:pPr>
        <w:ind w:left="440" w:hanging="108"/>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Governments across the globe have announced policies to support the transition from fossil fuels to low-carbon forms of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offerings include energy storage products and delivery services, recurring operational services and digital solutions and applications for energy storage and other power assets. We may refer to our energy storage products as “Solutions” and use this term interchangeably as it is more reflective of offering provided to our customers. We have repeatedly pioneered new use cases for grid-scale energy storage. Some of the uses we have supported include frequency regulation, generation enhancement, capacity peak power, energy cost control, microgrids/islands, renewable integration, virtual dams, T&amp;D enhancement, and critical power.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Storage Products</w:t>
      </w:r>
    </w:p>
    <w:p>
      <w:pPr>
        <w:spacing w:after="0" w:line="15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sell highly configurable energy storage products with integrated hardware, software and digital intelligence. We offer four energy storage products built on our sixth-generation Tech Stack foundation, which are optimized for common customer use cases but can be configured for specific use cases:</w:t>
      </w:r>
    </w:p>
    <w:p>
      <w:pPr>
        <w:spacing w:after="0" w:line="16"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Gridstack™</w:t>
      </w:r>
      <w:r>
        <w:rPr>
          <w:rFonts w:ascii="Arial" w:cs="Arial" w:eastAsia="Arial" w:hAnsi="Arial"/>
          <w:sz w:val="18"/>
          <w:szCs w:val="18"/>
          <w:color w:val="auto"/>
        </w:rPr>
        <w:t>: grid-scale, industrial-strength energy storage product designed for demanding market applications with industry-leading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scalability, and safety. Its design is built for applications including flexible peaking capacity, frequency regulation, renewable integration, transmission, and distribution enhancement and more.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Sunstack™</w:t>
      </w:r>
      <w:r>
        <w:rPr>
          <w:rFonts w:ascii="Arial" w:cs="Arial" w:eastAsia="Arial" w:hAnsi="Arial"/>
          <w:sz w:val="18"/>
          <w:szCs w:val="18"/>
          <w:color w:val="auto"/>
        </w:rPr>
        <w:t>: designed to optimize solar capture and delivery. Its product architecture unites batteries and PV on the same side of the DC bus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advantage of higher PV-to-inverter ratios, maximize solar yield, and simplify the interconnection process.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Edgestack™</w:t>
      </w:r>
      <w:r>
        <w:rPr>
          <w:rFonts w:ascii="Arial" w:cs="Arial" w:eastAsia="Arial" w:hAnsi="Arial"/>
          <w:sz w:val="18"/>
          <w:szCs w:val="18"/>
          <w:color w:val="auto"/>
        </w:rPr>
        <w:t>: commercial energy storage product that discharges when needed to flatten a facility’s energy load profile, resulting in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demand charges. The fully integrated product is available in smaller-size building blocks that can be easily configured to meet the needs of individual facilities and aggregated across fleets or locations without time-consuming redesigns.</w:t>
      </w:r>
    </w:p>
    <w:p>
      <w:pPr>
        <w:spacing w:after="0" w:line="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Ultrastack™</w:t>
      </w:r>
      <w:r>
        <w:rPr>
          <w:rFonts w:ascii="Arial" w:cs="Arial" w:eastAsia="Arial" w:hAnsi="Arial"/>
          <w:sz w:val="17"/>
          <w:szCs w:val="17"/>
          <w:color w:val="auto"/>
        </w:rPr>
        <w:t>: the entities that control and operate our electricity system are facing significant reliability challenges as the grid moves away from</w:t>
      </w:r>
      <w:r>
        <w:rPr>
          <w:rFonts w:ascii="Arial" w:cs="Arial" w:eastAsia="Arial" w:hAnsi="Arial"/>
          <w:sz w:val="17"/>
          <w:szCs w:val="17"/>
          <w:i w:val="1"/>
          <w:iCs w:val="1"/>
          <w:color w:val="auto"/>
        </w:rPr>
        <w:t xml:space="preserve"> </w:t>
      </w:r>
      <w:r>
        <w:rPr>
          <w:rFonts w:ascii="Arial" w:cs="Arial" w:eastAsia="Arial" w:hAnsi="Arial"/>
          <w:sz w:val="17"/>
          <w:szCs w:val="17"/>
          <w:color w:val="auto"/>
        </w:rPr>
        <w:t>higher-cost thermal generation assets and increasingly relies on energy from lower-cost but variable renewables and low carbon sources. Fluence has developed a storage solution to serve the unique performance needs of transmission and distribution system owners and operators in this segment, including stringent requirements around availability, uptime, and IT security. The solution will feature redundant controls and metering, fast system response, and advanced controls applications that deliver a suite of highly technical grid services, such as synthetic inertia and power oscillation damping. These applications are designed to reduce grid congestion, support stable system operation, and help operators increase utilization of existing and new transmission assets, which in turn reduces the total cost of electricity to consumers. Advanced controls capabilities for this solution have been in active development and will be fully tested at Fluence’s global product testing facilities prior to production and project deliveries in this segment.</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each of our products comes with our proprietary controls software, Fluence OS, which enables asset owners to operate the storage system directly with pre-set modes and market dispatch applications or integrate directly with external ISO and EMS signals. OS provides real-time information through multiple systems views, alarm notifications, and dashboards. It is an integral part of all our energy storage product sales. Fluence OS enables Fluence energy storage products to deliver critical grid services such as</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primary frequency regulation, secondary frequency response, fast frequency response, peak shaving, voltage regulation, power factor regulation, non-spinning reserves, capacity peak power, solar energy time-shifting, firm solar export, energy arbitrage, and more. Fluence also delivers stacking of grid services, allowing storage assets to perform multiple services simultaneously and increase revenue-generating opportunities.</w:t>
      </w:r>
    </w:p>
    <w:p>
      <w:pPr>
        <w:spacing w:after="0" w:line="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offer comprehensive engineering and delivery services to support the deployment of our storage products. Customers can select from a range of delivery service, from project design to full-wrap turnkey installation.</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designed our energy storage products to allow for licensing to third-party partners, and plan to offer the ability to license Fluence products, services, and digital applications to partners targeting specific geographies and market use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Sixth-Generation Technology Stack</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Tech Stack, which is comprised of our Fluence Cube, Fluence OS, and Fluence IQ, builds upon 14 years of development in prior generations, reflecting ongoing safety and design improvements. The Fluence Cube is a modular, factory-built, approximately 8’x8’x8’ building block that delivers safe, scalable, cost-effective products. Our battery and supplier-agnostic system architecture allows us to deliver optimized solutions for our customers on a global scale while incorporating the latest technology components. Fluence OS is a fully integrated edge controls platform with comprehensive control, asset management and system visibility across single sites or entire fleets. The Fluence IQ Digital Platform supports applications to improve revenue generation, system decision-making, asset performance,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&amp; Maintenance Services</w:t>
      </w:r>
    </w:p>
    <w:p>
      <w:pPr>
        <w:spacing w:after="0" w:line="1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energy storage products, our offerings include delivery services and recurring operational services. Our recurring O&amp;M services are designed around customer business needs, in-house capabilities, performance requirements, and risk profiles. We offer four operational services packages: Guided Services, Shared Services, Complete Services and Asset Management. These packages provide varying levels of training, maintenance, guarantees, warranties, and support to address our customers’ desired level of active system management. The service levels range from providing comprehensive training for customers to performing full asset operation and management on behalf of the customer. Fluence services help secure products with back-to-back original equipment manufacturer (“OEM”) equipment warranties and extensive claims support. We help safeguard customer asset revenue potential over project life with degradation, capacity, and availability guarantees. Preventive and reactive maintenance services maintain equipment and optimal operating conditions, backed by 24/7 support and what we believe to be the most experienced team in the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Storage-as-a-Service</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Fluence, working with third-party financial partners, including Siemens Financial Services, offers financing structuring services to customers. For instance, ESaaS enables customers to access the benefits of energy storage without upfront investment or technical expertise.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continuously innovating new service offerings for our customers, including providing support for Fluence products, services, and digital applications to channel partners such as Siemens.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Applications and Solutions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team is continuously expanding the digital applications we offer to customers. Those applications may include internally developed applications as well as third-party applications offered through the Fluence IQ Digital Platform.</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Fluence IQ encompasses proprietary artificial intelligence and data science technologies to enable the advanced capabilities of our digital applications.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our Fluence IQ has two applications, Fluence Mosaic Application and Fluence Nispera Application.</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Fluence Mosaic Application, which we acquired from AMS in 2020, is an artificial intelligence-enabled bidding software for utility-scale storage and renewable and conventional generation assets, enabling customers to optimize asset trading in wholesale electricity markets. One of the goals of the AMS acquisition is to combine Fluence’s insights from deep experience operating energy storage products globally with the Fluence Mosaic Application’s optimized market participation capabilities.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Fluence Mosaic Application provides energy traders with a range of optimization solutions:</w:t>
      </w:r>
    </w:p>
    <w:p>
      <w:pPr>
        <w:spacing w:after="0" w:line="117"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Price Prediction: </w:t>
      </w:r>
      <w:r>
        <w:rPr>
          <w:rFonts w:ascii="Arial" w:cs="Arial" w:eastAsia="Arial" w:hAnsi="Arial"/>
          <w:sz w:val="18"/>
          <w:szCs w:val="18"/>
          <w:color w:val="auto"/>
        </w:rPr>
        <w:t>State-of-the-art machine learning techniques, producing an ensemble of price forecasts (P10 to P90)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across day-ahead and real-time markets;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Bidding: </w:t>
      </w:r>
      <w:r>
        <w:rPr>
          <w:rFonts w:ascii="Arial" w:cs="Arial" w:eastAsia="Arial" w:hAnsi="Arial"/>
          <w:sz w:val="18"/>
          <w:szCs w:val="18"/>
          <w:color w:val="auto"/>
        </w:rPr>
        <w:t>Stochastic optimization that captures technical constraints and business objectives to produce bids across energy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services in day-ahead and real-time markets;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 w:name="page11"/>
    <w:bookmarkEnd w:id="10"/>
    <w:p>
      <w:pPr>
        <w:ind w:left="660" w:hanging="328"/>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Automated Trading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System-generated complete bid files (with option for customer override) for seamless transmission to market operators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review of market results.</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Mosaic Application is technology-agnostic and vendor-agnostic, and is delivered using cloud-based software-as-a-service, avoiding requirements for onsite hardware or software installations. Our pricing strategy is based on a volume-based subscription fee with the ability to start with a smaller scale and increase the number of assets covered by the software as customers build out their fleets, along with the potential for performance-based revenue-sharing structures.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Mosaic Application is currently operationally in the CAISO market in California, and the NEM market in Australia. Additionally, we are in the process of expanding the product to the ERCOT market in Texas.</w:t>
      </w:r>
    </w:p>
    <w:p>
      <w:pPr>
        <w:spacing w:after="0" w:line="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Our second application is the Fluence Nispera Application that was acquired in 2022 from Nispera, a Zurich-based provider of artificial intelligence (AI) and machine learning-enabled software-as-a-service (SaaS) targeting the renewable energy sector. Nispera’s advanced technology helps customers monitor, analyze, forecast, and optimize the performance and value of renewable energy assets. Its flagship offering is an AI-driven utility-scale asset performance management platform that currently has 8 GW of assets under management across 450 wind and solar projects on a global basis. Additionally, Nispera is developing the capability to utilize its asset performance management technology onto battery energy storage systems thus providing our customers additional solutions to lower their cost of ownership of energy storage assets. Our plan is to continue to accelerate the number of markets in which the Fluence Nispera Application is offered. Additionally, we intend to offer the Nispera application as an add-on feature to our energy storage product sales.</w:t>
      </w:r>
    </w:p>
    <w:p>
      <w:pPr>
        <w:spacing w:after="0" w:line="2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Ultimately, we utilize our digital applications as a competitive advantage by offering energy storage hardware that can be combined with our digital applications to optimize revenue and lower the total cost of ownership thus providing our customers with incremental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growth strategy includes leveraging our global scale, technology leadership, and market share position to help transform the way we power our world for a more sustainable future. We intend to further develop energy products, services and digital applications into solutions that solve our customers’ energy challenges, and expand our services with additional value-add offerings. We aim to create an optimized production organization, develop mass manufacturing facilities globally, and continue to secure partnerships with key battery suppliers. We are also focused on expanding standardized offerings that are optimized for each of our sales channels and moving to a more localized, regional organizational structure to better support customers and sales channels, improve logistics, and enhance market focus. Furthermore, we continue to explore disruptive digitally driven business models, including ESaaS, wide-ranging dynamic capacity, virtual storage, asset- and revenue-sharing models, and other offerings.</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will continue leveraging our partnerships with AES and Siemens, which provide built-in and growing customer bases and an international sales channel, as well our sponsor relationship with QIA, that may help us to form relationships with additional technology partners, customers and suppliers. In addition, we intend to continue to grow our third party sales by leveraging our technology, such as the Fluence Mosaic Application.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September 30, 2022, we have deployed energy storage products in 44 markets in 36 countries. We sell our products to a wide range of customers around the world, including utilities and load-serving entities, independent power producers, developers, conglomerates, and commercial &amp; industrial (“C&amp;I”) customers. In fiscal year 2022, our five largest customers represented approximately 77% of our revenues. In addition, as of September 30, 2022, approximately 54% of our revenue was with related parties, primarily AES. As of September 30, 2022, we had a gross global pipeline of 37.7 GWs, of which includes 18 GWs for energy storage products and services. Of the energy storage products and services global pipeline, United States customers composed the largest portion at 7.3 GWs or 40%, with Australia following at 4 GWs or 22% and the United Kingdom at 1.6 GWs or 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a purpose-built, purpose-driven company on a mission to transform the way we power our world for a more sustainable future. We support the clean energy transition by enabling greater adoption of renewable energy and decarbonized technologies such as reduced use of thermal generation resources. The Company’s products and services enable more sustainable, reliable, and resilient electric grids in a repeatable, scalable way.</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Fluence’s mission to “</w:t>
      </w:r>
      <w:r>
        <w:rPr>
          <w:rFonts w:ascii="Arial" w:cs="Arial" w:eastAsia="Arial" w:hAnsi="Arial"/>
          <w:sz w:val="18"/>
          <w:szCs w:val="18"/>
          <w:i w:val="1"/>
          <w:iCs w:val="1"/>
          <w:color w:val="auto"/>
        </w:rPr>
        <w:t>Transform the way we power our world”</w:t>
      </w:r>
      <w:r>
        <w:rPr>
          <w:rFonts w:ascii="Arial" w:cs="Arial" w:eastAsia="Arial" w:hAnsi="Arial"/>
          <w:sz w:val="18"/>
          <w:szCs w:val="18"/>
          <w:color w:val="auto"/>
        </w:rPr>
        <w:t xml:space="preserve"> is not just a tagline but at the core of what we do and that includes our Company’s Sustainability Program. In fiscal year 2022, we took a purposeful approach to establishing what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311" w:lineRule="auto"/>
        <w:rPr>
          <w:sz w:val="20"/>
          <w:szCs w:val="20"/>
          <w:color w:val="auto"/>
        </w:rPr>
      </w:pPr>
      <w:r>
        <w:rPr>
          <w:rFonts w:ascii="Arial" w:cs="Arial" w:eastAsia="Arial" w:hAnsi="Arial"/>
          <w:sz w:val="16"/>
          <w:szCs w:val="16"/>
          <w:color w:val="auto"/>
        </w:rPr>
        <w:t>sustainability and environmental, social, and governance (“ESG”) practices mean to us and to our business. The Company’s first step was to establish a core leadership role responsible for the program development and implementation. We then consolidated our environmental stewardship and responsible sourcing practices within the Company for greater support and progress. We are building our Sustainability Program upon three key pillars:</w:t>
      </w:r>
    </w:p>
    <w:p>
      <w:pPr>
        <w:spacing w:after="0" w:line="1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&amp; Stakeholder Engagement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Stewardship &amp; Compliance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Responsible Sourcing &amp; Social Compliance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Reporting &amp; Stakeholder Engagement</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Fluence believes in holding ourselves accountable to our employees, our customers, our partners, and our shareholders. We emphasize transparency as the foundation of our accountability in our Sustainability Program. However, transparency cannot be achieved in a vacuum and we purposely work to leverage our employees’ passion, leadership and management support, and our supply chain partners to remain in a constant stage of improvement.</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Fluence’s Sustainability Program is governed by two internal committees – our ESG Council and ESG Steering. These are cross functional leadership teams responsible for gathering alignment and support across the organization to advance our ESG initiatives. The ESG Council is made up of leadership representing key internal stakeholders (including individuals with expertise in environment, supply chain, human resources, health and safety, legal, marketing, finance, ethics, and logistics). They are responsible for resource allocation and implementation. The ESG Council reports to our ESG Steering, which is comprised of five executive leaders (our Chief Executive Officer, Chief Financial Officer, Chief Human Resources Officer, Chief Supply Chain and Manufacturing Officer, and General Counsel).</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fiscal year 2022, we committed to publishing our first annual sustainability report in February/March 2023, which we intend to align with the Sustainability Accounting Standards Board (“SASB”) Fuel Cells &amp; Industrial Batteries standard in addition to those standards promulgated by both the Global Reporting Initiative (“GRI”) and the Task Force on Climate-Related Financial Disclosures (“TCFD”). We intend that our inaugural sustainability report will include our Scope I &amp; II Green House Gas (“GHG”) baseline, and certain portions of our Scope III emissions as well as other important topics including environmental performance, responsible sourcing, stakeholder engagement, governance, philanthropy, community engagement, financial performance, and safety.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Stewardship &amp; Compliance</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demonstrating our commitment to preserving the planet’s natural resources through, among other things, the implementation of industry best practices and procedures to measure and reduce our greenhouse gas emissions from facilities, supply chain logistics, and employee travel; measuring our waste output and maximizing systems to divert waste away from landfills; and developing and implementing a product recycling competency. We employ a holistic and stakeholder driven approach by bringing together internal stakeholder teams like total quality management, environmental health and safety, engineering, supply chain management, and others on these measures and the data we collect in these efforts will be used to develop responsive actions by us that will continuously reduce our environmental impact.</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Over the last two years, our acumen for developing environmental management systems and achieving continuous improvement of its environmental performance has been demonstrated by our certification of the ISO 14001 standard at our corporate office in Arlington, Virginia and the testing facility in Erlangen, Germany which requires an organization to implement and demonstrate compliance with an effective environmental management system to identify and control the environmental impact of its activities, products, and services; continually improve environmental performance; and implement a systematic approach to setting environmental objectives and targets. We are now working to expand our ISO 14001 certification with the ultimate goal of certifying all relevant Fluence facilities.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Responsible Sourcing &amp; Compliance</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Fluence is committed to social accountability. We are committed to ensure supply chain compliance with our core philosophies of human rights &amp; dignity, supply chain risk aversion and conflict minerals risk management. Our responsible sourcing and compliance is based on the principles spelled out in our Supplier Code of Conduct. The Supplier Code of Conduct sets the social conduct expectations for all persons and entities connected to the Fluence value stream. We implement this with a three phase approach, supplier qualification, supplier evaluation and supplier development processes.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our core programs developed over the past two years are our Conflict Minerals Due Diligence Program, Supplier GHG (Greenhouse Gas) Emissions Disclosures and a Supplier Social Accountability Auditing program. We are leading our value chain in Social Accountability Standards by being SA8000 certified and expect our business partners to show similar commitments to human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rights and against slavery and child labor. Feedback from our due diligence and auditing programs allows us to map and score our supply chain partners. As we move forward, the Company intends to maintain the highest expectations for responsible sourcing in our value chain.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our workforce is critical to our success and we strive to create a positive, equitable, and safe work environment. To create a culture of transparency, we maintain a regular cadence of communications from the executive leadership team to employees, including emails, all hands meetings, Q&amp;A sessions, and employee resource groups with executive sponsors.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we had approximately 967 full-time employees. None of our employees in the United States are represented by a labor union. As of September 30, 2022, approximately 85 of our employees in Germany were represented by a works council. We have not experienced any employment-related work stoppages, and we consider relations with our employees to be good.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purpose-driven culture has fostered a work environment in which employees feel supported, empowered to develop in their careers, and fulfilled in their work. Initiatives driven by this culture include professional development courses made available to all employees, and a partnership with Inova through which we provide free professional and wellness services to employees. To assess and continually improve employee sentiment, we conduct regular employee surveys soliciting feedback on topics such as work/life balance, working remotely, career development, and mentorship.</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is internationally certified to ISO 9001, a quality management standard that ensures a commitment to customer satisfaction, purpose-driven leadership, and equitable involvement for all employees. Fluence is also internationally certified to ISO 45001, an occupational health and safety standard which requires certain proactive measures to ensure employee safety and reduce workplace risks. Fluence’s corporate headquarters is certified to SA8000, which demonstrates our commitment to the elimination of unethical and discriminatory labor practices, while affirming workers’ rights, livable wages, and treating all people with dignity.</w:t>
      </w:r>
    </w:p>
    <w:p>
      <w:pPr>
        <w:spacing w:after="0" w:line="10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Fluence is committed to fostering a culture of diversity and inclusion that makes our employees feel safe and engaged. We have conducted trainings for hiring managers on how to avoid bias in the interview process and formed a diversity and inclusion working group to identify and address areas for improvement. Women currently represent 30% of our total workforce and 27% of our key corporate management roles as of September 30, 2022.</w:t>
      </w:r>
    </w:p>
    <w:p>
      <w:pPr>
        <w:spacing w:after="0" w:line="1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fourth quarter of 2022 we opened a new technology center in India, becoming Fluence’s first technology center based in Asia. The Fluence India Technology Centre complements existing technology center teams in North America and Europe. Together, the company’s technology teams support Fluence’s regionally focused operational model and create a strong foundation for new product introductions and regionalized product support.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manufacturing strategy is designed to meet our key objectives: limit capital-intensive and low value-added activities that can be outsourced to other companies; maintain a capital light business model; minimize labor content where possible; minimize the amount of assembly our customers are required to do at the site; and minimize material movement both from vendors to us and within factories.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Mass manufacturing is a cornerstone of our product delivery approach and a key to driving down product cost and delivering at scale. We aim to create an optimized production organization, develop mass manufacturing capabilities globally through contract manufacturing, and continue to secure partnerships with key battery suppliers. We believe that enhancing our product-focused model and supply chain leverage will support our global growth objectives and result in superior unit economics.</w:t>
      </w:r>
    </w:p>
    <w:p>
      <w:pPr>
        <w:spacing w:after="0" w:line="1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entered outsourcing contracts for the assembly and production of our Fluence Cube, which ship directly from our contract manufacturers to job sites or designated warehouses. By using regional contract manufacturers, we can drop ship products directly to our customers’ sites, which improves working capital turnover, quality, and inventory management.</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of 2022 we partnered with a contract manufacturer to open a new manufacturing facility in the United States to better serve regional delivery and address ongoing supply chain constraints. The facility is located in Utah and will serve the company’s customers in North America. The addition of this contract manufacturing facility expands our production beyond Asia to meet increasing global demand and allow Fluence to better serve regional markets. We intend to expand manufacturing to sites in Europe.</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Fluence also created two spare parts hubs in Europe and the United States to support ongoing operations and maintenance of its customers’ storage assets. These hubs, located in Utah and Ireland, both became operational in fiscal year 2022, and are strategically positioned near large storage markets and customer fleets.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 w:name="page14"/>
    <w:bookmarkEnd w:id="13"/>
    <w:p>
      <w:pPr>
        <w:jc w:val="both"/>
        <w:ind w:firstLine="324"/>
        <w:spacing w:after="0" w:line="272" w:lineRule="auto"/>
        <w:rPr>
          <w:sz w:val="20"/>
          <w:szCs w:val="20"/>
          <w:color w:val="auto"/>
        </w:rPr>
      </w:pPr>
      <w:r>
        <w:rPr>
          <w:rFonts w:ascii="Arial" w:cs="Arial" w:eastAsia="Arial" w:hAnsi="Arial"/>
          <w:sz w:val="17"/>
          <w:szCs w:val="17"/>
          <w:color w:val="auto"/>
        </w:rPr>
        <w:t>We have developed a global supply chain with an evolving regionally focused operational model with the objective of allowing us to assemble products in proximity to major markets to minimize material movement, working capital investment, and costs of goods sold. Additionally, we believe that the volume of key components we purchase, such as lithium-ion batteries, should provide us leverage to create a competitive advantage on availability, terms and/or pricing from our suppliers. We have a technology co-development and supply agreement with Northvolt that should expand our battery supply chain into Europe. Pursuant to this agreement, we have a license to develop, manufacture and commercialize an optimized battery subsystem that is significantly more energy dense than today’s standard solutions. The agreement also enables us to deploy a battery management system that can be integrated with other vendors to extend our value chain, develop battery competencies, and lower total cost of ownership.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success of our business depends, in part, on our ability to maintain and protect our proprietary technologies, information, processes and know-how. We rely primarily on patent, trademark, copyright and trade secret laws, confidentiality agreements and procedures, and other contractual arrangements to protect our technology. Fluence also has a perpetual license (terminable in the event of an uncured material breach) to certain patents and other intellectual property that belong to AES and Siemens, including methods for cooling inverters, overvoltage protections, and transfer of large amounts of data (methodology).</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trade secret protection and confidentiality agreements to safeguard our interests with respect to proprietary know-how and software that is not patented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require our customers and business partners to enter into confidentiality agreements before we disclose any sensitive aspects of our technology or business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historically experienced seasonality and see increased order intake in our third and fourth fiscal quarters, driven by demand in the Northern Hemisphere to install energy storage products before the summer of the following year. Combined third and fourth fiscal quarter order intake has historically accounted for 80% or more of our total intake each year. However, as we and the market matures we are experiencing less seasonality. For fiscal year 2022 third and fourth quarter order intake accounted for only 48% of our total intake for the year.</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revenue recognition is typically stronger in our third and fourth fiscal quarters. Cash flows historically have been negative in our first and second fiscal quarters, neutral to positive in our third fiscal quarter, and positive in our fourth fiscal quarter. Our services and digital application offerings do not experience the same seasonality given their recurring nature.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products, services, and digital applications are highly specialized and specific to the clean energy industry. The unique expertise required to design these offerings as well as customers’ reluctance to try unproven products has confined the number of firms that produce such products to a relatively small number, particularly in the segments we are targeting. In addition, we are continuously engaging in developing new use cases and opening new market segments, which are often less contested.</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competitors include Tesla, Wartsila, and Powin but competition varies by geography, grid service or customer segment. A key differentiator is our ability to identify customer needs and deliver customer-centric products, services, and use cases that can compete in the market either as packages or standalone offerings. We believe we compete favorably based on performance and value-creation, including low total cost of ownership, long-term reliability, varied service options, and convenient and efficient sales and delivery processes.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Greenhouse Gas Emission Related Policies, Regulations and Legislation</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Governments across the globe have announced and implemented various policies, regulation and legislation to support the transition from fossil fuels to low-carbon forms of energy. The operation of our business and our customers’ use of our products and services are impacted by these various government actions. For example, the United States rejoined the Paris Agreement effective February 19, 2021, an international climate change agreement among almost 200 nations and the European Union, that established a long-term goal of keeping the increase in global average temperature well below 2°C above pre-industrial levels and which calls for countries to set their own greenhouse gas (“GHG”) emissions targets and be transparent about the measures each country will use to achieve these targets. In August 2022, the United States passed the Inflation Reduction Act of 2022 (the “IRA”), which consists of a number of provisions aimed directly at confronting the climate change crisis. The climate-related provisions of the IRA are projected</w:t>
      </w:r>
    </w:p>
    <w:p>
      <w:pPr>
        <w:sectPr>
          <w:pgSz w:w="11900" w:h="16838" w:orient="portrait"/>
          <w:cols w:equalWidth="0" w:num="1">
            <w:col w:w="11240"/>
          </w:cols>
          <w:pgMar w:left="320" w:top="922"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to cut emissions by 40% from 2005 GHG levels in the United States by 2030. Among other things, the IRA introduced an investment tax credit (ITC) for standalone energy storage for the first time, which is anticipated to lower capital cost of equipment. The IRA also contains provisions with incentives for domestic battery manufacturing as well as upstream supply chains. Additional information regarding the tax incentives contained in the IRA are set forth below in “----Government Incentives.”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Internationally, in June 2021, the European Commission adopted a package of legislative proposals (the “Fit for 55 package”) as part of the European Green Deal, which encompasses a number of wide-scale proposals aimed at reducing European GHG emissions by 55% by 2030 and targeting net-zero emissions by 2050. Moreover, the European Commission proposed the REPowerEU Plan in May 2022, which is centered around the goal of making Europe independent from Russian fossil fuels well before 2030, in light of Russia's invasion of Ukraine early in 2022. It is meant to incentivize and accelerate the transition to clean energy alternatives and aims to increase the security of energy supply by building and connecting more renewable generation to the grid.</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2022, Australia passed climate change legislation containing a targeted 43% reduction in the emissions intensity of its economy of 2005 GHG levels by 2030 and a reduction to net-zero emissions by 2050. In August 2022, India revised its previous pledge to achieve a 33 – 35% reduction in emissions intensity by 2030 and has committed to reduce emissions intensity by 45% of 2005 GHG levels by 2030 and to achieve about 50% cumulative electric power installed capacity from non-fossil fuel-based energy resources by 2030. In April 2021, the Philippines committed to a projected GHG emissions reduction and avoidance of 75%, of which 2.71% is unconditional, for the period 2020 to 2030 for the sectors of agriculture, wastes, industry, transport, and energy.</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and future legislation or regulations that may be adopted to address climate change could make lower GHG-emitting energy sources, such as solar and wind, more desirable than higher GHG-emitting energy sources, such as coal and natural gas. As a result, such climate change regulatory and legislative initiatives with more stringent limitations on GHG emissions would potentially increase the demand for energy storage products and related services.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Policy Initiatives including Tax Incentives, Cash Grants and Performance Incentives</w:t>
      </w:r>
    </w:p>
    <w:p>
      <w:pPr>
        <w:spacing w:after="0" w:line="14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are varying policy initiatives across the United States and abroad designed to support and accelerate adoption of clean and/or reliable distributed generation technologies. These policy initiatives can come in the form of tax incentives, cash grants, performance incentives, and/or electric tariffs.</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United States, our energy storage products are currently installed or in delivery in Arizona, California, Colorado, Illinois, Indiana, Maryland, Massachusetts, Minnesota, New Mexico, New York, New Jersey, North Carolina, Ohio, Pennsylvania, Texas, Utah and West Virginia, and each state has its own enabling policy framework, which is subject to change. Some states have utility procurement programs, energy storage mandates, targets or goals, and/or renewable portfolio standards for which our technology is eligible. Many states, including California, Massachusetts, and New York, offer tax exemptions or other customer incentives.</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generally are not regulated as a utility, federal, state, and local government statutes and regulations concerning electricity heavily influence the market for our product and services. These statutes and regulations often relate to electricity pricing, net metering, incentives, taxation, competition with utilities and the interconnection of customer-owned electricity generation. In the United States, governments continuously modify these statutes and regulations. Governments, often acting through state utility or public service commissions, change and adopt different rates for commercial (and residential) customers on a regular basis. These changes can have a positive or negative impact on our ability to deliver cost savings to customers for the purchase of electricity.</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noted, several states have an energy storage mandate or policies designed to encourage the adoption of storage, including nine states with specific energy storage targets as of early 2022. For example, Virginia has a mandate for 3.1 GW of energy storage by 2035, California offers a cash rebate for storage installations through the Self Generation Incentive Program, and Massachusetts and New York offer performance-based financial incentives for storage. Other states, including Illinois and Vermont, are studying energy storage deployment policies and there may be further energy storage mandates coming. Storage installations also are supported in certain states by state public utility commission policies that require utilities to consider alternatives such as storage in integrated resource planning proceedings before they can build new generation. Our customers benefit directly under these programs.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FERC Support of Energy Storage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jc w:val="both"/>
        <w:ind w:firstLine="324"/>
        <w:spacing w:after="0" w:line="258" w:lineRule="auto"/>
        <w:rPr>
          <w:sz w:val="20"/>
          <w:szCs w:val="20"/>
          <w:color w:val="auto"/>
        </w:rPr>
      </w:pPr>
      <w:r>
        <w:rPr>
          <w:rFonts w:ascii="Arial" w:cs="Arial" w:eastAsia="Arial" w:hAnsi="Arial"/>
          <w:sz w:val="16"/>
          <w:szCs w:val="16"/>
          <w:color w:val="auto"/>
        </w:rPr>
        <w:t>In addition, the Federal Energy Regulatory Commission (“FERC”) has taken a number of steps to help to enable the participation of energy storage in wholesale energy markets. For example, in February 2018, FERC issued Order 841 directing regional transmission operators and independent system operators to remove barriers to the participation of storage in wholesale electricity markets and to establish rules to help ensure storage resources are compensated for the services they provide. Order 841 was upheld in July 2020 following an appeal to the U.S. Court of Appeals for the D.C. Circuit, with the court finding that FERC’s directives to allow distributed storage participation in wholesale electricity markets did not violate the Federal Power Act’s jurisdictional line separating FERC’s authority over those markets and states’ authority over local distribution facilities. In September 2020, the FERC issued Order 2222 opening U.S. wholesale energy markets to aggregations of distributed energy resources like rooftop solar, “behind the meter” batteries, and electric vehicles. Additionally, FERC is currently taking public comment on a Notice of Proposed Rulemaking seeking to improve interconnection procedures with proposed design elements such as including grid-enhancing technologies like energy storage in interconnection studies and applications.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Energy storage products require interconnection agreements from the applicable authorities having jurisdiction to operate. In almost all cases, interconnection agreements are standard form agreements that have been pre-approved by the local public utility commission or other regulatory body with jurisdiction over interconnection agreements. As such, no additional regulatory approvals are typically required once interconnection agreements are signed.</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or adoption of federal, state and local policies and policy initiatives, legislation and regulations as well as changes in or adoption of policies and policy initiatives, regulations and legislation in foreign jurisdictions in which we operate may pose risks or provide opportunities for the Company’s business that may impact our future operations and financial condition. For more information about the potential risks of adoption or changes to such policies, legislation and regulations, see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Approvals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our installations or customer installations must be designed, constructed, and operated in compliance with applicable federal, state, and local regulations, codes, standards, guidelines, policies, and laws. To install and operate energy storage products on our platform, we, our customers, or our partners, as applicable, are required to obtain applicable permits and approvals from local authorities having jurisdiction to install energy storage products and to interconnect the products with the local electrical utility.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Incentives</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U.S. Congress is continuously reviewing various climate change proposals, incentives and legislation that may support the energy storage industry, including in the form of tax credits. IRS private letter ruling 201809003 clarified that energy storage is eligible for federal tax credits if charged primarily by qualifying renewable resources. In December 2020, the U.S. Congress passed a spending bill that includes $35 billion in energy research and development programs, a two-year extension of the ITC for solar power, a one-year extension of the Production Tax Credit for wind power projects, and an extension through 2025 for offshore wind tax credits. In June 2021, the White House announced that it was looking into dramatically expanding U.S. production of lithium batteries, rare earth minerals, and semiconductors, and seek to stimulate demand for domestically manufactured batteries by expanding federal energy storage procurement, expanding the ITC to include stationary energy storage as a standalone resource, and instituting power transmission regulatory reform to support renewable power and stationary energy storage. The Infrastructure Investment and Jobs Act, also known as the Bipartisan Infrastructure Bill, which was signed into law in November 2021, allocated nearly $7 billion to strengthen the U.S. battery supply chain, which includes producing and recycling critical minerals without new extraction or mining and sourcing materials for domestic manufacturing. Pursuant to this, the U.S. Department of Energy (DOE) issued notices of intent in February 2022 to provide $2.91 billion to boost production of the advanced batteries that are critical to the clean energy industry, including energy storage. This funding will support the creation of new domestic manufacturing facilities for batteries and cell components and to support research and development for recycling, reclaiming and adding materials back into the battery supply chain.</w:t>
      </w:r>
    </w:p>
    <w:p>
      <w:pPr>
        <w:spacing w:after="0" w:line="18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The IRA adopted in August 2022, contains a number of tax incentive provisions that would directly support the adoption of energy storage products and services including: (i) the current ITC is extended for ten years for projects that “begin construction” before 2025, including standalone energy storage for the first time for those projects with a capacity of at least 5 kwh and (ii) will extend the ITC for up to 30% of the cost of installed equipment for ten years and will step down to 26% in 2033 and 22% in 2034 (noting that for projects beginning construction after 2019 that are placed in service before January 1, 2022, the ITC would be set at 26%. Beginning in 2025, the existing energy ITC will be replaced by a Clean Electricity Investment Tax Credit (CEITC) or “tech neutral” regime, which is available for any investment in a qualified storage facility that is placed in service after calendar year 2024 (prevailing wage and apprenticeship requirements will still apply). Finally, the IRA creates the Advanced Manufacturing Production Credit (AMPC), which applies to clean energy technology components produced in the US and sold after calendar year 2022, including battery cells and battery modules, which will begin to phase out in 2030. The above tax credits allow certain tax-exempt entities to receive direct payment from the federal government instead of a reduction of their tax liability. In addition, beginning in January 1, 2023, taxpayers can elect to transfer their ITC or CEITC to an unrelated taxpayer on a facility-by-facility basis for each year in which credit is available. We believe we are well positioned to capture incentives contained in the IRA with our forthcoming battery module manufacturing, as we opened contract manufacturing facility in Utah, our second facility globally, to better serve regional delivery and address ongoing supply chain constraints. However, as this legislation was recently adopted in August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and forthcoming interagency guidance processes are in early stages, we have not yet seen the impact these IRA related incentives may have on our business and operations as we go forward and cannot guarantee we will realize anticipated benefits of incentives under the IRA.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file or furnish periodic reports and amendments thereto, including our Annual Reports on Form 10-K, our Quarterly Reports on Form 10-Q and Current Reports on Form 8-K, proxy statements and other information with the Securities and Exchange Commission (“SEC”). In addition, the SEC maintains a website (www.sec.gov) that contains reports, proxy and information statements, and other information regarding issuers that file electronically. Our website is located at https://fluenceenergy.com and our reports, amendments thereto, proxy statements and other information are also made available, free of charge, on our investor relations website at https://ir.fluenceenergy.com as soon as reasonably practicable after we electronically file or furnish such information with the SEC. The information posted on our website is not incorporated by reference into this Annual Report or any of our other securities filings unless specifically incorporated herein by reference.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set forth in this Annual Report, including our Consolidated Financial Statements and related notes included herein, which could materially affect our business, financial conditions and future results. The risks described below are not the only risks facing our Company. Additional risks and uncertainties not presently known to us or that we currently deem immaterial may also become important factors that adversely impair our business, financial condition and results of operations, and future prospects. See “Cautionary Statement Regarding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56"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limited operating and revenue history as an independent entity and our nascent and rapidly-evolving industry;</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history of net losses, we anticipate increasing expenses in the future, and our ability to achieve or maintain profitability;</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ability to attract new customers and retain existing customers;</w:t>
      </w:r>
    </w:p>
    <w:p>
      <w:pPr>
        <w:spacing w:after="0" w:line="40" w:lineRule="exact"/>
        <w:rPr>
          <w:rFonts w:ascii="Arial" w:cs="Arial" w:eastAsia="Arial" w:hAnsi="Arial"/>
          <w:sz w:val="22"/>
          <w:szCs w:val="22"/>
          <w:color w:val="auto"/>
        </w:rPr>
      </w:pPr>
    </w:p>
    <w:p>
      <w:pPr>
        <w:ind w:left="1300" w:right="20" w:hanging="320"/>
        <w:spacing w:after="0" w:line="232" w:lineRule="auto"/>
        <w:tabs>
          <w:tab w:leader="none" w:pos="12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relating to delays, disruptions, or quality control problems in our manufacturing operations in part due to our third-party manufacturer concentration;</w:t>
      </w:r>
    </w:p>
    <w:p>
      <w:pPr>
        <w:spacing w:after="0" w:line="14" w:lineRule="exact"/>
        <w:rPr>
          <w:rFonts w:ascii="Arial" w:cs="Arial" w:eastAsia="Arial" w:hAnsi="Arial"/>
          <w:sz w:val="22"/>
          <w:szCs w:val="22"/>
          <w:color w:val="auto"/>
        </w:rPr>
      </w:pPr>
    </w:p>
    <w:p>
      <w:pPr>
        <w:ind w:left="1300" w:right="20" w:hanging="320"/>
        <w:spacing w:after="0" w:line="237" w:lineRule="auto"/>
        <w:tabs>
          <w:tab w:leader="none" w:pos="12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associated with construction, utility interconnection, commissioning and installation of our products, inflationary cost overruns from increased shipping and logistics prices as well as increased prices on raw materials necessary for the production of lithium-ion batteries, and delays, including those related to obtaining government authorizations and permits and other contingencies that may arise in the course of completing installations;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14"/>
        </w:numPr>
        <w:rPr>
          <w:rFonts w:ascii="Arial" w:cs="Arial" w:eastAsia="Arial" w:hAnsi="Arial"/>
          <w:sz w:val="21"/>
          <w:szCs w:val="21"/>
          <w:color w:val="auto"/>
        </w:rPr>
      </w:pPr>
      <w:r>
        <w:rPr>
          <w:rFonts w:ascii="Arial" w:cs="Arial" w:eastAsia="Arial" w:hAnsi="Arial"/>
          <w:sz w:val="17"/>
          <w:szCs w:val="17"/>
          <w:color w:val="auto"/>
        </w:rPr>
        <w:t>the interruption of the flow and/or availability of components and materials from international vendors could disrupt our supply chain;</w:t>
      </w:r>
    </w:p>
    <w:p>
      <w:pPr>
        <w:spacing w:after="0" w:line="10" w:lineRule="exact"/>
        <w:rPr>
          <w:rFonts w:ascii="Arial" w:cs="Arial" w:eastAsia="Arial" w:hAnsi="Arial"/>
          <w:sz w:val="21"/>
          <w:szCs w:val="21"/>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significant changes in the cost of raw materials and product components;</w:t>
      </w:r>
    </w:p>
    <w:p>
      <w:pPr>
        <w:spacing w:after="0" w:line="2" w:lineRule="exact"/>
        <w:rPr>
          <w:rFonts w:ascii="Arial" w:cs="Arial" w:eastAsia="Arial" w:hAnsi="Arial"/>
          <w:sz w:val="22"/>
          <w:szCs w:val="22"/>
          <w:color w:val="auto"/>
        </w:rPr>
      </w:pPr>
    </w:p>
    <w:p>
      <w:pPr>
        <w:ind w:left="1300" w:right="20" w:hanging="320"/>
        <w:spacing w:after="0" w:line="249"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supply chain competition and, in some instances, have entered into long-term supply agreements that could result in insufficient inventory;</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competition for our offerings from established and new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loss of one or more of our significant customers, their inability to perform under their contracts, or their default in payment;</w:t>
      </w:r>
    </w:p>
    <w:p>
      <w:pPr>
        <w:spacing w:after="0" w:line="9" w:lineRule="exact"/>
        <w:rPr>
          <w:rFonts w:ascii="Arial" w:cs="Arial" w:eastAsia="Arial" w:hAnsi="Arial"/>
          <w:sz w:val="18"/>
          <w:szCs w:val="18"/>
          <w:color w:val="auto"/>
        </w:rPr>
      </w:pPr>
    </w:p>
    <w:p>
      <w:pPr>
        <w:ind w:left="1300" w:hanging="320"/>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manage our recent and future growth effectively, ability to execute our business plan, maintain high levels of customer service, or adequately address competitive challenges;</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maintain and enhance our reputation and brand recognition;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growth depends in part on the success of our relationships with third parties;</w:t>
      </w:r>
    </w:p>
    <w:p>
      <w:pPr>
        <w:spacing w:after="0" w:line="12"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ability to attract and retain highly qualified personnel, including senior management;</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related to defects, errors or bugs in our products and technology;</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related to our current and planned foreign operations;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relating to lengthy sales and installation cycle for our products and services and ability to timely close sales;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amounts included in our pipeline and contracted backlog may not result in actual revenue or translate into profits;</w:t>
      </w:r>
    </w:p>
    <w:p>
      <w:pPr>
        <w:spacing w:after="0" w:line="27" w:lineRule="exact"/>
        <w:rPr>
          <w:rFonts w:ascii="Arial" w:cs="Arial" w:eastAsia="Arial" w:hAnsi="Arial"/>
          <w:sz w:val="22"/>
          <w:szCs w:val="22"/>
          <w:color w:val="auto"/>
        </w:rPr>
      </w:pPr>
    </w:p>
    <w:p>
      <w:pPr>
        <w:ind w:left="1300" w:right="20" w:hanging="320"/>
        <w:spacing w:after="0" w:line="239" w:lineRule="auto"/>
        <w:tabs>
          <w:tab w:leader="none" w:pos="12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potential difficulties in establishing mass manufacturing capacity and estimating potential cost savings and efficiencies from anticipated improvements to our manufacturing capabilities;</w:t>
      </w:r>
    </w:p>
    <w:p>
      <w:pPr>
        <w:spacing w:after="0" w:line="27" w:lineRule="exact"/>
        <w:rPr>
          <w:rFonts w:ascii="Arial" w:cs="Arial" w:eastAsia="Arial" w:hAnsi="Arial"/>
          <w:sz w:val="22"/>
          <w:szCs w:val="22"/>
          <w:color w:val="auto"/>
        </w:rPr>
      </w:pPr>
    </w:p>
    <w:p>
      <w:pPr>
        <w:ind w:left="1300" w:hanging="320"/>
        <w:spacing w:after="0" w:line="232" w:lineRule="auto"/>
        <w:tabs>
          <w:tab w:leader="none" w:pos="12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related to estimates of useful life for our products and related services or failure by our component OEM suppliers to meet service and performance warranties and guarantees;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related to acquisitions we have made or that we may pursue;</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events and incidents relating to storage, delivery, installation, operation, maintenance and shutdowns of our products;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actual or threatened health epidemics, pandemics or similar public health threats;</w:t>
      </w:r>
    </w:p>
    <w:p>
      <w:pPr>
        <w:spacing w:after="0" w:line="27" w:lineRule="exact"/>
        <w:rPr>
          <w:rFonts w:ascii="Arial" w:cs="Arial" w:eastAsia="Arial" w:hAnsi="Arial"/>
          <w:sz w:val="22"/>
          <w:szCs w:val="22"/>
          <w:color w:val="auto"/>
        </w:rPr>
      </w:pPr>
    </w:p>
    <w:p>
      <w:pPr>
        <w:ind w:left="1300" w:hanging="320"/>
        <w:spacing w:after="0" w:line="239" w:lineRule="auto"/>
        <w:tabs>
          <w:tab w:leader="none" w:pos="1295" w:val="left"/>
        </w:tabs>
        <w:numPr>
          <w:ilvl w:val="0"/>
          <w:numId w:val="14"/>
        </w:numPr>
        <w:rPr>
          <w:rFonts w:ascii="Arial" w:cs="Arial" w:eastAsia="Arial" w:hAnsi="Arial"/>
          <w:sz w:val="22"/>
          <w:szCs w:val="22"/>
          <w:b w:val="1"/>
          <w:bCs w:val="1"/>
          <w:i w:val="1"/>
          <w:iCs w:val="1"/>
          <w:color w:val="auto"/>
        </w:rPr>
      </w:pPr>
      <w:r>
        <w:rPr>
          <w:rFonts w:ascii="Arial" w:cs="Arial" w:eastAsia="Arial" w:hAnsi="Arial"/>
          <w:sz w:val="18"/>
          <w:szCs w:val="18"/>
          <w:color w:val="auto"/>
        </w:rPr>
        <w:t>risks relating to whether renewable energy technologies are suitable for widespread adoption or if sufficient demand for our hardware and software-enabled services does not develop or takes longer to develop than we anticipate;</w:t>
      </w:r>
    </w:p>
    <w:p>
      <w:pPr>
        <w:spacing w:after="0" w:line="5" w:lineRule="exact"/>
        <w:rPr>
          <w:rFonts w:ascii="Arial" w:cs="Arial" w:eastAsia="Arial" w:hAnsi="Arial"/>
          <w:sz w:val="22"/>
          <w:szCs w:val="22"/>
          <w:b w:val="1"/>
          <w:bCs w:val="1"/>
          <w:i w:val="1"/>
          <w:iCs w:val="1"/>
          <w:color w:val="auto"/>
        </w:rPr>
      </w:pPr>
    </w:p>
    <w:p>
      <w:pPr>
        <w:ind w:left="1300" w:hanging="320"/>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estimates on size of our total addressable market;</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barriers arising from current electric utility industry policies and regulations and any subsequent changes;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1300" w:hanging="320"/>
        <w:spacing w:after="0" w:line="232"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 relating to interest rates or a reduction in the availability of tax equity or project debt capital in the global financial markets and corresponding effects on customers’ ability to finance energy storage systems and demand for our products;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potential changes in tax laws or regulations;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reduction, elimination, or expiration of government incentives or regulations regarding renewable energy;</w:t>
      </w:r>
    </w:p>
    <w:p>
      <w:pPr>
        <w:spacing w:after="0" w:line="17"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decline in public acceptance of renewable energy, or delay, prevent, or increase in the cost of customer projects;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restrictions set forth in our revolving credit facility;</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relating to uncertain future capital needs and potential need to raise additional funds in the future;</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ability to obtain, maintain and enforce proper intellectual property protection for our technology rights throughout the world;</w:t>
      </w:r>
    </w:p>
    <w:p>
      <w:pPr>
        <w:spacing w:after="0" w:line="27" w:lineRule="exact"/>
        <w:rPr>
          <w:rFonts w:ascii="Arial" w:cs="Arial" w:eastAsia="Arial" w:hAnsi="Arial"/>
          <w:sz w:val="22"/>
          <w:szCs w:val="22"/>
          <w:color w:val="auto"/>
        </w:rPr>
      </w:pPr>
    </w:p>
    <w:p>
      <w:pPr>
        <w:ind w:left="1300" w:hanging="320"/>
        <w:spacing w:after="0" w:line="239"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ability to effectively invest in, implement improvements to and properly maintain the uninterrupted operation and data integrity of our information technology and other business systems;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failure to comply with third party license or technology agreements;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inability to license rights to use technologies on reasonable terms;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failure to comply with data privacy and data security laws, regulations and industry standards;</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impact of our multiple class structure on the market price of our Class A common stock;</w:t>
      </w:r>
    </w:p>
    <w:p>
      <w:pPr>
        <w:spacing w:after="0" w:line="27" w:lineRule="exact"/>
        <w:rPr>
          <w:rFonts w:ascii="Arial" w:cs="Arial" w:eastAsia="Arial" w:hAnsi="Arial"/>
          <w:sz w:val="22"/>
          <w:szCs w:val="22"/>
          <w:color w:val="auto"/>
        </w:rPr>
      </w:pPr>
    </w:p>
    <w:p>
      <w:pPr>
        <w:ind w:left="1300" w:hanging="320"/>
        <w:spacing w:after="0" w:line="232"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amended and restated certificate of incorporation provides that the doctrine of “corporate opportunity” does not apply with respect to any director or stockholder who is not employed by us or our subsidiaries;</w:t>
      </w:r>
    </w:p>
    <w:p>
      <w:pPr>
        <w:spacing w:after="0" w:line="27" w:lineRule="exact"/>
        <w:rPr>
          <w:rFonts w:ascii="Arial" w:cs="Arial" w:eastAsia="Arial" w:hAnsi="Arial"/>
          <w:sz w:val="22"/>
          <w:szCs w:val="22"/>
          <w:color w:val="auto"/>
        </w:rPr>
      </w:pPr>
    </w:p>
    <w:p>
      <w:pPr>
        <w:ind w:left="1300" w:right="20" w:hanging="320"/>
        <w:spacing w:after="0" w:line="239"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potential dilution of stockholder interests through future issuances of additional Class A common stock or common units in connection with our incentive plans, acquisitions or otherwise;</w:t>
      </w:r>
    </w:p>
    <w:p>
      <w:pPr>
        <w:spacing w:after="0" w:line="27" w:lineRule="exact"/>
        <w:rPr>
          <w:rFonts w:ascii="Arial" w:cs="Arial" w:eastAsia="Arial" w:hAnsi="Arial"/>
          <w:sz w:val="22"/>
          <w:szCs w:val="22"/>
          <w:color w:val="auto"/>
        </w:rPr>
      </w:pPr>
    </w:p>
    <w:p>
      <w:pPr>
        <w:jc w:val="both"/>
        <w:ind w:left="1300" w:hanging="320"/>
        <w:spacing w:after="0" w:line="238"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amended and restated certificate of incorporation limits our Continuing Equity Owners’ and their directors’ and officers’ liability to us or you for breach of fiduciary duty and could also prevent us from benefiting from corporate opportunities that might otherwise have been available to us;</w:t>
      </w:r>
    </w:p>
    <w:p>
      <w:pPr>
        <w:spacing w:after="0" w:line="4"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are controlled by the Continuing Equity Owners, whose interests may differ from those of our public stockholders;</w:t>
      </w:r>
    </w:p>
    <w:p>
      <w:pPr>
        <w:spacing w:after="0" w:line="26" w:lineRule="exact"/>
        <w:rPr>
          <w:rFonts w:ascii="Arial" w:cs="Arial" w:eastAsia="Arial" w:hAnsi="Arial"/>
          <w:sz w:val="22"/>
          <w:szCs w:val="22"/>
          <w:color w:val="auto"/>
        </w:rPr>
      </w:pPr>
    </w:p>
    <w:p>
      <w:pPr>
        <w:ind w:left="1300" w:hanging="320"/>
        <w:spacing w:after="0" w:line="232"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certain of our officers and directors may have actual or potential conflicts of interest because of their positions with our Continuing Equity Owners;</w:t>
      </w:r>
    </w:p>
    <w:p>
      <w:pPr>
        <w:spacing w:after="0" w:line="27" w:lineRule="exact"/>
        <w:rPr>
          <w:rFonts w:ascii="Arial" w:cs="Arial" w:eastAsia="Arial" w:hAnsi="Arial"/>
          <w:sz w:val="22"/>
          <w:szCs w:val="22"/>
          <w:color w:val="auto"/>
        </w:rPr>
      </w:pPr>
    </w:p>
    <w:p>
      <w:pPr>
        <w:ind w:left="1300" w:hanging="320"/>
        <w:spacing w:after="0" w:line="232"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reliance on our access to our Founders’ brands and reputation, some of our Founders’ relationships, and the brands and reputations of unaffiliated third parties;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third parties may seek to hold us responsible for liabilities of our Founders;</w:t>
      </w:r>
    </w:p>
    <w:p>
      <w:pPr>
        <w:spacing w:after="0" w:line="39" w:lineRule="exact"/>
        <w:rPr>
          <w:rFonts w:ascii="Arial" w:cs="Arial" w:eastAsia="Arial" w:hAnsi="Arial"/>
          <w:sz w:val="22"/>
          <w:szCs w:val="22"/>
          <w:color w:val="auto"/>
        </w:rPr>
      </w:pPr>
    </w:p>
    <w:p>
      <w:pPr>
        <w:ind w:left="1300" w:hanging="320"/>
        <w:spacing w:after="0" w:line="232" w:lineRule="auto"/>
        <w:tabs>
          <w:tab w:leader="none" w:pos="129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depend on distributions from Fluence Energy, LLC to pay our taxes and expenses and Fluence Energy, LLC’s ability to make such distributions may be limited or restricted in certain scenarios;</w:t>
      </w:r>
    </w:p>
    <w:p>
      <w:pPr>
        <w:spacing w:after="0" w:line="5"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arising out of the Tax Receivable Agreement;</w:t>
      </w:r>
    </w:p>
    <w:p>
      <w:pPr>
        <w:spacing w:after="0" w:line="15"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1"/>
          <w:szCs w:val="21"/>
          <w:color w:val="auto"/>
        </w:rPr>
      </w:pPr>
      <w:r>
        <w:rPr>
          <w:rFonts w:ascii="Arial" w:cs="Arial" w:eastAsia="Arial" w:hAnsi="Arial"/>
          <w:sz w:val="17"/>
          <w:szCs w:val="17"/>
          <w:color w:val="auto"/>
        </w:rPr>
        <w:t>unanticipated changes in effective tax rates or adverse outcomes resulting from examination of our income or other tax returns;</w:t>
      </w:r>
    </w:p>
    <w:p>
      <w:pPr>
        <w:spacing w:after="0" w:line="10" w:lineRule="exact"/>
        <w:rPr>
          <w:rFonts w:ascii="Arial" w:cs="Arial" w:eastAsia="Arial" w:hAnsi="Arial"/>
          <w:sz w:val="21"/>
          <w:szCs w:val="21"/>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relating to proper and effective internal control over financial reporting to comply with the Sarbanes-Oxley Act; and</w:t>
      </w:r>
    </w:p>
    <w:p>
      <w:pPr>
        <w:spacing w:after="0" w:line="10" w:lineRule="exact"/>
        <w:rPr>
          <w:rFonts w:ascii="Arial" w:cs="Arial" w:eastAsia="Arial" w:hAnsi="Arial"/>
          <w:sz w:val="22"/>
          <w:szCs w:val="22"/>
          <w:color w:val="auto"/>
        </w:rPr>
      </w:pPr>
    </w:p>
    <w:p>
      <w:pPr>
        <w:ind w:left="1300" w:hanging="320"/>
        <w:spacing w:after="0" w:line="23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relating to potential future legal proceedings, regulatory disputes, and governmental inquiries.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limited operating and revenue history as an independent entity and our nascent and rapidly-evolving industry make evaluating our business and future prospects difficult.</w:t>
      </w:r>
    </w:p>
    <w:p>
      <w:pPr>
        <w:spacing w:after="0" w:line="197"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We were established in January 2018 as a joint venture between Siemens and AES. Since then, we have continued to evolve and grow. We have benefited and continue to benefit from the industry experience and substantial support AES and Siemens provide, but we have a limited history operating our combined business and generating revenue as an independent entity, and therefore a limited history upon which you can base an investment decision.</w:t>
      </w:r>
    </w:p>
    <w:p>
      <w:pPr>
        <w:spacing w:after="0" w:line="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Operating results for future periods are subject to a number of uncertainties and we cannot assure you that we will achieve or sustain profitability. Our prospects must be considered in light of the risks by companies in the early stages of development, especially those in new and rapidly evolving markets.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9" w:name="page20"/>
    <w:bookmarkEnd w:id="19"/>
    <w:p>
      <w:pPr>
        <w:jc w:val="both"/>
        <w:ind w:firstLine="324"/>
        <w:spacing w:after="0" w:line="268" w:lineRule="auto"/>
        <w:rPr>
          <w:sz w:val="20"/>
          <w:szCs w:val="20"/>
          <w:color w:val="auto"/>
        </w:rPr>
      </w:pPr>
      <w:r>
        <w:rPr>
          <w:rFonts w:ascii="Arial" w:cs="Arial" w:eastAsia="Arial" w:hAnsi="Arial"/>
          <w:sz w:val="16"/>
          <w:szCs w:val="16"/>
          <w:color w:val="auto"/>
        </w:rPr>
        <w:t>Our future growth in a nascent and rapidly-evolving industry is dependent on a number of factors, including rising demand for clean electric power solutions that can provide electric power with lower carbon emissions and replacement of conventional generation sources and the adoption speed of digital software applications to modernize the efficiency of power assets and the electric grid. Among other renewable energy market trends, we expect our business results to be driven by declines in the cost of generation of renewable power, decreases in the cost of manufacturing battery modules and cells, customer needs for services and digital applications, commercial, legal, regulatory, and political pressure for the reduced use of and reliance on fossil fuels and electric power generation that relies on fossil or other non-renewable fuels, and a rapidly growing energy storage market driven by increasing demand from commercial and industrial customers, utilities, and grid operators. However, predicting future revenues and appropriately forecasting and budgeting for our expenses is difficult, and we have limited insight into trends that may emerge and take hold and materially affect our business. In particular, global inflationary pressures in the last year have disrupted the historical trend of declining renewable energy costs and declining battery costs, and it is unclear</w:t>
      </w:r>
    </w:p>
    <w:p>
      <w:pPr>
        <w:jc w:val="both"/>
        <w:spacing w:after="0" w:line="248" w:lineRule="auto"/>
        <w:rPr>
          <w:sz w:val="20"/>
          <w:szCs w:val="20"/>
          <w:color w:val="auto"/>
        </w:rPr>
      </w:pPr>
      <w:r>
        <w:rPr>
          <w:rFonts w:ascii="Arial" w:cs="Arial" w:eastAsia="Arial" w:hAnsi="Arial"/>
          <w:sz w:val="18"/>
          <w:szCs w:val="18"/>
          <w:color w:val="auto"/>
        </w:rPr>
        <w:t>when, or if, our market segment will return to the historical trend of declining costs. Our future operations and strategy is therefore subject to all of the risks inherent in light of the expenses, difficulties, complications and delays frequently encounter in connection with the growth of any new business in a nascent industry, as well as those that are specific to our business in particular.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achieve or maintain profitability.</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incurred net losses on an annual basis since our inception. We incurred net losses of $289.2 million and $162.0 million for the fiscal years ended September 30, 2022 and 2021, respectively. We expect our aggregate costs will increase substantially in the foreseeable future and our losses will continue as we expect to invest heavily in increasing our customer base, expanding our operations, and operating as a public company. These efforts may prove more expensive than we currently anticipate, and we may not succeed in increasing our revenue sufficiently to offset these higher expenses. To date, we have financed our operations with equity contributions from AES Grid Stability, Siemens Industry, and QFH, cash and cash equivalents, negative working capital, and short-term borrowings. Our net cash flow from operations was negative for each of the fiscal years ended September 30, 2022 and 2021. We may not generate positive cash flow from operations or profitability in any given period, and our limited operating history may make it difficult for you to evaluate our current business and our future prospects.</w:t>
      </w:r>
    </w:p>
    <w:p>
      <w:pPr>
        <w:spacing w:after="0" w:line="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customers.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19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experienced and may continue to experience delays, disruptions, and/or quality control problems in our manufacturing operations in part due to our third-party manufacturer concentration, which may adversely affect our business, results of operations, financial condition and future prospects.</w:t>
      </w:r>
    </w:p>
    <w:p>
      <w:pPr>
        <w:spacing w:after="0" w:line="1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Our product development, manufacturing, and testing protocols are complex and require significant technological and production process expertise. We currently depend on a limited number of third-party manufacturers, including for key components of our products. As of today, we have one major contract manufacturer for the Fluence Cube along with another final assembly facility for the Fluence Cube and are planning to expand our set of partners in the near term. As we introduce new products, we plan to continue to evaluate the economic benefits to Fluence and will expand our regional manufacturing capabilities to further support customers in in all regions. Moreover, we have launched our Americas regional manufacturing capabilities today and will further develop the EMEA market once the demand targets are achieved. While the risk of relying on a single vendor will diminish with regional and footprint optimization, expansion may be delayed by the process of vetting and qualifying new manufacturing partners. Further, any vendor delay or disruption could cause a delay or disruption in our ability to meet customer requirements which may result in a loss of customers. Such processes involve a number of precise steps from design to production.</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reserve, or increased production and logistics costs, delays and liquidated damages to our customers. Any of these developments could have a material adverse effect on our business, financial condition, and results of operations.</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i w:val="1"/>
          <w:iCs w:val="1"/>
          <w:color w:val="auto"/>
        </w:rPr>
        <w:t>We have experienced and may continue to be exposed to risks associated with construction, utility interconnection, commissioning and installation of our products, inflationary cost overruns from increased shipping and logistics prices as well as increased prices on raw materials necessary for the production of lithium-ion batteries, and delays, including those related to obtaining government authorizations and permits and other contingencies that may arise in the course of completing installations.</w:t>
      </w:r>
    </w:p>
    <w:p>
      <w:pPr>
        <w:spacing w:after="0" w:line="9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we generally are not regulated as a utility, federal, state, and local government statutes and regulations concerning electricity heavily influence the market for our products and services. These statutes and regulations often relate to electricity pricing, net metering, incentives, taxation, and the rules surrounding the interconnection of customer-owned electricity generation for specific technologies. In the U.S., governments frequently modify these statutes and regulations. Governments, often acting through state utility or public service commissions, change and adopt different requirements for utilities and rates for commercial customers on a regular basis. Changes, or in some cases a lack of change, in any of the laws, regulations, ordinances, or other rules that apply to customer installations and new technology could make it more costly for our customers to install and operate our energy storage products on particular sites, and in turn could negatively affect our ability to deliver cost savings to customers for the purchase of electricity.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installation and operation of our energy storage products at a particular site are also generally subject to oversight and regulation in accordance with federal, state, and local laws and ordinances relating to building codes, safety, environmental protection, and related matters, and typically require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our energy storage product installations, to design our energy storage products to comply with these varying standards, and for our customers to obtain all applicable necessary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energy storage products and could therefore adversely affect the amount of the recognition of revenue related to the sale of our energy storage products, which could adversely affect our operating results.</w:t>
      </w:r>
    </w:p>
    <w:p>
      <w:pPr>
        <w:spacing w:after="0" w:line="1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production and installation of our energy storage products also involves the incurrence of various project costs and can entail project modifications. We have policies and procedures regarding the approval of project costs and modifications. In connection with our limited operating history and our significant growth, we have in the past experienced and may in the future experience incurrence of project costs in excess of those budgeted. In addition, disagreements with our customers and suppliers have arisen and may in the future arise with respect to project schedules, work, and modifications, which can result in the need to find different suppliers, loss of future business, additional costs to us and not fully realizing the anticipated profit from the project.</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successful installation of our energy storage products is dependent upon the availability of and timely connection to the local electric grid. Our customers may be unable to obtain the required consent and authorization of local utilities to ensure successful interconnection to energy grids to enable the successful discharge of renewable energy.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spacing w:after="0" w:line="21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interruption of the flow and/or availability of components and materials from international vendors could disrupt our supply chain, including as a result of the imposition of additional duties, tariffs, and other charges on imports and exports, which in turn could affect our results of operations.</w:t>
      </w:r>
    </w:p>
    <w:p>
      <w:pPr>
        <w:spacing w:after="0" w:line="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purchase some of our components and materials for our products outside of the United States through arrangements with various vendors, and are therefore exposed to supply chain risks from logistics disruptions. We have experienced delays in obtaining certain necessary components and materials as a result of the COVID-19 pandemic and other trade and shipping disruptions and factors beyond our suppliers’ control. International political, social, or economic instability or as a result of another international pandemic could cause future trade disruptions, impacting our supply chain and ability to complete projects in a timely and efficient manner. In addition, certain actions, policies and legislation put forth in various countries where we source materials and components out of have created uncertainty with respect to potential tariff impacts on the costs of some of our components and materials as we go forward. The degree of our exposure is dependent on (among other things) the type of materials and components that may be impacted, the proposed rates or rates imposed, and timing of the imposition of such tariffs. Disruptions in the availability of key components or materials may adversely impact our business and operations, and volatility in prices and availability of such items may negatively impact our customer relationships and ability to plan for future growth.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Other events that could disrupt our supply chain include:</w:t>
      </w:r>
    </w:p>
    <w:p>
      <w:pPr>
        <w:spacing w:after="0" w:line="1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imposition of additional trade legislation or regulations both internationally and domestically;</w:t>
      </w:r>
    </w:p>
    <w:p>
      <w:pPr>
        <w:spacing w:after="0" w:line="17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imposition of additional duties, tariffs and other charges on imports and exports, including as a result of the ongoing trade war between the United States and China;</w:t>
      </w:r>
    </w:p>
    <w:p>
      <w:pPr>
        <w:spacing w:after="0" w:line="135" w:lineRule="exact"/>
        <w:rPr>
          <w:rFonts w:ascii="Arial" w:cs="Arial" w:eastAsia="Arial" w:hAnsi="Arial"/>
          <w:sz w:val="22"/>
          <w:szCs w:val="22"/>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Chinese battery manufacturing due to China’s extremely stringent Covid-Zero policy, causing force majeure to be declared by our battery manufacturers;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 of supply contracts by suppliers and vendors;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quotas imposed by bilateral trade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logistics and shipping constraints;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natural disasters;</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1"/>
          <w:szCs w:val="21"/>
          <w:color w:val="auto"/>
        </w:rPr>
      </w:pPr>
      <w:r>
        <w:rPr>
          <w:rFonts w:ascii="Arial" w:cs="Arial" w:eastAsia="Arial" w:hAnsi="Arial"/>
          <w:sz w:val="17"/>
          <w:szCs w:val="17"/>
          <w:color w:val="auto"/>
        </w:rPr>
        <w:t>public health issues and epidemic diseases, their effects (including any disruptions they may cause) and/or the perception of their effects;</w:t>
      </w:r>
    </w:p>
    <w:p>
      <w:pPr>
        <w:spacing w:after="0" w:line="152" w:lineRule="exact"/>
        <w:rPr>
          <w:rFonts w:ascii="Arial" w:cs="Arial" w:eastAsia="Arial" w:hAnsi="Arial"/>
          <w:sz w:val="21"/>
          <w:szCs w:val="21"/>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theft;</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restrictions on the transfer of funds;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financial instability or bankruptcy of vendors; and</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significant labor disputes, such as dock strikes.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or effect of any such restrictions. Trade restrictions, including new or increased tariffs or quotas, border taxes, embargoes, safeguards, and customs restrictions against certain components and materials, as well as labor strikes and work stoppages or boycotts, could increase the cost or reduce or delay the supply of components and materials available to us and adversely affect our business, financial condition or results of operations.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changes in the cost and/or availability of raw materials and components incorporated into our products could adversely affect our business, results of operations and future prospects.</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risk from availability and fluctuating market prices of certain commodity raw materials, including, but not limited to, steel, aluminum, copper, nickel, iron phosphate, graphite, manganese, lithium carbonate, lithium hydroxide, and cobalt, that are used in the components from suppliers, such as lithium-ion batteries, that are used in our energy storage products. Prices and availability of these raw materials may be affected by global supply and demand balance, inventory levels, speculative activities by market participants, geopolitical uncertainty of any kind and other market factors from time to time. There has been sizable increases in the recent months in the cost of certain metals, including lithium carbonate and lithium hydroxide, which has led to an increase in the price of lithium-ion batteries, Our revenue growth is directly tied to the continued adoption of energy storage products by our customers, which may be affected by commodity raw material price fluctuations, including lithium-ion batteries. As we are not the direct buyer of these raw materials, we currently do not enter into hedging arrangements to mitigate commodity risk. Significant price changes or reduced availability for these raw materials could reduce our operating margins if suppliers increase component prices and we are unable to pass on such increased costs to our customers, and could harm our business, financial condition, and results of operations.</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our vendors or our component or raw material suppliers to use ethical business practices and comply with applicable laws and regulations may adversely affect our business.</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do not control our vendors or suppliers or their business practices. Accordingly, we cannot guarantee that they follow ethical business practices, such as fair wage practices and compliance with environmental, safety, and other local laws. A lack of demonstrated compliance could lead us to seek alternative manufacturers or suppliers, which could increase our costs and result in delayed delivery of our products, product shortages, or other disruptions of our operations. Violation of labor or other laws by our manufacturers or suppliers or the divergence of a supplier’s labor or other practices from those generally accepted as ethical in the U.S. or other markets in which we do business could also attract negative publicity for us and harm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We face supply chain competition and, in some instances, have entered into long-term supply agreements that could result in insufficient inventory and negatively affect our results of operations.</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entered into long-term supply agreements with certain suppliers and contract manufacturers of batteries, inverters, and other components of our energy storage products. Some of these supply agreements provide for fixed or inflation-adjusted pricing (including for raw material costs), substantial prepayment obligations, and commitments to continue purchasing certain levels of components in future periods regardless of the level of demand we receive from customers. If our suppliers provide insufficient inventory at the level of quality required to meet customer requirements, or if our suppliers are unable or unwilling to provide us with the contracted quantities at the contracted prices, as we have limited alternatives for supply in the short term, our results of operations could be materially and negatively impacted. If our customers do not provide sufficient demand to purchase the levels of inventory we have committed to purchasing in future periods, our ability to generate revenue or cash flows may be limited.</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long-term supply relationships with our critical suppliers, or secure new long-term supply agreements. Additionally, many of the battery storage products and components of our energy storage products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of our suppliers also supply products and components to other businesses, including businesses engaged in the production of electric vehicles, renewable energy production, consumer electronics and other industries unrelated to energy storage products. As a relatively low-volume purchaser of certain of these parts and materials, we may be unable to procure a sufficient supply of the items on favorable terms or at all, in the event that our suppliers fail to produce sufficient quantities to satisfy the demands of all of their customers, which could materially adversely affect our business, financial condition, and results of operations.</w:t>
      </w:r>
    </w:p>
    <w:p>
      <w:pPr>
        <w:spacing w:after="0" w:line="2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also face risks resulting from supplier concentration and limited supplier capacity. We rely on a very small number of suppliers of energy storage systems and component parts. If any of our suppliers was unable or unwilling to provide us with contracted quantities in a timely manner at prices, quality levels and volumes acceptable to us, we would have very limited alternatives for supply, and we may not be able to contract for and receive suitable alternative supply in a timely manner for our customers, or at all. Such an event may impair our ability to meet scheduled deliveries of our products to customers, which may cause our customers to cancel orders and subject us to liability, and may materially adversely affect our customer relationships, business, prospects, financial condition and results of operations. We may also be unsuccessful in our continuous efforts to negotiate with existing suppliers to obtain cost reductions and avoid unfavorable changes to terms. Additionally, some of our suppliers supply systems and components to other businesses, including businesses engaged in the production of consumer electronics and other industries unrelated to energy storage systems. There are also larger purchasers of certain parts and materials that we supply to our customers. As a result, we may be unable to procure a sufficient supply of the items in the event that our suppliers fail to produce sufficient quantities to satisfy the demands of all of their customers. Any of these occurrences could materially adversely affect our business, prospects, financial condition and results of operations.</w:t>
      </w:r>
    </w:p>
    <w:p>
      <w:pPr>
        <w:spacing w:after="0" w:line="19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loss of one or more of our significant customers, including but not limited to AES and Siemens, their inability to perform under their contracts, or their default in payment could harm our business and negatively impact revenue, results of operations, and cash flow.</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dependent on a relatively small number of customers for our sales, and a small number of customers have historically accounted for a material portion of our revenue. The loss of any one of the Company’s significant customers, their inability to perform under their contracts, their default in payment, a significant dispute with one of these customers, a significant downturn or deterioration in the business or financial condition of any of these customers, or any other event significantly negatively impacting the contractual relationship with one of these customers could have a materially adverse effect on the revenues and cash flows of the Company. For the near future, we may continue to derive a significant portion of our net sales from a small number of customers. For the fiscal year ended September 30, 2022, our top five customers, in the aggregate, accounted for approximately 77% of our annual revenue. Accordingly, loss of a significant customer or a significant reduction in pricing or order volume from a significant customer could materially reduce net sales and operating results in any reporting period.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competition for our product and service offerings from a number of established and new competitors, and if we are unable to attract new customers and retain existing customers, our revenue growth may be adversely affected. .</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operate in an increasingly competitive business environment and face competition for customers with other energy storage providers. To increase our revenue, our business strategy depends on our ability to attract new customers and retain existing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customers. We face competition from other energy storage and digital application providers in the recruitment of potential customers and some of our competitors have financial, production, marketing and other resources that are significantly greater than ours. Consolidation by industry participants could further increase their resources and result in competitors with expanded market share, larger customer bases, greater diversified product and service offerings and greater technological and marketing expertise, which may allow them to compete more effectively against us. Moreover, our competitors may develop products that are superior to our products (on a price-to-value basis or otherwise) or may adapt more quickly to new technologies or regulatory regimes implemented across the globe. If we are unable to convince potential customers of the benefits of our services, effectively differentiate our product and service offerings from our competitors, or if potential or existing customers prefer the product and service offerings of one of our competitors, we may not be able to effectively implement this aspect of our growth strategy. Additionally, a significant portion of our annual sales were direct sales to AES or a result of our Siemens sales relationship. If we fail to maintain those relationships, or if AES or Siemens decide to reduce their energy storage activities in the future, it could impact our sales and our growth would be even more reliant on our ability to recruit new customers. Our inability to recruit new customers and retain existing customers would harm our ability to execute our growth strategy and may have a material adverse effect on our business operations and financial position.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recent and future growth effectively and expansion of our business and operations, we may be unable to execute our business plan, maintain high levels of customer service, or adequately address competitive challenges.</w:t>
      </w:r>
    </w:p>
    <w:p>
      <w:pPr>
        <w:spacing w:after="0" w:line="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experienced significant growth in recent periods. We intend to continue to expand our business significantly within existing and new market segments. This growth has placed, and any future growth may place, a significant strain on our management, operational, and financial infrastructure. Our management will also be required to maintain and expand our relationships with customers, suppliers, channel partners, and other third parties and attract new customers and suppliers, as well as manage multiple geographic locations. Our current and planned operations, personnel, IT, and other systems and procedures might be inadequate to support our future growth and may require us to make additional unanticipated investment and improvements in our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appropriately and quickly to competitive pressures, this could also result in declines in product quality and customer satisfaction, increased costs, difficulties in introducing new offerings, or other operational difficulties. Any failure to effectively manage growth could adversely impact our business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reputation and brand recognition, our business and results of operations may be harmed.</w:t>
      </w: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We believe that maintaining and enhancing our reputation and brand recognition is critical to our relationships with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as part of any marketing initiatives, and our results of operations could be harmed. In addition, any factor that diminishes our reputation or that of our management, including failing to meet the expectations of or provide quality products and services to our customers, or any adverse publicity or litigation, could make it substantially more difficult for us to attract new customers. If we do not successfully maintain and enhance our reputation and brand recognition, our business may not grow, and we could lose our relationships with customers, which would harm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third parties.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third-party general contractors to install energy storage products at our customers’ sites. We currently work with a limited number of general contractors, which has impacted and may continue to impact our ability to facilitate customer installations as planned. Our work with contractors or their subcontractors may have the effect of us being required to comply with additional rules (including rules unique to our customers), working conditions, site remediation, and other union requirements, which can add costs and complexity to an installation project. The timeliness, thoroughness, and quality of the installation-related services performed by our general contractors and their subcontractors in the past have not always met our expectations or standards and in the future may not meet our expectations and standards, and it may be difficult to find and train third-party general contractors that meet our standards at a competitive cost.</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attract and retain highly qualified personnel, including members of the senior management team, in order to execute our business strategy and growth plan, our business and ability to compete may be adversely affected.</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Competition for highly qualified personnel is intense. We have experienced, and we expect to continue to experience, difficulty in hiring and retaining employees with appropriate qualifications. We may face high turnover, requiring us to expend time and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our key and other employees and recruit additional qualified personnel and we may have to pay additional compensation to employees to incentivize them to join or stay with us. Further, many of the companies with which we compete for experienced personnel have greater financial resources than we have. If we hire employees from competitors or other companies, their former employers may attempt to assert that these employees or the Company has breached certain legal obligations, resulting in a diversion of our time and resources. If we fail to attract new personnel or fail to retain and motivate our current personnel, our business and future growth prospects and ability to compete could be adversely impacted.</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Moreover, our success depends largely upon the continued services of our senior management team. We rely on our leadership team in the areas of sales and operations, information technology and security, marketing, and general and administrative functions. From time to time, there may be changes in our executive management team resulting from the hiring or departure of executives, which could disrupt our business. Our executive officers are not subject to any restrictions that would require them to continue to work for us for any specified period and, therefore, they could terminate their employment with us at any time. The loss of one or more of the members of our senior management team, could harm our business. Changes in our executive management team may also cause disruptions in, and harm to, our business.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including components thereof, and technology could have undetected defects, errors, or bugs in hardware or software which could reduce market adoption, damage our reputation with current or prospective customers and/or expose us to product liability and other legal claims that could materially and adversely affect our business.</w:t>
      </w:r>
    </w:p>
    <w:p>
      <w:pPr>
        <w:spacing w:after="0" w:line="11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The energy storage products we develop are complex energy solutions. Our energy storage products and software have contained design and manufacturing-related defects and errors and may in the future contain undetected defects or errors. We do not manufacture the batteries or other components of the energy storage products and rely on our component OEM suppliers and contract manufacturers to control the quality of such</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components. We provide installation, construction and commissioning services for our customers that purchase our products. In the past, we have from time to time discovered latent defects in energy storage products and the components thereof and have experienced defects in workmanship and in the future we may face such defects in our products or in workmanship. Although we have implemented various quality initiatives to help prevent defects and issues, there is no perfect component. So although we are working towards minimizing the defects, defects may still occur in the future that may result in significant expenses or disruptions of our operations. We are continuing to evolve the features and functionality of our products and technology platform through updates and enhancements, and as we do, we may introduce additional defects or errors that may not be detected until after deployment to customers through our hardware.</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Since we do not manufacture certain components of our energy storage products, our ability to seek recourse for liabilities and recover costs from our component OEM suppliers and contract manufacturers depends on our contractual rights as well as the financial condition and integrity of such component</w:t>
      </w:r>
    </w:p>
    <w:p>
      <w:pPr>
        <w:jc w:val="both"/>
        <w:spacing w:after="0" w:line="269" w:lineRule="auto"/>
        <w:rPr>
          <w:sz w:val="20"/>
          <w:szCs w:val="20"/>
          <w:color w:val="auto"/>
        </w:rPr>
      </w:pPr>
      <w:r>
        <w:rPr>
          <w:rFonts w:ascii="Arial" w:cs="Arial" w:eastAsia="Arial" w:hAnsi="Arial"/>
          <w:sz w:val="17"/>
          <w:szCs w:val="17"/>
          <w:color w:val="auto"/>
        </w:rPr>
        <w:t>OEM suppliers and contract manufacturers. Furthermore, our component OEM suppliers and contract manufacturers may be unable or not required to correct manufacturing defects or other failures of such components of our energy storage products in a manner satisfactory to our customers, which could adversely affect customer satisfaction, market acceptance, and our business reputation. On rare occasions, lithium-ion batteries can rapidly release the energy they contain by venting smoke and flames in a manner that can ignite nearby materials as well as other lithium-ion batteries. This faulty result could subject us to lawsuits, product recalls, or redesign efforts, all of which would be time consuming and expensive. For example, in April 2019, the McMicken energy storage facility in Arizona experienced a thermal event and subsequent explosion, injuring several first responders and making the facility inoperable. The facility was built prior to the creation of Fluence and was under a maintenance contract with Fluence. The response and investigation required significant expense and the devotion of significant management time. Also, negative public perception regarding the suitability of lithium-ion batteries for energy applications or any future incident involving lithium-ion batteries, such as a plant, vehicle or other fire, even if such incident does not involve hardware provided by us, could adversely affect our business and reputation.</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be subject to legal claims that our hardware and software-enabled services have malfunctioned and persons were injured or purported to be injured. Any insurance that we carry may not be sufficient or it may not apply to all situations.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 For example, on September 4, 2021, a 300 MW energy storage facility owned by one of our customers experienced an overheating event. Fluence served as the energy storage technology provider and designed and installed portions of the facility, which was completed earlier in fiscal year 2021. No injuries were reported from the incident. Our customer released initial findings in the second fiscal quarter of 2022 on what it contends is the root cause of the incident. The facility was taken offline as teams from Fluence, our customer, and the battery designer/manufacturer investigated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 Fluence has denied liability. No formal legal proceedings have been commenced, but it is reasonably possible that litigation may result from this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if any, that this incident may have on our financial results. To date, we do not believe that this incident has impacted the market’s adoption of our products.</w:t>
      </w:r>
    </w:p>
    <w:p>
      <w:pPr>
        <w:spacing w:after="0" w:line="1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Fluence Mosaic generates artificial intelligence-enabled bid recommendations for utility-scale storage and renewable generation assets, enabling customers to optimize asset trading in wholesale electricity markets. While we are generally not regulated as a utility or a broker-dealer, customers of Fluence Mosaic are regulated market participants. We could experience scrutiny from regulators on the provision of Fluence Mosaic bid recommendations to our customers and use of such application and the related technologies by our customers. Fluence Nispera, which optimizes renewable asset performance with real-time monitoring, automated reporting, and AI-powered analytics, integrates asset data with intelligent machine learning models and visualization tools. Both of these digital applications could experience a software anomaly, that could result in an unexpected, material adverse event for our customer, therefore damaging our reputation and business.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defects or errors in product or services offerings, or the perception of such defects or errors, or other performance problems could result in any of the following, each of which could adversely affect our business, financial condition, and results of operations:</w:t>
      </w:r>
    </w:p>
    <w:p>
      <w:pPr>
        <w:spacing w:after="0" w:line="143" w:lineRule="exact"/>
        <w:rPr>
          <w:sz w:val="20"/>
          <w:szCs w:val="20"/>
          <w:color w:val="auto"/>
        </w:rPr>
      </w:pPr>
    </w:p>
    <w:p>
      <w:pPr>
        <w:ind w:left="66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expenditure of significant financial and product development resources, including recalls, in efforts to analyze, correct, eliminate, or work around errors or defects;</w:t>
      </w:r>
    </w:p>
    <w:p>
      <w:pPr>
        <w:spacing w:after="0" w:line="12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re-engineering costs;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loss of existing or potential customers or partners;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interruptions or delays in sales;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delayed or lost revenue;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delay or failure to attain market acceptance;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delay in the development or release of new functionality or improvements;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negative publicity and reputational harm;</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sales credits or refunds;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security vulnerabilities, data breaches, and exposure of confidential or proprietary information;</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diversion of development and customer service resources;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breach of warranty claims;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legal claims and regulatory actions under applicable laws, rules, and regulations; and</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expense and risk of litigation.</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have contractual protections, including warranty disclaimers and limitation of liability provisions, in many of our agreements with customers, resellers, and other business partners, such protections may not be uniformly implemented in all contracts and, where implemented, may not fully or effectively protect from claims by customers, resellers,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financial condition, and operating results. In addition, even claims that ultimately are unsuccessful could result in expenditure of funds in litigation, divert management’s time and other resources, and cause reputational harm.</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these technology initiatives could reduce the efficiency of our operations in the short term. The efficient operation and successful growth of our business depends upon our information technology systems. The failure of our information technology systems and the third-party systems we rely on to perform as designed, or our failure to implement and operate them effectively, could disrupt our business or subject us to liability and thereby have a material adverse effect on our business, financial condition, results of operations, and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operating results.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in the ordinary course of business enters into projects globally, which are denominated in foreign currencies such as the Euro, the Pound, and the Australian Dollar, and is therefore subject to fluctuations due to changes in foreign currency exchange rates. In particular, current geopolitical instability and fiscal and monetary policies have caused, and may continue to cause, significant volatility in the currency exchange rates, and such volatility may continue for the foreseeable future. If our exposure to currency fluctuations increases and we are not able to successfully hedge against all the risks associated with currency fluctuations, our operating results could be adversely affected. Furthermore, such currency fluctuations may also adversely impact our ability to accurately predict our future financial results. Therefore, from time to time, we seek to manage our exposure to foreign currency risk relating to these cash flow projects through entering into different types of hedging arrangements designed to reduce such risk exposure. However, there can be no assurance that our hedging activities will successfully reduce our risk exposure. In addition, there may be unforeseen events affecting our business that could lead us to be long in positions that we did not anticipate when such hedging transactions were put into place which in turn could lead to adverse effects on our financial position.</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current and planned foreign operations expose us to additional business, financial, regulatory, geopolitical, and other related risks which may have a material adverse effect on our business.</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sell our products and have operations in a number of different countries, including, but not limited to, the United States, the United Kingdom, multiple European Union countries, Chile, Australia, Taiwan, India and the Philippines. We have in the past, and may in the future, evaluate and take advantage of opportunities to expand into new geographic markets and introduce new product offerings and services that are a natural extension of our existing business internationally. We also may from time to time engage in acquisitions of businesses or product lines with the potential to strengthen our market position, enable us to enter attractive markets, expand our technological capabilities, or provide synergy opportunities in those geographic markets we currently are in or in other geographic markets that we have not yet penetrated.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international operations and the markets in which we operate or that we may operate in in the future expose us to risks, including:</w:t>
      </w:r>
    </w:p>
    <w:p>
      <w:pPr>
        <w:spacing w:after="0" w:line="198" w:lineRule="exact"/>
        <w:rPr>
          <w:sz w:val="20"/>
          <w:szCs w:val="20"/>
          <w:color w:val="auto"/>
        </w:rPr>
      </w:pPr>
    </w:p>
    <w:p>
      <w:pPr>
        <w:jc w:val="both"/>
        <w:ind w:left="660" w:hanging="328"/>
        <w:spacing w:after="0" w:line="23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compliance with multiple, potentially conflicting and changing governmental laws, regulations and permitting processes, including trade, labor, environmental, banking, employment, privacy and data protection laws and regulations, such as the EU Data Privacy Directive, as well as tariffs, export quotas, customs duties and other trade restrictions;</w:t>
      </w:r>
    </w:p>
    <w:p>
      <w:pPr>
        <w:spacing w:after="0" w:line="13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compliance with U.S. and foreign anti-bribery laws, including the Foreign Corrupt Practices Act of 1977, as amended;</w:t>
      </w:r>
    </w:p>
    <w:p>
      <w:pPr>
        <w:spacing w:after="0" w:line="17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136" w:lineRule="exact"/>
        <w:rPr>
          <w:rFonts w:ascii="Arial" w:cs="Arial" w:eastAsia="Arial" w:hAnsi="Arial"/>
          <w:sz w:val="22"/>
          <w:szCs w:val="22"/>
          <w:color w:val="auto"/>
        </w:rPr>
      </w:pPr>
    </w:p>
    <w:p>
      <w:pPr>
        <w:ind w:left="700" w:hanging="368"/>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limited or unfavorable intellectual property protection;</w:t>
      </w:r>
    </w:p>
    <w:p>
      <w:pPr>
        <w:spacing w:after="0" w:line="17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geopolitical or economic conditions or uncertainty, which may include war, political instability or unrest, or terrorism (such as the current armed conflict between Ukraine and Russia);</w:t>
      </w:r>
    </w:p>
    <w:p>
      <w:pPr>
        <w:spacing w:after="0" w:line="153" w:lineRule="exact"/>
        <w:rPr>
          <w:rFonts w:ascii="Arial" w:cs="Arial" w:eastAsia="Arial" w:hAnsi="Arial"/>
          <w:sz w:val="22"/>
          <w:szCs w:val="22"/>
          <w:color w:val="auto"/>
        </w:rPr>
      </w:pPr>
    </w:p>
    <w:p>
      <w:pPr>
        <w:ind w:left="700" w:hanging="368"/>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restrictions on the repatriation of earnings;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different customer and sales practices including longer sales cycles, warranty expectations, and product return policies;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cost, performance, and compatibility requirements;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fluctuations in the value of foreign currencies and global inflation.</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conditions listed above are generally beyond our ability to control, influence or predict and could have a material adverse effect on our business, financial position, results of operations and liquidity.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Our hardware and software-enabled services involve a lengthy sales and installation cycle, and if we fail to close sales on a regular and timely basis it could adversely affect our business, financial condition, and results of operations.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sales cycle is typically twelve months for our hardware and software-enabled services but can vary considerably, typically between three months to twelve months. In order to make a sale, we must often provide a significant level of education to prospective customers regarding the use and benefits of our hardware and software-enabled services.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period between initial discussions with a potential customer and the sale of an energy storage product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cycle is subject to a number of significant risks over which we have little or no control. Because of both the long sales cycle, we may expend significant resources without having certainty of generating a sale.</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These lengthy sales and installation cycles increase the risk that our customers may fail to satisfy their payment obligations, cancel orders before the completion of the transaction, or delay the planned date for installation. Cancellation rates may be impacted by factors outside of our control including an inability to install an energy storage product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in the installations process, our business, financial condition, and results of operations could be adversely affected.</w:t>
      </w:r>
    </w:p>
    <w:p>
      <w:pPr>
        <w:spacing w:after="0" w:line="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Additionally, we have long-term, multi-year service contracts with some of our customers. If those contracts are terminated or if we are unable to continue to fulfill the obligations under such contracts,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included in our pipeline and contracted backlog may not result in actual revenue or translate into profits.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Information about our pipeline and contracted backlog included in this Annual Report is based on numerous assumptions and limitations, calculated using our internal data that has not been independently verified by third parties and may not provide an accurate indication of our future or expected results. Pipeline is monitored by management to understand the growth of our Company and our estimated future revenue related to customer contracts for our battery-based energy storage products and services. Pipeline and backlog are not prepared or audited in accordance with U.S. GAAP. We cannot guarantee that our pipeline or contracted backlog will result in actual revenue in the originally anticipated period, if at all. Our customers operate in a relatively new industry and have based their commitments to us on assumptions about future energy prices, demand levels, regulatory regimes and incentives, among other factors. Further, certain customers may need to obtain financing to fulfill their commitments to us. If the market does not grow as expected, the regulatory environment changes, or customers fail to obtain necessary financial backing, customers may fail to satisfy their minimum purchase commitments to us and we would fail to realize our contracted backlog. Furthermore, our pipeline or contracted backlog may not generate margins equal to historical operating results. We have only recently begun to track our pipeline and contracted backlog on a consistent basis, and as a result, we do not have significant experience in determining the level of realization that we will achieve. Our customers may experience project delays or cancel orders as a result of external market factors and economic or other factors beyond our control. If our pipeline or backlog fails to result in revenue at all or in a timely manner, we could experience a reduction in revenue, profitability, and liquidity. See “Management’s Discussion and Analysis of Financial Condition and Results of Operations—Key Operating Metrics” for additional information regarding our pipeline and contracted backlog.</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establishing mass manufacturing capacity and estimating potential cost savings and efficiencies from anticipated improvements to our manufacturing capabilities.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our manufacturing output achieved to date is already at commercial scale, it is a fraction of what we expect will be necessary to fully meet the demand we see in the market for our products. The manufacturing process for our expected full commercial scale is still being refined and improved. There are risks associated with scaling up manufacturing to larger commercial volumes including, among others, technical or other problems with process scale-up, process reproducibility, stability issues, quality consistency, timely availability of raw materials, supply chain delays and bottlenecks, cost overruns, and adequate definitions or qualifications for safety, reliability, and quality. In addition, in connection with our limited operating history and our significant growth, we have in the past experienced and may in the future experience incurrence of project costs without proper documentation or adhering to our policies and procedures. There is no assurance that our manufacturers will be successful in establishing a larger-scale commercial manufacturing process that achieves our objectives for manufacturing capacity and cost per battery, in a timely manner or at all. If we are unable to produce sufficient quantities of products on a timely basis and in a cost-effective manner, the Company’s commercialization efforts would be impaired which could materially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28" w:name="page29"/>
    <w:bookmarkEnd w:id="28"/>
    <w:p>
      <w:pPr>
        <w:jc w:val="both"/>
        <w:spacing w:after="0" w:line="381" w:lineRule="auto"/>
        <w:rPr>
          <w:sz w:val="20"/>
          <w:szCs w:val="20"/>
          <w:color w:val="auto"/>
        </w:rPr>
      </w:pPr>
      <w:r>
        <w:rPr>
          <w:rFonts w:ascii="Arial" w:cs="Arial" w:eastAsia="Arial" w:hAnsi="Arial"/>
          <w:sz w:val="15"/>
          <w:szCs w:val="15"/>
          <w:b w:val="1"/>
          <w:bCs w:val="1"/>
          <w:i w:val="1"/>
          <w:iCs w:val="1"/>
          <w:color w:val="auto"/>
        </w:rPr>
        <w:t>If our estimates of useful life for our energy storage products and related hardware and software-enabled services are inaccurate or if our component OEM suppliers do not meet service and performance warranties and guarantees, our business and financial results could be adversely affected.</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sell hardware products and software-enabled services to our customers. Our software-enabled services are essential to the operation of these hardware products. Our pricing of services contracts is based upon the value we expect to deliver to our customers, including considerations such as the useful life of the energy storage product and prevailing electricity prices. We also provide warranties and guarantees covering the efficiency and performance of certain of our products and digital applications. 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As part of growing our business, we have made and expect to continue to make acquisitions. If we fail to successfully select, execute, or integrate our acquisitions, then our business and operating results could be adversely affected and our stock price could decline.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continuously evaluate potential acquisitions to add new product lines and technologies, gain new sales channels, or enter into new sales territories. For example, in 2022, we acquired Fluence Energy AG (formerly known as Nispera AG), a Zurich based provider of artificial intelligence (AI) and in 2020, we acquired AMS’ software and digital intelligence platform, which has become Fluence Mosaic. Acquisitions involve numerous risks and challenges, including but not limited to the following:</w:t>
      </w:r>
    </w:p>
    <w:p>
      <w:pPr>
        <w:spacing w:after="0" w:line="1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integrating the companies, assets, systems, products, sales channels, and personnel that we acquire;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higher than anticipated acquisition and integration costs and expenses;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reliance on third parties to provide transition services for a period of time after closing to ensure an orderly transition of the business;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growing or maintaining revenues to justify the purchase price and the increased expenses associated with acquisitions;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entering into territories or markets with which we have limited or no prior experience;</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establishing or maintaining business relationships with customers, vendors, and suppliers who may be new to us;</w:t>
      </w:r>
    </w:p>
    <w:p>
      <w:pPr>
        <w:spacing w:after="0" w:line="138"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overcoming the employee, customer, vendor, and supplier turnover that may occur as a result of the acquisition;</w:t>
      </w:r>
    </w:p>
    <w:p>
      <w:pPr>
        <w:spacing w:after="0" w:line="17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disruption of, and demands on, our ongoing business as a result of integration activities including diversion of management’s time and attention from running the day to day operations of our business;</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unfavorable tax or accounting treatment;</w:t>
      </w:r>
    </w:p>
    <w:p>
      <w:pPr>
        <w:spacing w:after="0" w:line="174"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inability to implement uniform standards, disclosure controls and procedures, internal controls over financial reporting, and other procedures and policies in a timely manner;</w:t>
      </w:r>
    </w:p>
    <w:p>
      <w:pPr>
        <w:spacing w:after="0" w:line="17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inability to realize the anticipated benefits of or successfully integrate with our existing business the businesses, products, technologies or personnel that we acquire; and</w:t>
      </w:r>
    </w:p>
    <w:p>
      <w:pPr>
        <w:spacing w:after="0" w:line="153"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potential post-closing disputes.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part of undertaking an acquisition, we may also significantly revise our capital structure or operational budget, including through issuing common stock that would dilute the ownership percentage of our stockholders, assuming liabilities or debt, utilizing a substantial portion of our cash resources to pay for the acquisition, or significantly increasing operating expenses.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customer relationships, business, financial results and reputation may be adversely impacted due to events and incidents relating to storage, delivery, installation, operation, maintenance and shutdowns of our energy storage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jc w:val="both"/>
        <w:ind w:firstLine="324"/>
        <w:spacing w:after="0" w:line="271" w:lineRule="auto"/>
        <w:rPr>
          <w:sz w:val="20"/>
          <w:szCs w:val="20"/>
          <w:color w:val="auto"/>
        </w:rPr>
      </w:pPr>
      <w:r>
        <w:rPr>
          <w:rFonts w:ascii="Arial" w:cs="Arial" w:eastAsia="Arial" w:hAnsi="Arial"/>
          <w:sz w:val="17"/>
          <w:szCs w:val="17"/>
          <w:color w:val="auto"/>
        </w:rPr>
        <w:t>Our customer relationships, business, financial results, and reputation may be adversely impacted due to events and incidents relating to storage, delivery, installation, operation and shutdowns of our energy storage products, including events and incidents outside of our control. We are subject to various risks as a result of the size, weight, and sophisticated nature of our energy storage products, including exposure to production, delivery, supply chain, inventory, installation and maintenance issues. Such issues may, and from time to time have, result in financial losses, including losses resulting from our failure to deliver or install our energy storage products on a contractually agreed timeframe, or losses resulting from agreed warranty or indemnity terms. Furthermore, issues and incidents involving our customers or their facilities at which our energy storage products are located, whether or not attributable to our energy storage products, may have an adverse effect on our reputation and customer relationships. Any of these developments could have a material adverse effect on our business, financial condition,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Actual or threatened health epidemics, pandemics or similar public health threats, such as the COVID-19 pandemic, have had and could in the future have a material adverse effect on our business, outlook, financial condition, results of operations and liquidity.</w:t>
      </w:r>
    </w:p>
    <w:p>
      <w:pPr>
        <w:spacing w:after="0" w:line="89"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color w:val="auto"/>
        </w:rPr>
        <w:t>The global markets in which we operate have been impacted by and continue to be impacted by the COVID-19 pandemic. Our business has been impacted by the COVID-19 pandemic and in the future could continue to be adversely affected by COVID-19 or other health pandemics, epidemics or similar public health threats. There continues to be uncertainty around the COVID-19 pandemic, its ultimate duration, and its impact on U.S. and global</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economic activity and consumer behavior. As a result of the COVID-19 pandemic, our ground operations at project sites, our manufacturing facilities and our suppliers and vendors have been in the past and could be disrupted by worker absenteeism, quarantines, shortage of COVID-19 test kits and personal protection equipment for employees, office and factory closures, disruptions to ports and other shipping infrastructure, or other travel or health-related restrictions. For example, our suppliers and vendors in Asia have been particularly impacted by business closures and disruptions to ports and other shipping infrastructure arising out of the COVID-19 pandemic and the rise of certain variants over the course of the last two years. If our ground operations at project sites, our manufacturing facilities and our suppliers or vendors are so affected in the future, our supply chain, manufacturing and product shipments will be delayed, which could adversely affect our business, operations, and customer relationships.</w:t>
      </w:r>
    </w:p>
    <w:p>
      <w:pPr>
        <w:spacing w:after="0" w:line="18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6"/>
          <w:szCs w:val="16"/>
          <w:color w:val="auto"/>
        </w:rPr>
        <w:t>Overall, our revenue for fiscal year 2022 has been negatively affected by impacts related to the COVID-19 pandemic, such as continued delays in shipping energy storage products and components thereof and temporary closures of customer construction sites. Additionally, we saw COVID-19 driven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lockdowns in key areas for our battery suppliers, such as China, that resulted in our battery suppliers issuing delay notices to us. Due to the delays from our battery suppliers, some of our intended projects were delayed, resulting in lower revenue recognition. Additionally, some of our projects that were delayed because of COVID-19 supply chain disruptions also incurred liquidated damages payable to our customers resulting in decreased profitability. If this continues into fiscal year 2023, we could face adverse effects to our business and results of operations.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could encounter in the future project delays and resulting liquidated damages claims from customers due to impacts on suppliers, customers, or others. The duration and intensity of these impacts and resulting disruption to our operations is uncertain and continues to evolve. The extent to which these events may impact our business will depend on future developments, which are highly uncertain and cannot be predicted at this time. Accordingly, management will continue to monitor the impact of the global situation on its financial condition, liquidity, operations, suppliers, industry, and workforce.</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scope and duration of the pandemic, including any current or future resurgences, the pace at which government restrictions are lifted or whether additional actions may be taken to contain the virus, the impact on our customers and suppliers, the speed and extent to which markets recover from the disruptions caused by the pandemic, and the impact of these factors on our business, will depend on future developments that are highly uncertain and cannot be predicted with confidence. The impact of the COVID-19 pandemic may also exacerbate other risks discussed herein, any of which could have a material adverse effect on our business, results of operations, or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renewable energy technologies are not suitable for widespread adoption or sufficient demand for our hardware and software-enabled services does not develop or takes longer to develop than we anticipate, our sales may decline, and we may be unable to achieve or sustain profitability.</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as anticipated, we would be unable to achieve expected level of sales and revenue and market share.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6"/>
          <w:szCs w:val="16"/>
          <w:color w:val="auto"/>
        </w:rPr>
        <w:t>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governmental regulations regarding renewable energy generation, and the availability or effectiveness of government subsidies and incentives.</w:t>
      </w:r>
    </w:p>
    <w:p>
      <w:pPr>
        <w:spacing w:after="0" w:line="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growth and profitability of our business is largely dependent upon the continued decline in the overall cost of battery storage. Over the last decade the cost of battery storage products, particularly lithium-ion based battery storage products, have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products of our component OEM suppliers. However, in fiscal year 2022, we saw battery prices increase for the first time and as a result, we had to adopt a different contracting strategy to ensure preservation of margin. If for any reason going forward our component OEM suppliers are unable to continue to reduce the price of their battery storage products, as they have historically done prior to fiscal year 2022, our business and financial condition may be negatively impacted.</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total addressable market are inaccurate, our future growth rate may be affected, and the potential growth of our business may be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Market estimates and growth forecasts are subject to significant uncertainty and are based on assumptions and estimates that may prove to be inaccurate. Even if the market in which we compete meets our size estimates and forecasted growth, our business could fail to grow at similar rates, if at all. The assumptions relating to our market opportunity include, but are not limited to, the following: (i) according to BloombergNEF, global energy storage capacity grew 63% per annum between 2015 and 2020 and is expected to grow at a further 21% compound annual growth rate through 2030 based on the Energy Storage Market Outlook dated October 2022 ; (ii) declines in lithium-ion battery costs and in the cost of renewable generation; (iii) growing demand for renewable energy; and (iv) increased complexity of the electrical grid. Our market opportunity is also based on the assumption that our existing and future offerings will be more attractive to our customers and potential customers than competing products and services. If these assumptions prove inaccurate, our business, financial condition, and results of operations could be adversely affected. For more information regarding our estimates of market opportunity and the forecasts of market growth included herein, see the section entitled “Business.”</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Existing electric utility industry policies and regulations, and any subsequent changes, may present technical, regulatory, and economic barriers to the purchase and use of energy storage products that may significantly reduce demand for our products or harm our ability to compete.</w:t>
      </w:r>
    </w:p>
    <w:p>
      <w:pPr>
        <w:spacing w:after="0" w:line="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w:t>
      </w:r>
    </w:p>
    <w:p>
      <w:pPr>
        <w:jc w:val="both"/>
        <w:spacing w:after="0" w:line="275" w:lineRule="auto"/>
        <w:rPr>
          <w:sz w:val="20"/>
          <w:szCs w:val="20"/>
          <w:color w:val="auto"/>
        </w:rPr>
      </w:pPr>
      <w:r>
        <w:rPr>
          <w:rFonts w:ascii="Arial" w:cs="Arial" w:eastAsia="Arial" w:hAnsi="Arial"/>
          <w:sz w:val="17"/>
          <w:szCs w:val="17"/>
          <w:color w:val="auto"/>
        </w:rPr>
        <w:t>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 would-be system purchasers. The resulting reductions in demand for energy storage products could harm our business, prospects, financial condition, and results of operations.</w:t>
      </w:r>
    </w:p>
    <w:p>
      <w:pPr>
        <w:spacing w:after="0" w:line="10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w:t>
      </w:r>
    </w:p>
    <w:p>
      <w:pPr>
        <w:spacing w:after="0" w:line="4" w:lineRule="exact"/>
        <w:rPr>
          <w:sz w:val="20"/>
          <w:szCs w:val="20"/>
          <w:color w:val="auto"/>
        </w:rPr>
      </w:pPr>
    </w:p>
    <w:p>
      <w:pPr>
        <w:jc w:val="both"/>
        <w:ind w:firstLine="8"/>
        <w:spacing w:after="0" w:line="295" w:lineRule="auto"/>
        <w:tabs>
          <w:tab w:leader="none" w:pos="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1" w:name="page32"/>
    <w:bookmarkEnd w:id="31"/>
    <w:p>
      <w:pPr>
        <w:jc w:val="both"/>
        <w:ind w:firstLine="324"/>
        <w:spacing w:after="0" w:line="272" w:lineRule="auto"/>
        <w:rPr>
          <w:sz w:val="20"/>
          <w:szCs w:val="20"/>
          <w:color w:val="auto"/>
        </w:rPr>
      </w:pPr>
      <w:r>
        <w:rPr>
          <w:rFonts w:ascii="Arial" w:cs="Arial" w:eastAsia="Arial" w:hAnsi="Arial"/>
          <w:sz w:val="17"/>
          <w:szCs w:val="17"/>
          <w:color w:val="auto"/>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is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 increase in interest rates or a reduction in the availability of tax equity or project debt capital in the global financial markets could make it difficult for end customers to finance the cost of a renewable energy storage system and could reduce the demand for our products.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end users depend on financing to fund the initial capital expenditure required to purchase our products and services as a result of the significant up-front costs. Their ability to attract third-party financing depends on many factors that are outside of our control, including the ability of third parties to utilize tax credits and other government incentives, interest rate and/or currency exchange fluctuations, their perceived creditworthiness and the condition of credit markets generally. As a result, an increase in interest rates or a reduction in the supply of project debt or tax equity financing could reduce the number of customer projects that receive financing or otherwise make it difficult for our customers or their customers to secure the financing necessary to construct a renewable energy system on favorable terms, or at all, and thus lower demand for our products, which could limit our growth or reduce our net sales. In addition, we believe that a significant percentage of end-users construct renewable energy storage systems as an investment, funding a significant portion of the initial capital expenditure with financing from third parties. An increase in interest rates could lower an investor’s return on investment, increase equity requirements, or make alternative investments more attractive relative to our products and services and, in each case, could cause these end users to seek alternative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regulations could materially adversely affect our business, financial condition, results of operations, and prospects.</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any and all of which could have a material adverse effect on our business, financial condition, results of operations, and prospects.</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Governmental agencies in the jurisdictions in which we and our affiliates do business, as well as the Organization for Economic Cooperation and Development (the “OECD”), have recently focused on issues related to the taxation of multinational business, including issues relating to “base erosion and profit shifting,” where profits are reported as earned for tax purposes in relatively low-tax jurisdictions or payments are made between affiliates in jurisdictions with different tax rates. The OECD has released several components of its comprehensive plan to create an agreed set of international rules for addressing base erosion and profit shifting, and governmental authorities from various jurisdictions (including the United States) continue to discuss potential legislation and other reforms, including proposals for global minimum tax rates.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operate in numerous jurisdictions, the application of tax laws can be subject to diverging and sometimes conflicting interpretations by tax authorities of these jurisdictions. It is not uncommon for taxing authorities in different countries to have conflicting views, for instance with respect to whether a permanent establishment exists in a particular jurisdiction, the manner in which an arm’s length standard is applied for transfer pricing purposes, or with respect to the valuations of intellectual property. For example, if a taxing authority in one country where we operate were to reallocate income from another country where we operate, and if the taxing authority in the second country did not agree with the reallocation asserted by the first country, then we could be subject to tax on the same income in both countries, resulting in double taxation. If taxing authorities were to allocate income to a higher tax jurisdiction, subject our income to double taxation or assess interest and penalties, our tax liabilities could increase, which could adversely affect our business, financial condition, and results of operations.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potential for changes to tax laws and regulations or changes to the interpretation thereof (including regulations and interpretations pertaining to recent tax reforms in the United States), the ambiguity of tax laws and regulations, the subjectivity of factual interpretations, the complexity of our intercompany arrangements, uncertainties regarding the geographic mix of earnings in any particular period, and other factors, our estimates of effective tax rate and income tax assets and liabilities may be incorrect and our financial statements could be adversely affected, and the resulting impacts may vary substantially from period to period.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particular, in the United States, there have been multiple significant changes recently proposed (including the passing of the Inflation Reduction Act of 2022 signed into law by President Biden on August 16, 2022) to the taxation of business entities, including, among other things, an increase in the U.S. federal corporate income tax rate, a transition to graduated rates, an increase in the tax 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2" w:name="page33"/>
    <w:bookmarkEnd w:id="32"/>
    <w:p>
      <w:pPr>
        <w:jc w:val="both"/>
        <w:spacing w:after="0" w:line="279" w:lineRule="auto"/>
        <w:rPr>
          <w:sz w:val="20"/>
          <w:szCs w:val="20"/>
          <w:color w:val="auto"/>
        </w:rPr>
      </w:pPr>
      <w:r>
        <w:rPr>
          <w:rFonts w:ascii="Arial" w:cs="Arial" w:eastAsia="Arial" w:hAnsi="Arial"/>
          <w:sz w:val="17"/>
          <w:szCs w:val="17"/>
          <w:color w:val="auto"/>
        </w:rPr>
        <w:t>applicable to global intangible low-taxed income and elimination of certain exemptions, and various other changes to the U.S. international tax regime. While we are analyzing the impact of the Inflation Reduction Act, we are currently unable to predict whether other proposed changes will occur and, if so, when they would be effective or the ultimate impact on us or our business. To the extent that such changes have a negative impact on us or our business, these changes may materially and adversely impact our business, financial condition, and results of operations.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amounts of taxes we pay are subject to current or future audits by taxing authorities in the United States and all other jurisdictions in which we operate. If audits result in additional payments or assessments different from our reserves, our future results may include unfavorable adjustments to our tax liabilities, and our financial statements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required to comply with national, state, local, and foreign laws and regulations regarding the protection of the environment, health, and safety. We may incur expenses, or be subject to liability, related to the transportation, storage, or disposal of lithium-ion batteries, or other materials used in our products.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Liability under these laws and regulations can be imposed on a joint and several basis and without regard to fault or the legality of the activities giving rise to the claim. In addition, future developments such as more aggressive enforcement policies or the discovery of presently unknown environmental conditions may require expenditures that could have an adverse effect on our business, financial condition, and results of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incentives for, or regulations mandating the use of, renewable energy could reduce demand for energy storage products and harm our business.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Federal, state, local, and foreign government bodies provide incentives to owners, end users, distributors, system integrators and manufacturers of renewable energy products to promote renewable electricity in the form of rebates, tax credits and other financial incentives. The range and duration of these incentives varies widely by jurisdiction. Our customers typically use our products for grid-connected applications wherein power is sold under a power purchase agreement or into an organized electric market. The reduction, elimination, or expiration of government incentives for grid-connected electricity may negatively affect the competitiveness of our offerings relative to conventional renewable sources of electricity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therefore could harm our business and cash flows.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2022, the United States passed the Inflation Reduction Act of 2022 (the “IRA”), which includes a number of government incentives that support the adoption of energy storage products and services and are anticipated to benefit the Company and its operations. Forthcoming guidance to implement the IRA from the U.S. Department of Treasury and other federal administrative agencies could be drafted in such manner that would not be as anticipated and may be adverse to the Company’s interests.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Revenue from any projects we support may be adversely affected if there is a decline in public acceptance or support of renewable energy, or regulatory agencies, local communities, or other third parties delay, prevent, or increase the cost of constructing and operating customer projects.</w:t>
      </w:r>
    </w:p>
    <w:p>
      <w:pPr>
        <w:spacing w:after="0" w:line="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persons, associations and groups could oppose renewable energy projects in general or our customers’ projects specifically, citing, for example, misuse of water resources, landscape degradation, land use, food scarcity or price increase, and harm to the environment. Moreover, regulation may restrict the development of renewable energy plants in certain areas. In order to develop a renewable energy project, our customers are typically required to obtain, among other things, environmental impact permits or other authorizations and building permits, which in turn require environmental impact studies to be undertaken and public hearings and comment periods to be held during which any person, association, or group may oppose a project. Any such opposition may be taken into account by government officials responsible for granting the relevant permits, which could result in the permits being delayed or not being granted or being granted solely on the condition that our customers carry out certain corrective measures to the proposed project.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Severe weather events, including the effects of climate change, are inherently unpredictable and may have a material adverse effect on our financial results and financial condition.</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including our customers and suppliers, may be exposed to severe weather events and natural disasters, such as tornadoes, tsunamis, tropical storms (including hurricanes), earthquakes, windstorms, hailstorms, severe thunderstorms, wildfires, and other fires, which could cause operating results to vary significantly from one period to the next. We may incur losses in our business in excess of: (1) those experienced in prior years, (2) the average expected level used in pricing, or (3) current insurance coverage limits. The incidence and severity of severe weather conditions and other natural disasters are inherently unpredictable. Climate change may affect the occurrence of certain natural events, such as an increase in the frequency or severity of wind and thunderstorm events, and tornado or hailstorm events due to increased convection in the atmosphere; more frequent wildfires and subsequent landslides in certain geographies; higher incidence of deluge flooding; and the potential for an increase in severity of the hurricane events due to higher sea surface temperatures. Additionally, climate change may adversely impact the demand, price, and availability of insurance. Due to significant variability associated with future changing climate conditions, we are unable to predict the impact climate change will have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revolving credit facility imposes certain restrictions that may affect our ability to operate our business and make payments on our indebtedness.</w:t>
      </w:r>
    </w:p>
    <w:p>
      <w:pPr>
        <w:spacing w:after="0" w:line="3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entered into a Revolving Credit Agreement for a $190.0 million secured revolving credit facility (the “Revolver”) on November 1, 2021. On June 30, 2022, we increased the revolving commitment available under the Revolver by $10.0 million to an aggregate of $200.0 million. The Revolver contains covenants that, among other things, restrict our ability to incur additional indebtedness; incur liens; sell, transfer, or dispose of property and assets; invest; make dividends or distributions or other restricted payments and engage in affiliate transactions. In addition, we are required to maintain (i) minimum liquidity and gross revenue requirements, in each case, until consolidated EBITDA reaches a certain specified threshold and we make an election, and (ii) thereafter, a maximum total leverage ratio and a minimum interest coverage ratio. See “Management’s Discussion and Analysis of Financial Condition and Results of Operations—Liquidity and Capital Resources—Revolving Credit Facility” for further discussion of the Revolver. The Revolver limits our ability to make certain payments, including dividends or distributions on Fluence Energy, LLC’s equity and other restricted payments, provided, however, that payments in respect of certain tax distributions under the Fluence Energy LLC Agreement and certain payments under the Tax Receivable Agreement are permitted. See “Management’s Discussion and Analysis of Financial Condition and Results of Operations—Liquidity and Capital Resources—Tax Receivable Agreement” for further discussion of the Tax Receivable Agreement. These restrictions may restrict our current and future operations, particularly our ability to respond to certain changes in our business or industry or take future actions.</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these restrictive covenants can be impacted by events beyond our control and we may be unable to do so. Our Revolver and related security agreements provides that our breach or failure to satisfy certain covenants constitutes an event of default. Upon the occurrence of an event of default, our lenders could elect to declare all amounts outstanding under its debt agreements to be immediately due and payable. In addition, our lenders, to whom we granted a security interest in substantially all of our assets, would have the right to proceed against such assets we provided as collateral pursuant to the Revolver and related security agreement. If the debt under our Revolver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Moreover, the Revolver requires us to dedicate a portion of our cash flow from operations to interest payments, thereby reducing the availability of cash flow to fund working capital, capital expenditures and other general corporate purposes; increasing our vulnerability to adverse general economic, industry, or competitive developments or conditions; and limiting our flexibility in planning for, or reacting to, changes in our business and the industry in which we operate or in pursuing our strategic objectives.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current cash and cash equivalents together with our expected cash from operations, will be sufficient to meet our projected operating requirements for the foreseeable future. However, continued expansion of our business will be expensive, and we may seek additional funds from public and private stock offerings, borrowings under our existing or new credit facilities or other sources which we may not be able to maintain or obtain on acceptable or commercially reasonable terms, if at all. Our capital requirements will depend on many factors, including:</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generated by sales of our offerings;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 and defending and enforcing our patents and other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third-party patents or other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enforcing or defending against non-competition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factors, we may seek to raise additional capital to, among others: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appropriate product inventory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our research and development and protect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defend claims, in litigation or otherwise;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geographic reach;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commercialize our new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companies and license products or intellectual property.</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Such capital may not be available on favorable terms, or at all. Furthermore, if we issue equity or debt securities to raise additional capital, our existing stockholders may experience dilution, and the new equity or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Historically, we have relied on parent corporate guarantees from our affiliates to support project sales. If we are unable to rely on our standalone credit quality or utilize such parent corporate guarantees going forward, it may impact our ability to sell products or establish supplier relationships going forward.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depends on internally developed technology, including hardware, software, databases, confidential information and know-how, the protection of which is crucial to the success of our business. We rely on a combination of patent, trademark, trade-secret, and copyright laws and confidentiality procedures and contractual provisions to protect our intellectual property rights in our internally developed technology. We may, over time, increase our investment in protecting our intellectual property through additional trademark, patent, and other intellectual property filings that could be expensive and time-consuming. Effective patent protection is expensive to develop and maintain and while it is generally less costly to obtain trademark and copyright protection, the aggregate costs of maintaining a portfolio of patents and registered copyrights and trademarks can be substantial, both in terms of initial and ongoing prosecution and maintenance requirements and the costs of enforcing and defending our rights. These measures, however, may not be sufficient to offer us meaningful protection. If we are unable to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and our trade secrets and other confidential information could be disclosed in an unauthorized manner to third parties. Further,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jc w:val="both"/>
        <w:ind w:firstLine="324"/>
        <w:spacing w:after="0" w:line="254"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seek to analyze our competitors’ services, and may in the future seek to enforce our rights against potential infringement. However, the steps we have taken to protect our intellectual property rights may not be adequate to prevent infringement or misappropriation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may result from changes in intellectual property laws as a result of new legislation and from new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by third parties for infringement, misappropriation, dilution, or other violation of their intellectual property or proprietary rights.</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Third parties may in the future assert, that we have infringed, misappropriated, diluted, or otherwise violated their intellectual property rights. 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10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Third parties may hold intellectual property rights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infringed or misappropriated, other parties’ intellectual property rights, particularly as the number of competitors in our market grows and the functionality of applications amongst competitors overlaps.</w:t>
      </w:r>
    </w:p>
    <w:p>
      <w:pPr>
        <w:spacing w:after="0" w:line="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or clients. If we cannot develop or license technology for any allegedly infringing aspect of our business, we would be forced to limit our product or service offerings and may be unable to compete effectively. Any of these events could materially harm our business, financial condition, and results of operations.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or protectable, we may not be able to build name recognition in our markets of interest, and our competitive position may be harmed.</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registered and unregistered trademarks and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members, partners, and clients.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addition, third parties may file for registration of trademarks similar or identical to our trademarks, thereby impeding our ability to build brand identity and possibly leading to market confusion. If they succeed in registering or developing common-law rights in such trademarks, and if we are not successful in challenging such third-party rights, we may not be able to use these trademarks to develop brand recognition of our technologies, products, or services. In addition, there could be potential trademark infringement claims brought by owners of other registered or unregistered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the geographic scope of our business expands, we will need to consider protecting our proprietary technology and content in an increasing number of jurisdictions, a process that is expensive and may not be successful, and accordingly we may choose not to do so in every location. Filing, prosecuting, maintaining, defending, and enforcing intellectual property rights on our products, services, and technologies in all countries throughout the world could be prohibitively expensive, and our intellectual property rights in some countries outside the United States can be less extensive than those in the United States. We do not own and have not registered or applied for intellectual property registrations in all countries outside the United States. Competitors may use our technologies in jurisdictions where we have not obtained protection to develop their own products and services and, further, may export otherwise violating products and services to territories where we have protection but enforcement is not as strong as that in the United States. These products and services may compete with our solutions and services, and our intellectual property rights may not be effective or sufficient to prevent them from competing. In addition, the laws of some foreign countries do not protect certain proprietary rights to the same extent as the laws of the United States, and many companies have encountered significant challenges in establishing and enforcing certain of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1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rights to the same degree at the United States. This could make it difficult for us to stop the misappropriation or other violation of certain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harm our competitive position, business, financial condition, results of operations, and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is highly dependent on maintaining effective information systems as well as the integrity and of the data we use to serve our customers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partners regard as significant.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operations and hinder our ability to provide services, establish appropriate pricing for services, establish reserves, report financial results timely and accurately and maintain regulatory compliance, among other things. If any such failure of our data integrity were to result in the theft, corruption or other harm to the data of our customers, our ability to retain and attract partners or customers may be harmed.</w:t>
      </w:r>
    </w:p>
    <w:p>
      <w:pPr>
        <w:spacing w:after="0" w:line="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must continue to invest in long-term solutions that will enable us to anticipate customer needs and expectations, enhance the customer experience, act as a differentiator in the market, and protect against cybersecurity risks and threats. Despite our implementation of reasonable security measures,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Cybersecurity threat actors employ a wide variety of methods and techniques that are constantly evolving, increasingly sophisticated, and difficult to detect and successfully defend against. We have experienced such incidents in the past, and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past incidents have not had a material effect on our business operations or financial performance, to the extent that any disruption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We cannot guarantee that future cyberattacks, if successful, will not have a material effect on our business or financial results.</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governments have enacted laws requiring companies to provide notice of cyber incidents involving certain types of data, including personal data. These laws may be subject to alterations and revisions, and if we fail to comply with our obligations under such laws in the jurisdictions in which we operate, we could be subject to regulatory action and lawsuits.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protection,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open-source software, which may pose particular risks to our proprietary software and solutions.</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use open-source software in our solutions and will use open-source software in the future. Companies that incorporate open-source software into their solutions have, from time to time, faced claims challenging the use of open-source software and compliance with open-source license terms. Some licenses governing the use of open-source software contain requirements that we make available source code for modifications or derivative works we create based upon the open-source software, and that we license such modifications or derivative works under the terms of a particular open-source license or other license granting third parties certain rights of further use. By the terms of certain open-source licenses, we could be required to release the source code of our proprietary software, and to make our proprietary software available under open-source licenses to third parties at no cost, if we combine or distribute our proprietary software with open-source software in certain manners. Although we monitor our use of open-source software, we cannot assure you that all open-source software is reviewed prior to use in our solutions, that our developers have not incorporated open-source software into our solutions, or that they will not do so in the future. Additionally, the terms of many open-source licenses to which we are subject have not been interpreted by U.S. or foreign courts. There is a risk that open-source software licenses could be construed in a manner that imposes unanticipated conditions or restrictions on our ability to market or provide our solutions as currently marketed or provided. Companies that incorporate open-source software into their products have, in the past, faced claims seeking enforcement of open-source license provisions and claims asserting ownership of open-source software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jc w:val="both"/>
        <w:spacing w:after="0" w:line="269" w:lineRule="auto"/>
        <w:rPr>
          <w:sz w:val="20"/>
          <w:szCs w:val="20"/>
          <w:color w:val="auto"/>
        </w:rPr>
      </w:pPr>
      <w:r>
        <w:rPr>
          <w:rFonts w:ascii="Arial" w:cs="Arial" w:eastAsia="Arial" w:hAnsi="Arial"/>
          <w:sz w:val="17"/>
          <w:szCs w:val="17"/>
          <w:color w:val="auto"/>
        </w:rPr>
        <w:t>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our software. In addition, the terms of open-source software licenses may require us to provide source code that we develop using such open-source software to others on unfavorable license terms. As a result of our current or future use of open-source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open-source software can lead to greater risks than use of third-party commercial software, as open-source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0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 If we fail to comply with our obligations under license and technology agreements with AES and Siemens, we could lose license rights, including to patents and patent applications, which may prove to be material to our business.</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license certain intellectual property, including patents, technologies, and software from third parties, including AES and Siemens,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is found to be invalid or unenforceable, if the licensed intellectual property expires or if we are unable to enter into necessary licenses on acceptable terms. In addition, our rights to certain intellectual property, technologies, and software,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solutions or services in the future.</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or if the licensed intellectual property rights expire,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comply with data privacy and data security laws, regulations and industry standards could have a material adverse effect on our reputation, results of operations or financial condition or have other adverse consequences</w:t>
      </w:r>
      <w:r>
        <w:rPr>
          <w:rFonts w:ascii="Arial" w:cs="Arial" w:eastAsia="Arial" w:hAnsi="Arial"/>
          <w:sz w:val="18"/>
          <w:szCs w:val="18"/>
          <w:color w:val="auto"/>
        </w:rPr>
        <w:t>.</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subject to various laws, related regulations, and industry standards involving data privacy and information security. Such laws and regulations relating to data privacy and information security are continuously evolving and subject to potentially differing interpretations. These requirements may be interpreted and applied in a manner that is inconsistent from one jurisdiction to another or may conflict with other rules or our practices. As a result, our practices may not have complied in the past or may not comply now or in the future with all such laws, regulations, requirements and obligations.</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the United States, there are numerous federal and state data privacy and security laws, rules, and regulations governing the collection, use, storage, sharing, transmission, and other processing of personal information, including federal and state data privacy laws, data breach notification laws, and consumer protection laws. Many state legislatures have adopted legislation that regulates how businesses operate online, including measures relating to privacy, data security, and data breaches. Such legislation includes the California Consumer Privacy Act (“CCPA”), which created new consumer rights, and imposes corresponding obligations on covered businesses, relating to the access to, deletion of, and sharing of personal information collected by covered businesses, including California residents’ right to access and delete their personal information, opt out of certain sharing and sales of their personal information, receive detailed information about how their personal information is used and shared, and may restrict the use of cookies and similar technologies for advertising purposes. The CCPA prohibits discrimination against individuals who exercise their privacy rights, and provides for civil penalties for violations enforceable by the California Attorney General as well as a private right of action for certain data breaches that result in the loss of personal information. This private right of action is expected to increase the likelihood of, and risks associated with, data breach litigation.</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a new California ballot initiative, the California Privacy Rights Act, or the CPRA, was recently passed in California and expands the scope of the CCPA. In particular, the CPRA will restrict use of certain categories of sensitive personal information that we handle; establish restrictions on the retention of personal information; expand the types of data breaches subject to the private right of action; and establish the California Privacy Protection Agency to implement and enforce the new law, as well as impose administrative fines. The majority of the CPRA’s provisions are expected to take effect on January 1, 2023, and additional compliance investment and potential business process changes will likely be required. Virginia, Utah, Colorado, and Connecticut, have passed similar laws, which come into force in 2023, reflecting a trend toward more stringent privacy legislation in the United States. Other states, such as California and Massachusetts, have passed specific laws mandating reasonable security measures for the handling of personal information.</w:t>
      </w:r>
    </w:p>
    <w:p>
      <w:pPr>
        <w:spacing w:after="0" w:line="21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Europe, we are subject to the European Union General Data Protection Regulation 2016/679 and applicable national supplementing laws (“EU GDPR”) and to the United Kingdom General Data Protection Regulation and Data Protection Act 2018 (“UK GDPR”), (the EU GDPR and UK GDPR together referred to as the “GDPR”). The GDPR imposes comprehensive compliance obligations regarding our processing of personal data, including a principle of accountability and the obligation to demonstrate compliance through policies, procedures, training and audit[1]. Further, the GDPR regulates cross-border transfers of personal data out of the European Economic Area and the United Kingdom. On July 16, 2020, the Court of Justice of the European Union (“CJEU”) invalidated the EU-US Privacy Shield Framework (“Privacy Shield”) under which personal data could be transferred from these jurisdictions to relevant self-certified U.S. entities. The CJEU further noted that reliance on the European Commission standard contractual clauses (a potential alternative transfer mechanism to the Privacy Shield) alone may not necessarily be sufficient in all circumstances and that transfers must be assessed on a case-by-case basis. We currently rely on the standard contractual clauses with respect to both intragroup and third party transfers. As the enforcement landscape further develops, and supervisory authorities issue further guidance on international data transfers, and governments agree on additional transfer mechanisms, we could suffer additional costs, complaints and/or regulatory investigations or fines; we may have to stop using certain tools and vendors and make other operational changes; we have had to and will have to implement revised standard contractual clauses for existing intragroup, customer and vendor arrangements within required time frames; and/or it could otherwise affect the manner in which we provide our services, and could adversely affect our business, operations and financial condition. Failure to comply with the EU GDPR and the UK GDPR could result in penalties under each of these regimes independently in respect of the same breach. Penalties for certain breaches are up to the greater of EUR 20 million/ GBP 17.5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2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evolving EU and UK privacy laws on cookies, tracking technologies and e-marketing. If regulators continue their trend of increasing enforcement of the strict approach to opt-in consent for all but essential use cases and given the complex and evolving nature of EU and UK privacy laws, this may lead to substantial costs, require significant systems changes, limit the effectiveness of our marketing activities, require that we divert the attention of our technology personnel, adversely affect our margins, subject us to additional liabilities and there can be no assurances that we will be successful in our compliance efforts.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jc w:val="both"/>
        <w:ind w:firstLine="324"/>
        <w:spacing w:after="0" w:line="254" w:lineRule="auto"/>
        <w:rPr>
          <w:sz w:val="20"/>
          <w:szCs w:val="20"/>
          <w:color w:val="auto"/>
        </w:rPr>
      </w:pPr>
      <w:r>
        <w:rPr>
          <w:rFonts w:ascii="Arial" w:cs="Arial" w:eastAsia="Arial" w:hAnsi="Arial"/>
          <w:sz w:val="18"/>
          <w:szCs w:val="18"/>
          <w:color w:val="auto"/>
        </w:rPr>
        <w:t>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Any failure, or perceived failure, by us to comply with our posted privacy policies or with any federal, state, or international privacy and security laws, regulations, industry standards, or other legal obligations relating to data privacy and information security could adversely affect our reputation, brand and business, and may result in claims, liabilities, proceedings or actions against us by governmental entities or others, or may require us to change our operations. Any such claims, proceedings or actions could hurt our reputation, brand and business, force us to incur significant expenses in defense of such proceedings or actions, distract our management, increase our costs of doing business, and result in the imposition of monetary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provisions of Delaware law, our amended and restated certificate of incorporation, amended and restated bylaws, and our Stockholders Agreement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7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certain provisions of amended and restated certificate of incorporation may be amended only by the affirmative vote of at least 66 2/3% of the voting power represented by our then-outstanding common stock;</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of each of the AES Related Parties, Siemens Related Parties, and the QIA Related Parties (each as defined in the Stockholders Agreement) to nominate certain of our directors;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of our Class B-1 common stock held by our Founders entitle them to five votes per share on all matters presented to our stockholders generally;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consent rights of the Continuing Equity Owners in the Stockholders Agreement.</w:t>
      </w:r>
    </w:p>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15% or more of our voting stock) for a period of three years following the date on which the stockholder became an “interested” stockholder is prohibited, subject to certain exceptions.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$1.235 billion will, in general, qualify as an emerging growth company until the earliest of:</w:t>
      </w:r>
    </w:p>
    <w:p>
      <w:pPr>
        <w:spacing w:after="0" w:line="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$1.235 billion or more;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ind w:left="660"/>
        <w:spacing w:after="0" w:line="277" w:lineRule="auto"/>
        <w:rPr>
          <w:sz w:val="20"/>
          <w:szCs w:val="20"/>
          <w:color w:val="auto"/>
        </w:rPr>
      </w:pPr>
      <w:r>
        <w:rPr>
          <w:rFonts w:ascii="Arial" w:cs="Arial" w:eastAsia="Arial" w:hAnsi="Arial"/>
          <w:sz w:val="18"/>
          <w:szCs w:val="18"/>
          <w:color w:val="auto"/>
        </w:rPr>
        <w:t>under the Securities Exchange Act of 1934, as amended, or the Exchange Act, for a period of at least 12 months, and (3) has filed at least one annual report pursuant to the Exchange Act.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this definition, we are an emerging growth company and may remain an emerging growth company until as late as September 30, 2026. However, we anticipate no longer being an emerging growth company as soon as September 30, 2023. For so long as we are an emerging growth company, we are, among other things:</w:t>
      </w:r>
    </w:p>
    <w:p>
      <w:pPr>
        <w:spacing w:after="0" w:line="7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 be required to hold a nonbinding advisory stockholder vote on executive compensation pursuant to Section 14A(a) of the Exchange Act;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However, for the year-ended September 30, 2022, we have “opted out” of this election and elected to comply with the financial accounting standard effective dates applicable to non-emerging growth companies.</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Class A common stock for the foreseeable future, you may not receive any return on investment unless you sell your Class A common stock for a price greater than that which you paid for it.</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r>
        <w:rPr>
          <w:rFonts w:ascii="Arial" w:cs="Arial" w:eastAsia="Arial" w:hAnsi="Arial"/>
          <w:sz w:val="14"/>
          <w:szCs w:val="14"/>
          <w:color w:val="auto"/>
        </w:rPr>
        <w:t>.</w:t>
      </w:r>
      <w:r>
        <w:rPr>
          <w:rFonts w:ascii="Arial" w:cs="Arial" w:eastAsia="Arial" w:hAnsi="Arial"/>
          <w:sz w:val="18"/>
          <w:szCs w:val="18"/>
          <w:b w:val="1"/>
          <w:bCs w:val="1"/>
          <w:i w:val="1"/>
          <w:iCs w:val="1"/>
          <w:color w:val="auto"/>
        </w:rPr>
        <w:t xml:space="preserve"> We cannot predict the effect our multiple class structure may have on the market price of our Class A common stock.</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intend to rely on, exemptions from certain corporate governance requirements. You may not have the same protections afforded to stockholders of companies that are subject to such corporate governance requirements.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Continuing Equity Owners have more than 50% of the voting power for the election of directors, and, as a result, we are considered a “controlled company” for the purposes of the Nasdaq rules. As such, we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 The corporate governance requirements and, specifically, the independence standards are intended to ensure directors who are considered independent are free of any conflicting interest that could influence their actions as directors.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ind w:firstLine="324"/>
        <w:spacing w:after="0" w:line="263"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9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including AES Grid Stability, Siemens AG and affiliates, the Blocker Shareholder, and any of our directors nominated by them that is not employed by us or our subsidiaries,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You may be diluted by future issuances of additional Class A common stock or common units in connection with our incentive plans, acquisitions or otherwise; future sales of such shares in the public market, or the expectations that such sales may occur, could lower our stock price.</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2022, we had outstanding a total of 114,873,121 shares of Class A common stock. Of the outstanding shares, 37,793,151 shares held by public investors are freely tradable without restriction or further registration under the Securities Act, other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3" w:name="page44"/>
    <w:bookmarkEnd w:id="43"/>
    <w:p>
      <w:pPr>
        <w:jc w:val="both"/>
        <w:spacing w:after="0" w:line="258" w:lineRule="auto"/>
        <w:rPr>
          <w:sz w:val="20"/>
          <w:szCs w:val="20"/>
          <w:color w:val="auto"/>
        </w:rPr>
      </w:pPr>
      <w:r>
        <w:rPr>
          <w:rFonts w:ascii="Arial" w:cs="Arial" w:eastAsia="Arial" w:hAnsi="Arial"/>
          <w:sz w:val="18"/>
          <w:szCs w:val="18"/>
          <w:color w:val="auto"/>
        </w:rPr>
        <w:t>than any shares held by our affiliates. Any shares of Class A common stock held by our affiliates will be eligible for resale pursuant to Rule 144 under the Securities Act, subject to the volume, manner of sale, holding period and other limitations of Rule 144.</w:t>
      </w:r>
    </w:p>
    <w:p>
      <w:pPr>
        <w:spacing w:after="0" w:line="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addition, we, Fluence Energy, LLC and the Continuing Equity Owners are party to the Fluence Energy, LLC Agreement under which the Continuing Equity Owners (or certain permitted transferees thereof) have the right (subject to the terms of the Fluence Energy, LLC Agreement) to have their common units redeemed from time to time at our election (determined solely by our independent directors (within the meaning of the rules of the Nasdaq) who are disinterested), newly-issued shares of our Class A common stock on a one-for-one basis or a cash payment from the sale of newly issued shares of Class A common stock equal to a volume weighted average market price of one share of Class A common stock for each common unit so redeemed, in each case, in accordance with the terms of the Fluence Energy, LLC Agreement; provided that, at our election (determined solely by our independent directors (within the meaning of the rules of the Nasdaq) who are disinterested), we may effect a direct exchange by us of such Class A common stock or such cash, as applicable, for such common units. The Continuing Equity Owners may exercise such redemption right, subject to certain exceptions, for as long as their common units remain outstanding. For example, in July 2022, Siemens Industry exercised its redemption right with respect to its entire holding of 58,586,695 common units, which we elected to settle through the issuance of 58,586,695 shares of Class A common stock. The market price of shares of our Class A common stock could decline as a result of these redemptions or exchanges or the perception that a redemption or exchange could occur. These redemptions or exchanges, or the possibility that these redemptions or exchanges may occur, also might make it more difficult for holders of our Class A common stock to sell such stock in the future at a time and at a price that they deem appropriate.</w:t>
      </w:r>
    </w:p>
    <w:p>
      <w:pPr>
        <w:spacing w:after="0" w:line="19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we have granted options to acquire shares of Class A common stock pursuant to equity incentives issued pursuant to the 2020 Unit Option Plan of Fluence Energy, LLC (the “Existing Equity Plan”), of which approximately 8,044,880 are outstanding as of November 30, 2022. Further, we have granted phantom shares conveying the right to receive cash or equity based upon the value of Class A common stock, of which 411,783 are outstanding as of November 30, 2022. Finally, we have reserved 9,500,000 shares of Class A common stock for issuance under the Fluence Energy, Inc. 2021 Incentive Award Plan (the “2021 Equity Plan”), of which 2,706,101 have been granted in the form of restricted stock units (“RSUs”) and are outstanding as of November 30, 2022. Any additional Class A common stock that we issue under the 2021 Equity Plan or other equity incentive plans that we may adopt in the future would be dilutive to Class A common stockholders.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future, we may also issue securities in connection with investments, acquisitions or capital raising activities, which could constitute a material</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portion of our then-outstanding shares of Class A common stock. Further in connection with the completion of the IPO, we entered into a Registration Rights Agreement with certain of the Continuing Equity Owners. Any such issuance of additional securities or any exercise of registration rights or the prospect of any such sales, could materially impact the market price of our Class A common stock and could impair our ability to raise capital through future sales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Existing Shareholders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certificate of incorporation limit our Continuing Equity Owners’ and their directors’ and officers’ liability to us or you for breach of fiduciary duty and could also prevent us from benefiting from corporate opportunities that might otherwise have been available to us.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certificate of incorporation provides that, subject to any contractual provision to the contrary, our Continuing Equity Owners will have no obligation to refrain from:</w:t>
      </w:r>
    </w:p>
    <w:p>
      <w:pPr>
        <w:spacing w:after="0" w:line="10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engaging in the same or similar business activities or lines of business as we do;</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doing business with any of our clients, customers, vendors or lessors;</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employing or otherwise engaging any of our officers or employees; or</w:t>
      </w:r>
    </w:p>
    <w:p>
      <w:pPr>
        <w:spacing w:after="0" w:line="152"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making investments in any property in which we may make investments.</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our certificate of incorporation, neither Continuing Equity Owners nor any officer or director of Continuing Equity Owners, except as provided in our certificate of incorporation, will be liable to us or to our stockholders for breach of any fiduciary duty by reason of any of these activities.</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interests or expectancy in corporate opportunities which become known to (i) any of our directors or officers who are also directors, officers, employees or other affiliates of Continuing Equity Owners or their affiliates (except that we and our subsidiaries shall not be deemed affiliates of Continuing Equity Owners or its affiliates for the purposes of the provision), or dual persons, or (ii) our Continuing Equity Owners themselves, and which relate to the business of Fluence or may constitute a corporate opportunity for both our Continuing Equity Owners and us. Generally, neither our Continuing Equity Owners nor our directors or officers who are also dual persons will be liable to us or our stockholders for breach of any fiduciary duty by reason of the fact that any such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7"/>
          <w:szCs w:val="17"/>
          <w:color w:val="auto"/>
        </w:rPr>
        <w:t>pursues or acquires any corporate opportunity for the account of our Continuing Equity Owners or their affiliates, directs, recommends, sells, assigns or otherwise transfers such corporate opportunity to Our Continuing Equity Owners or its affiliates, or does not communicate information regarding such corporate opportunity to us. The corporate opportunity provision may exacerbate conflicts of interest between our Continuing Equity Owners and us because the provision effectively permits one of our directors or officers who also serves as a director, officer, employee, or other affiliate of Our Continuing Equity Owners to choose to direct a corporate opportunity to our Continuing Equity Owners instead of us.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Continuing Equity Owners are not restricted from competing with us in the energy storage business, including as a result of acquiring a company that operates an energy storage business. Due to the significant resources of our Continuing Equity Owners, including their intellectual property (all of which our Continuing Equity Owners retain and certain of which they license to us under the IP License Agreements), financial resources, name recognition and know-how resulting from the previous management of our business, our Continuing Equity Owners could have a significant competitive advantage over us should it decide to utilize these resources to engage in the type of business we conduct, which may cause our operating results and financial condition to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the Continuing Equity Owners, whose interests may differ from those of our public stockholders.</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Continuing Equity Owners control approximately 90.7% of the combined voting power of our common stock through their ownership of both Class A common stock and Class B-1 common stock. The Continuing Equity Owners will, for the foreseeable future, have the ability to substantially influence us through their ownership position over corporate management and affairs. The Continuing Equity Owners are able to, subject to applicable law, and the voting arrangements,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Continuing Equity Owners may in some circumstances conflict with our interests and the interests of our other stockholders, including you. For example, the Continuing Equity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 Continuing Equity Owners’ tax or other considerations, which may differ from the considerations of us or our other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officers and directors may have actual or potential conflicts of interest because of their positions with our Continuing Equity Owners.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Ricardo Falu, Tish Mendoza, Barbara Humpton, Emma Falck, Axel Meier, Chris Shelton and Simon Smith serve on our board of directors and are employed by and have retained their positions with AES, Siemens, or QIA, as applicable. These individuals’ holdings in and compensation from the relevant Continuing Equity Owners may be significant for some of these persons. Their positions at AES, Siemens, or QIA, their compensation from AES, Siemens or QIA and the ownership of any equity or equity awards in AES, Siemens, or QIA, as applicable, may create the appearance of conflicts of interest when these individuals are faced with decisions that could have different implications for our Continuing Equity Owners than the decisions have for us.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our access to our Founders’ brands and reputation, some of our Founders’ relationships, and the brands and reputations of unaffiliated third parties.</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association with our Founders has contributed to our building relationships with our customers due to their recognized brands and products, as well as resources such as their intellectual property and access to third parties’ intellectual property. Any perceived loss of our Founders’ scale, capital base and financial strength, or any actual loss or reduction in the Founders’ ownership in the future, may prompt business partners to reprice, modify or terminate their relationships with us. In addition, our Founders’ reduction of their ownership of our company may cause some of our existing agreements and licenses to be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our Founders, which could result in a decrease in our income.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Third parties may seek to hold us responsible for our Founders’ liabilities. If those liabilities are significant and we are ultimately held liable for them, we cannot assure that we will be able to recover the full amount of our losses from our Founders.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additional taxes as a result of partnership tax audit rules.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be required to pay additional taxes as a result of partnership audit rules under U.S. federal and other applicable income tax law. The Bipartisan Budget Act of 2015 changed the rules applicable to U.S. federal income tax audits of partnerships, including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entities such as Fluence Energy, LLC. Under these rules (which generally are effective for taxable years beginning after December 31, 2017), subject to certain exceptions, audit adjustments to items of income, gain, loss, deduction, or credit of an entity (and any holder’s share thereof) are determined, and taxes, interest, and penalties attributable thereto, are assessed and collected, at the partnership level. Although there is uncertainty about how these rules will continue to be implemented, it is possible that they could result in Fluence Energy, LLC (or any of its subsidiaries that are or have been treated as partnerships for U.S. federal income tax purposes) being required to pay additional taxes, interest, and penalties as a result of an audit adjustment, and we, as an owner of Fluence Energy, LLC (or as an indirect owner of such other entities), could be required to indirectly bear the economic burden of those taxes, interest, and penalties even if they relate to periods prior to the IPO and even though we may not otherwise have been required to pay additional corporate-level taxes as a result of the related audit adjustment.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certain tax liabilities attributable to the Blocker Company as a result of the Transactions.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Transactions, and pursuant to the Blocker Mergers, the Blocker Company merged with and into us. As the successor to the Blocker Company, we will generally succeed to and be responsible for any outstanding or historical liabilities, including tax liabilities, of the Blocker Company, including any liabilities that might be incurred as a result of the Blocker Mergers. Any such liabilities for which we are responsible could have an adverse effect on our liquidity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principal asset is our interest in Fluence Energy, LLC, and, as a result, we depend on distributions from Fluence Energy, LLC to pay our taxes and expenses, including payments under the Tax Receivable Agreement. Fluence Energy, LLC’s ability to make such distributions may be subject to various limitations and restrictions.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Fluence Energy, LLC and its subsidiaries and distributions we receive from Fluence Energy, LLC. There can be no assurance that Fluence Energy, LLC and its subsidiaries will generate sufficient cash flow to distribute funds to us or that applicable state law and contractual restrictions, including negative covenants in our debt instruments, will permit such distributions. The Revolver limits, and our future debt agreements may similarly limit, our ability to make certain payments, including dividends and distributions on Fluence Energy, LLC’s equity, Fluence Energy, Inc.’s equity and other restricted payments.</w:t>
      </w:r>
    </w:p>
    <w:p>
      <w:pPr>
        <w:spacing w:after="0" w:line="12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Fluence Energy, LLC continues to be treated as a partnership for U.S. federal income tax purposes and, as such, generally is not subject to any entity-level U.S. federal income tax. Instead, any taxable income of Fluence Energy, LLC will be allocated to holders of LLC Interests, including us. Accordingly, we incur income taxes on our allocable share of any net taxable income of Fluence Energy, LLC. We expect to use distributions from Fluence Energy, LLC to fund any payments that we are required to make under the Tax Receivable Agreement. Under the terms of the Fluence Energy LLC Agreement, Fluence Energy, LLC is obligated, subject to various limitations and restrictions, including with respect to our debt agreements, to make tax distributions to holders of LLC Interests, including us, although tax distributions may not be paid in whole or in part in certain circumstances, including if Fluence Energy, LLC does not have available cash to make such distributions. In addition to tax expenses, we will also incur expenses related to our operations, including payments under the Tax Receivable Agreement, which we expect could be significant. We intend, as its managing member, to cause Fluence Energy, LLC to make cash distributions to the holders of LLC Interests in an amount sufficient to (1) fund all or part of their tax obligations in respect of taxable income allocated to them and (2) cover our operating expenses, including payments under the Tax Receivable Agreement. However, Fluence Energy, LLC’s ability to make such distributions may be subject to various limitations and restrictions, such as restrictions on distributions that would either violate any contract or agreement to which Fluence Energy, LLC is then a party, including debt agreements, or any applicable law, or that would have the effect of rendering Fluence Energy,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Fluence Energy, LLC does not have sufficient funds to make distributions, our ability to declare and pay cash dividends will also be restricted or impaired. See “—Risks related to ownership of our Class A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6" w:name="page47"/>
    <w:bookmarkEnd w:id="46"/>
    <w:p>
      <w:pPr>
        <w:jc w:val="both"/>
        <w:ind w:firstLine="324"/>
        <w:spacing w:after="0" w:line="268" w:lineRule="auto"/>
        <w:rPr>
          <w:sz w:val="20"/>
          <w:szCs w:val="20"/>
          <w:color w:val="auto"/>
        </w:rPr>
      </w:pPr>
      <w:r>
        <w:rPr>
          <w:rFonts w:ascii="Arial" w:cs="Arial" w:eastAsia="Arial" w:hAnsi="Arial"/>
          <w:sz w:val="17"/>
          <w:szCs w:val="17"/>
          <w:color w:val="auto"/>
        </w:rPr>
        <w:t>As a result of (1) potential differences in the amount of net taxable income allocable to us and to Fluence Energy, LLC’s other equity holders, (2) the lower tax rate applicable to corporations as opposed to individuals, and (3) certain tax benefits that we anticipate from (a) future redemptions or exchanges of LLC Interests from the Founders, (b) payments under the Tax Receivable Agreement and (c) certain other transactions, tax distributions to us may be in amounts that exceed our tax liabilities. Our board of directors will determine the appropriate uses for any excess cash so accumulated, which may include, among other uses, the payment of obligations under the Tax Receivable Agreement. We have no obligation to distribute such cash (or other available cash) to our stockholders. No adjustments to the redemption or exchange ratio or price for LLC Interests and corresponding shares of Class B-1 or Class B-2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Fluence Energy, LLC or its subsidiaries, which may result in shares of our Class A common stock increasing in value relative to the value of LLC Interests. The holders of LLC Interests may benefit from any value attributable to such cash balances or loan receivables if they acquire shares of Class A common stock in exchange for their LLC Interests or otherwise exercise their rights to redeem or exchange their LLC Interests, notwithstanding that such holders may have participated previously as holders of LLC Interests in distributions by Fluence Energy, LLC that resulted in the excess cash balances.</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the Founders requires us to make cash payments to them in respect of certain tax benefits to which we may become entitled, and we expect that such payments will be substantial.</w:t>
      </w:r>
    </w:p>
    <w:p>
      <w:pPr>
        <w:spacing w:after="0" w:line="8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are party to a Tax Receivable Agreement with Fluence Energy, LLC and the Founders. Under the Tax Receivable Agreement, we are required to make cash payments to such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For example, as a result of the July 2022 redemption by Siemens with respect to its entire holding of</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58,586,695 common units of Fluence Energy, LLC, we estimated tax savings of approximately $109.6 million. Siemens will be entitled to receive payments under the Tax Receivable Agreement equaling 85% of such amount, or $93.1 million; assuming, among other factors, (i) we will have sufficient taxable income to fully utilize the tax benefits; (ii) Fluence Energy, LLC is able to fully depreciate or amortize its assets; and (iii) no material changes in applicable tax law. We anticipate funding ordinary course payments under the Tax Receivable Agreement from cash flow from operations of our subsidiaries, available cash or available borrowings under any future debt agreements. We expect that the amount of the cash payments we will be required</w:t>
      </w:r>
    </w:p>
    <w:p>
      <w:pPr>
        <w:spacing w:after="0" w:line="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make under the Tax Receivable Agreement will be substantial. Any payments made by us to the Founders under the Tax Receivable Agreement will not be available for reinvestment in our business and will generally reduce the amount of overall cash flow that might have otherwise been available to us and have a substantial negative impact on our liquidity. To the extent that we are unable to make timely payments under the Tax Receivable Agreement for any reason, the unpaid amounts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The payments under the Tax Receivable Agreement are not conditioned upon continued ownership of us by the redeeming or exchanging Founders.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of exchanges by the Founders; the price of shares of our Class A common stock at the time of the exchange; the extent to which such redemptions or exchanges are taxable; the amount of gain recognized by such Founders;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Founders that will not benefit holders of our Class A common stock to the same extent that it will benefit the Founders.</w:t>
      </w:r>
    </w:p>
    <w:p>
      <w:pPr>
        <w:spacing w:after="0" w:line="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Founders that will not benefit the holders of our Class A common stock to the same extent that it will benefit such Founders. We are party to the Tax Receivable Agreement with Fluence Energy, LLC and certain Founders, which provides for the payment by us to such Founders of 85% of the amount of tax benefits, if any, that we actually realize, or in some circumstances are deemed to realize, as a result of (1) the increases in our share of the tax basis of assets of Fluence Energy, LLC and its subsidiaries resulting from any future redemptions or exchanges of LLC Interests from the Founders and certain distributions (or deemed distributions) by Fluence Energy, LLC and (2)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or significantly exceed any actual benefits we realize in respect of the tax attributes subject to the Tax Receivable Agreement.</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Tax Receivable Agreement provides that if (1) we materially breach any of our material obligations under the Tax Receivable Agreement and the Continuing Equity Owners elect an early termination of the Tax Receivable Agreement, (2) certain mergers, asset sales, other forms of business combinations or other changes of control were to occur after the consummation of the IPO and the Continuing Equity Owners elect an early termination of the Tax Receivable Agreement, or (3) we elect, at any time,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Founders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not be reimbursed for any payments made under the Tax Receivable Agreement in the event that any tax benefits are disallowed.</w:t>
      </w:r>
    </w:p>
    <w:p>
      <w:pPr>
        <w:spacing w:after="0" w:line="1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audit of us or our subsidiaries is reasonably expected to adversely affect the rights and obligations of the Founders under the Tax Receivable Agreement in a material respect, then we will notify the Founders of such audit, keep them reasonably informed with respect thereto, provide them with a reasonable opportunity to provide information and other input concerning the audit or the relevant portion thereof and consider such information and other input in good faith. The interests of such Founders in any such challenge may differ from or conflict with our interests and your interests, and the Founders may exercise their rights relating to any such challenge in a manner adverse to our interests and your interests. We will not be reimbursed for any cash payments previously made under the Tax Receivable Agreement in the event that any tax benefits initially claimed by us and for which payment has been made are subsequently challenged by a taxing authority and are ultimately disallowed. Instead, any excess cash payments made by us will be netted against any future cash payments we might otherwise be required to make to the applicable Founder under the terms of the Tax Receivable Agreement. However, we might not determine that we have effectively made an excess cash payment to a Founder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that are the subject of the Tax Receivable Agreement.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6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Fluence Energy, LLC, applicable restrictions could make it impractical for us to continue our business as contemplated and could have a material adverse effect on our business.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Fluence Energy, LLC intend to conduct our operations so that we will not be deemed an investment company. As the sole managing member of Fluence Energy, LLC, we will control and operate Fluence Energy, LLC. On that basis, we believe that our interest in Fluence Energy, LLC is not an “investment security” as that term is used in the 1940 Act. However, if we were to cease participation in the management of Fluence Energy, LLC, or if Fluence Energy, LLC itself becomes an investment company, our interest in Fluence Energy, LLC could be deemed an “investment security” for purposes of the 1940 Act.</w:t>
      </w:r>
    </w:p>
    <w:p>
      <w:pPr>
        <w:spacing w:after="0" w:line="1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and Fluence Energy,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have and periodically evaluate procedures with respect to our internal control over financial reporting. The process of designing and implementing internal control over financial reporting required to comply with this requirement is time-consuming, costly, and complicated.</w:t>
      </w:r>
    </w:p>
    <w:p>
      <w:pPr>
        <w:spacing w:after="0" w:line="21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Section 404(a) of the Sarbanes-Oxley Act our management is required to assess and report annually on the effectiveness of our internal control over financial reporting and to identify any material weaknesses in our internal control over financial reporting. Once we are no longer an emerging growth company, Section 404(b) of the Sarbanes-Oxley Act will require our independent registered public accounting firm to issue an annual report that addresses the effectiveness of our internal control over financial reporting. If during the evaluation and testing process we identify one or more other material weaknesses in our internal control over financial reporting or determine that existing material weaknesses have not been fully remediated, our management will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discussed in “Item 9A – Controls and Procedures – Management’s Report in Internal Control over Financial Reporting,” as of September 30, 2022, a material weakness in the internal control over the revenue recognition process and the related inventory has not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color w:val="auto"/>
        </w:rPr>
        <w:t>been fully remediated. The Company did not sufficiently design and implement controls related to revenue recognition and related inventory and associated processes, including in-transit and delivered equipment and liquidated damages. We are actively engaged in implementing a remediation plan to address the material weakness.</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material weakness will not be considered fully remediated until management designs and implements effective controls that operate for a sufficient period of time and management has concluded, through testing, that these controls are effective.</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independent registered public accounting firm was not required to, and did not, attest formally or perform an evaluation of the effectiveness of our internal control over financial reporting as of September 30, 2022, in accordance with Section 404(b) of the Sarbanes-Oxley Act. Accordingly, you will not be able to depend on any attestation concerning our internal control over financial reporting from our independent registered public accountants and we cannot assure you that we have identified all, or that we will not in the future have additional, material weaknesses.</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Nasdaq or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been and continue to be subject to claims, lawsuits, government investigations, and other proceedings that arise out of our operations and businesses and that cover a wide range of matters, including, among others, intellectual property matters, contract and employment claims, personal injury claims, product liability claims, and warranty claims. In addition, since our energy storage product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Litigation and regulatory proceedings may be protracted and expensive, and the results are difficult to predict. Certain of these matters include speculative claims for substantial or indeterminate amounts of damages. Unfavorable outcomes or developments relating to proceedings to which we are a party or transactions involving our products and services, such as judgments for monetary damages, injunctions, or denial or revocation of permits, could have a material adverse effect on our business, financial condition, and results of operations. In addition, settlement of claims could adversely affect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corporate headquarters are in Arlington, Virginia, and consist of approximately 17,000 square feet of office space. We lease our corporate headquarters. We also have offices in Alpharetta, Georgia; San Francisco, California; Erlangen, Germany; Zurich, Switzerland; Melbourne, Australia; New Delhi, India; and Taguig City, Philippines. Our Erlangen office includes an energy storage testing facility.</w:t>
      </w:r>
    </w:p>
    <w:p>
      <w:pPr>
        <w:spacing w:after="0" w:line="2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our office space, we also lease operational facilities in Rockville, Maryland; East Huntingdon Township, Pennsylvania; and Los Angeles, California. These facilities are primarily for product staging and storage and research and development activities.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our existing properties are in good condition and are sufficient and suitable for the conduct of our business for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extent our needs change as our business grows, we expect that additional space and facilities will be available.</w:t>
      </w:r>
    </w:p>
    <w:p>
      <w:pPr>
        <w:spacing w:after="0" w:line="23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 have gone through rigorous certification processes at several of our offices and are actively pursuing additional certification at others. The corporate office space and the testing facility in Erlangen are ISO 9001, ISO 14001, and ISO 45001 certified (quality,</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environmental and safety certifications, respectively). Our Melbourne office is ISO 9001 certified, and our U.S. Arlington office is SA8000 certified which is a standard of ethical and decent working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involved in litigation relating to claims that arise out of our operations and businesses and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contingencies, please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elsewhere in this Annual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773" w:right="339" w:bottom="65"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2"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has been listed on the Nasdaq Global Select Market under the symbol “FLNC.” since October 28, 2021. Prior to that date, there was no public market for our Class A common stock.</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B-1 common stock and Class B-2 common stock are not traded in any public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As of November 30, 2022, there was one holder of our Class B-1 common stock, no holders of our Class B-2 common stock, and approximately ten stockholders of record of our Class A common stock, although we believe that because many of our outstanding shares of Class A common stock are held in accounts with brokers and other institutions, we have more beneficial owners.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Class A common stock in the foreseeable future. Holders of our Class B-1 and Class B-2 common stock are not entitled to participate in any dividends declared by our board of directors.</w:t>
      </w:r>
    </w:p>
    <w:p>
      <w:pPr>
        <w:spacing w:after="0" w:line="11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Furthermore, because we are a holding company, our ability to pay cash dividends on our Class A common stock depends on our receipt of cash distributions from Fluence Energy, LLC and, through Fluence Energy, LLC, cash distributions and dividends from our other direct and indirect subsidiaries.</w:t>
      </w:r>
    </w:p>
    <w:p>
      <w:pPr>
        <w:spacing w:after="0" w:line="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Assuming Fluence Energy, LLC makes distributions out of earnings and profits (other than tax distributions and other distributions to pay expenses) to its members in any given year, we currently expect, subject to the determination of our board of directors, to pay dividends on our Class A common stock out of the portion of such distributions remaining after our payment of taxes, Tax Receivable Agreement payments and expenses, and subject to Delaware law. Our ability to pay dividends is restricted by the Revolving Credit Agreement and may similarly be restricted by the terms of any future credit agreement or any future debt or preferred equity securities of us or our subsidiaries. Any future determination as to the declaration and payment of dividends, if any, will be at the discretion of our board of directors and subject to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D0D0D"/>
        </w:rPr>
        <w:t>Class A Common Stock</w:t>
      </w:r>
    </w:p>
    <w:p>
      <w:pPr>
        <w:spacing w:after="0" w:line="1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are authorized to issue 1,200,000,000 shares of common stock, with a par value of $0.00001 per share. There were </w:t>
      </w:r>
      <w:r>
        <w:rPr>
          <w:rFonts w:ascii="Arial" w:cs="Arial" w:eastAsia="Arial" w:hAnsi="Arial"/>
          <w:sz w:val="15"/>
          <w:szCs w:val="15"/>
          <w:color w:val="auto"/>
        </w:rPr>
        <w:t>115,865,811</w:t>
      </w:r>
      <w:r>
        <w:rPr>
          <w:rFonts w:ascii="Arial" w:cs="Arial" w:eastAsia="Arial" w:hAnsi="Arial"/>
          <w:sz w:val="17"/>
          <w:szCs w:val="17"/>
          <w:color w:val="auto"/>
        </w:rPr>
        <w:t xml:space="preserve"> shares of Class A common stock issued and outstanding as the date of this Annual Report. Holders of shares of our Class A common stock are entitled to one vote for each share held of record on all matters submitted to a vote of stockholders. 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Holders of shares of our Class A common stock do not have preemptive, subscription, redemption, or conversion rights. There are no redemption or sinking fund provisions applicable to the Class A common stock.</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D0D0D"/>
        </w:rPr>
        <w:t>Class B-1 and Class B-2 Common Stock</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D0D0D"/>
        </w:rPr>
        <w:t xml:space="preserve">We are authorized to issue 200,000,000 shares of Class B-1 common stock, par value $0.00001 per share. There were </w:t>
      </w:r>
      <w:r>
        <w:rPr>
          <w:rFonts w:ascii="Arial" w:cs="Arial" w:eastAsia="Arial" w:hAnsi="Arial"/>
          <w:sz w:val="15"/>
          <w:szCs w:val="15"/>
          <w:color w:val="000000"/>
        </w:rPr>
        <w:t>58,586,695</w:t>
      </w:r>
      <w:r>
        <w:rPr>
          <w:rFonts w:ascii="Arial" w:cs="Arial" w:eastAsia="Arial" w:hAnsi="Arial"/>
          <w:sz w:val="17"/>
          <w:szCs w:val="17"/>
          <w:color w:val="0D0D0D"/>
        </w:rPr>
        <w:t xml:space="preserve"> shares of our Class B-1 common stock issued and outstanding as the date of this Annual Report. We are authorized to issue 200,000,000 shares of Class B-2 common stock, par value $0.00001 per share. There was no Class B-2 common stock issued and outstanding as the date of this Annual Report.</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D0D0D"/>
        </w:rPr>
        <w:t>Each share of our Class B-1 common stock entitles its holders to five votes per share and each share of our Class B-2 common stock entitles its holders to one vote per share on all matters presented to our stockholders generally.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ind w:firstLine="324"/>
        <w:spacing w:after="0" w:line="286" w:lineRule="auto"/>
        <w:rPr>
          <w:sz w:val="20"/>
          <w:szCs w:val="20"/>
          <w:color w:val="auto"/>
        </w:rPr>
      </w:pPr>
      <w:r>
        <w:rPr>
          <w:rFonts w:ascii="Arial" w:cs="Arial" w:eastAsia="Arial" w:hAnsi="Arial"/>
          <w:sz w:val="17"/>
          <w:szCs w:val="17"/>
          <w:color w:val="0D0D0D"/>
        </w:rPr>
        <w:t>Holders of shares of our Class B-1 and Class B-2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D0D0D"/>
        </w:rPr>
        <w:t>Holders of our Class B-1 and Class B-2 common stock do not have any right to receive dividends or to receive a distribution upon dissolution or liquidation. Additionally, holders of shares of our Class B-1 and Class B-2 common stock do not have preemptive, subscription, redemption, or conversion rights. There will be no redemption or sinking fund provisions applicable to the Class B-1 or Class B-2 common stock. Any amendment of our amended and restated certificate of incorporation that gives holders of our Class B-1 or Class B-2 common stock (1) any rights to receive dividends or any other kind of distribution, (2) any right to convert into or be exchanged for Class A common stock or (3) any other economic rights will require, in addition to stockholder approval, the affirmative vote of holders of our Class A common stock voting separately as a class.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D0D0D"/>
        </w:rPr>
        <w:t>Our Articles of Incorporation, our Bylaws, and the applicable statutes of the state of Delaware contain a more complete description of the rights and liabilities of holders of our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0D0D0D"/>
        </w:rPr>
        <w:t>Information regarding securities authorized for issuance under our equity compensation plans is incorporated herein by reference to Item 12, “Security Ownership of Certain Beneficial Owners and Management and Related Stockholder Matters” of Part III of this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0D0D0D"/>
        </w:rPr>
        <w:t>We are authorized to issue 10,000,000 shares of preferred stock, par value $0.00001 per share. We have no shares of preferred stock outstanding.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3"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0D0D0D"/>
        </w:rPr>
        <w:t>There was no unregistered sale of our equity securities during the fiscal year ended September 30, 2022, that were not otherwise disclosed in a Quarterly Report on Form 10-Q or a Current Report on Form 8-K.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D0D0D"/>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3"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0D0D0D"/>
        </w:rPr>
        <w:t>The following graph compares the total stockholder return from October 28, 2021, the date on which our Class A common stock commenced trading on the Nasdaq Global Select Market through September 30, 2022 of (i) our Class A common stock, (ii) the NASDAQ Clean Edge Green Energy Index Fund (QCLN), and (iii) the NASDAQ Composite Index. The stock performance graph assumes an initial investment of $100 on October 28, 2021.</w:t>
      </w:r>
    </w:p>
    <w:p>
      <w:pPr>
        <w:spacing w:after="0" w:line="188"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0D0D0D"/>
        </w:rPr>
        <w:t>The comparison in this performance graph are based on historical data are not intended to be indicative of future performance. The performance graph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500380</wp:posOffset>
            </wp:positionV>
            <wp:extent cx="5966460" cy="3282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966460"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discussion and analysis provides information that management believes is relevant to an assessment and understanding of our audited consolidated financial statements and results of operations and should be read in conjunction with the financial statements and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Part I, Item 1A. “Risk Factors” or in other parts of this Annual Report. Our historical results are not necessarily indicative of the results that may be expected for any periods in the future.</w:t>
      </w:r>
    </w:p>
    <w:p>
      <w:pPr>
        <w:spacing w:after="0" w:line="1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the completion of our IPO on November 1, 2021, Fluence Energy, Inc. became a holding company whose sole material assets are the LLC Interests in Fluence Energy LLC. All of our business is conducted through Fluence Energy, LLC, together with its subsidiaries, and the financial results of Fluence Energy, LLC will be consolidated in our financial statements. Fluence Energy LLC is taxed as a partnership for federal income tax purposes and, as a result, its members, including Fluence Energy, Inc. will pay income taxes with respect to their allocable shares of its net taxable income. As of September 30, 2022, Fluence Energy, LLC had subsidiaries including Fluence Energy GmbH in Germany, Fluence Energy Pty Ltd. in Australia, Fluence Energy Inc. in the Philippines, Fluence Energy Chile SpA in Chile, Fluence Energy B.V. in Netherlands, Fluence Energy Global Production Operation LLC in the US, Fluence BESS India Private Ltd in India, Nispera AG in Switzerland, and other subsidiaries yet to commence operations. Except where the content clearly indicates otherwise, reference to “Fluence,” “we,” “us,” “our” or “the Company” refers to Fluence Energy, Inc. and all of its direct and indirect subsidiaries, including Fluence Energy, LLC. When used in a historical context that is prior to the completion of the IPO, “we,” “us,” “our” or “the Company” refer to Fluence Energy, LLC and its subsidiaries.</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fiscal year begins on October 1 and ends on September 30. References to “fiscal year 2020”, “fiscal year 2021” and “fiscal year 2022” refer to the fiscal years ended September 30, 2020, September 30, 2021 and September 30,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Fluence Energy, LLC is the accounting predecessor of Fluence Energy, Inc. for financial reporting purposes. Fluence Energy, Inc. will be the audited financial reporting entity for future filings. Accordingly, this Annual Report contains the following historical financial statements:</w:t>
      </w:r>
    </w:p>
    <w:p>
      <w:pPr>
        <w:spacing w:after="0" w:line="99" w:lineRule="exact"/>
        <w:rPr>
          <w:sz w:val="20"/>
          <w:szCs w:val="20"/>
          <w:color w:val="auto"/>
        </w:rPr>
      </w:pPr>
    </w:p>
    <w:p>
      <w:pPr>
        <w:jc w:val="both"/>
        <w:ind w:left="660" w:hanging="328"/>
        <w:spacing w:after="0" w:line="26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Fluence Energy, Inc</w:t>
      </w:r>
      <w:r>
        <w:rPr>
          <w:rFonts w:ascii="Arial" w:cs="Arial" w:eastAsia="Arial" w:hAnsi="Arial"/>
          <w:sz w:val="18"/>
          <w:szCs w:val="18"/>
          <w:color w:val="auto"/>
        </w:rPr>
        <w:t>. The historical financial information of Fluence Energy, Inc. has not been included in this Annual Report prior to the IPO as</w:t>
      </w:r>
      <w:r>
        <w:rPr>
          <w:rFonts w:ascii="Arial" w:cs="Arial" w:eastAsia="Arial" w:hAnsi="Arial"/>
          <w:sz w:val="18"/>
          <w:szCs w:val="18"/>
          <w:b w:val="1"/>
          <w:bCs w:val="1"/>
          <w:color w:val="auto"/>
        </w:rPr>
        <w:t xml:space="preserve"> </w:t>
      </w:r>
      <w:r>
        <w:rPr>
          <w:rFonts w:ascii="Arial" w:cs="Arial" w:eastAsia="Arial" w:hAnsi="Arial"/>
          <w:sz w:val="18"/>
          <w:szCs w:val="18"/>
          <w:color w:val="auto"/>
        </w:rPr>
        <w:t>it was a newly incorporated entity, had no business transactions or activities prior to IPO and had no assets or liabilities during the periods presented prior to the IPO.</w:t>
      </w:r>
    </w:p>
    <w:p>
      <w:pPr>
        <w:spacing w:after="0" w:line="94" w:lineRule="exact"/>
        <w:rPr>
          <w:rFonts w:ascii="Arial" w:cs="Arial" w:eastAsia="Arial" w:hAnsi="Arial"/>
          <w:sz w:val="18"/>
          <w:szCs w:val="18"/>
          <w:color w:val="auto"/>
        </w:rPr>
      </w:pPr>
    </w:p>
    <w:p>
      <w:pPr>
        <w:ind w:left="660" w:hanging="328"/>
        <w:spacing w:after="0" w:line="347"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Fluence Energy, LLC</w:t>
      </w:r>
      <w:r>
        <w:rPr>
          <w:rFonts w:ascii="Arial" w:cs="Arial" w:eastAsia="Arial" w:hAnsi="Arial"/>
          <w:sz w:val="16"/>
          <w:szCs w:val="16"/>
          <w:color w:val="auto"/>
        </w:rPr>
        <w:t>. Because Fluence Energy, Inc. has no interest in any operations other than those of Fluence Energy, LLC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the historical consolidated financial information included in this Annual Report is that of Fluence Energy, LLC and its subsidiaries.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Siemens Industry Redemption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“Redemption”).</w:t>
      </w:r>
    </w:p>
    <w:p>
      <w:pPr>
        <w:spacing w:after="0" w:line="20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elected to settle the Redemption through the issuance of 58,586,695 shares of the Company’s Class A common stock (the “Shares”). The Redemption settled on July 7, 2022. Siemens Industry, Inc. effected an internal transfer of its interest in the Shares to Siemens AG at the time of Redemption and as of June 30, 2022, Siemens AG became the beneficial owner of 58,586,695 shares of Class A common stock. The Redemption increased the beneficial ownership interest of the Company in Fluence Energy, LLC to 66.08% as of June 30, 2022. The impact of the change in ownership interest did not result in a change in control. The Redemption been accounted for as an equity transaction and the carrying amount of non-controlling interest has been adjusted.</w:t>
      </w:r>
    </w:p>
    <w:p>
      <w:pPr>
        <w:spacing w:after="0" w:line="1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Subsequent to the Redemption, on September 29, 2022 Siemens AG effected an internal transfer of 18,848,631 shares of Class A common stock held by it to Siemens Pension-Trust e.V., an affiliated entity and a permitted transferee under the terms of the Stockholders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Since our inception on January 1, 2018, we have focused on international growth and developing our energy storage product and delivery services, the operational services, and digital applications. We have incurred net operating losses each year since our inception. As of September 30, 2022, we have financed our operations with equity contributions from the proceeds of our IPO, AES Grid Stability, Siemens AG and affiliates, and QFH, cash and cash equivalents, negative working capital, and short-term borrowings.</w:t>
      </w:r>
    </w:p>
    <w:p>
      <w:pPr>
        <w:spacing w:after="0" w:line="1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2022 we deployed cumulative 1.8 GW of energy storage products, compared to 0.9 GW as of September 30, 2021. New energy storage product contracts executed during fiscal year 2022 represented total contracted power of approximately 1.9 GW compared to 1.3 GW for fiscal year 2021. We recognized total revenue of $1,198.6 million, representing an increase of $517.8 million, or 76.1%, in fiscal year 2021 compared to fiscal year 2020 as we expanded our sales in terms of the number of energy storage products sold as well as geographic footprint. Revenue generated from operations in the United States increased from $468.4 million in fiscal year 2021 to $582.3 million in fiscal year 2022, representing a 24.3% increase. Revenue generated from international operations increased from $212.3 million in fiscal year 2021 to $616.3 million in fiscal year 2022, representing a 190.2% increase.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 gross loss of $62.4 million and gross profit margin of negative (5.2)% in fiscal year 2022, compared to a gross loss of $69.1 million and gross profit margin of negative (10.2)% in fiscal year 2021. The gross loss in fiscal years 2022 and 2021 were negatively impacted by (i) capacity constraints within the shipping industry and increased shipping costs, both of which are caused primarily as a result of the COVID-19 pandemic, and (ii) cost overruns and delays we are experiencing in some projects currently under construction. Some of those costs overruns and delays are occurring in the first Generation 6 product deliveries.</w:t>
      </w:r>
    </w:p>
    <w:p>
      <w:pPr>
        <w:spacing w:after="0" w:line="12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General and administrative, research and development, sales and marketing expenses increased $78.5 million, $36.7 million, and $14.6 million, or 205.8%, 156.7%, and 64.5%, respectively, in fiscal year 2022, compared to fiscal year 2021 as we have been investing heavily in our human capital, technology, products and services to support significant increases in our operations and related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of September 30, 2022, the COVID-19 pandemic remains on-going and continues to impact the global economy. In response to the COVID-19 pandemic, we have taken a number of actions to protect the health and well-being of our employees and personnel and to prevent the spread of COVID-19 within our operations and at customers’ project sites. Governments in affected areas and countries in which we operate have imposed a number of measures designed to contain outbreaks of COVID-19, including business closures, travel restrictions, and quarantines. Although vaccines and booster shots are now being distributed and administered across many parts of the world, new variants of the virus have emerged and may continue to emerge that have shown to be more contagious. Many of our customers’ project sites have experienced shutdowns and delays related to COVID-19 at some point in time during the pandemic, although this trend at project sites appears to be declining in many of our locations in recent months. In addition, we purchase our components and materials from international and domestic vendors and are exposed to supply chain risks arising from logistics disruptions. As a large portion of our battery supply chain derives from China, the shutdowns caused by COVID-19 outbreaks and zero-COVID policy in China has caused a supply chain bottle neck and raw material price increases, which has impacted our operations. For the fiscal year ended September 30, 2022, the Company incurred $39.1 million in COVID-19 related costs, which was included in “Cost of goods and services” in the accompanying consolidated financial statements. Such costs were primarily caused by temporary closures of customer construction sites in the first fiscal quarter of 2022 and delays in shipping energy storage products during the first three fiscal quarters of 2022.</w:t>
      </w:r>
    </w:p>
    <w:p>
      <w:pPr>
        <w:spacing w:after="0" w:line="1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full impact of the COVID-19 pandemic on our business, financial condition and results of operations will depend on future developments, such as the ultimate duration and scope of the pandemic, its impact on our employees, customers, and vendors, in addition to how quickly pre-pandemic economic conditions and operations resume and whether the pandemic exacerbates other risks disclosed in Part I, Item 1A. “Risk Factors” within this Annual Report.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Cargo Loss Incident</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fiscal year 2022, $13.0 million of inventory was written off against the provision.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2021 Overheating Event at Customer Facility</w:t>
      </w:r>
    </w:p>
    <w:p>
      <w:pPr>
        <w:spacing w:after="0" w:line="24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Overheating Event at Customer Facility</w:t>
      </w:r>
    </w:p>
    <w:p>
      <w:pPr>
        <w:spacing w:after="0" w:line="243" w:lineRule="exact"/>
        <w:rPr>
          <w:sz w:val="20"/>
          <w:szCs w:val="20"/>
          <w:color w:val="auto"/>
        </w:rPr>
      </w:pPr>
    </w:p>
    <w:p>
      <w:pPr>
        <w:ind w:right="280" w:firstLine="324"/>
        <w:spacing w:after="0" w:line="284" w:lineRule="auto"/>
        <w:rPr>
          <w:sz w:val="20"/>
          <w:szCs w:val="20"/>
          <w:color w:val="auto"/>
        </w:rPr>
      </w:pPr>
      <w:r>
        <w:rPr>
          <w:rFonts w:ascii="Arial" w:cs="Arial" w:eastAsia="Arial" w:hAnsi="Arial"/>
          <w:sz w:val="16"/>
          <w:szCs w:val="16"/>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Performance</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performance and future success depend on several factors that present significant opportunities for us but also pose risks and challenges, including those discussed below and in Part I, Item 1A. “Risk Factors” within this Annual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Lithium-ion Battery Cost</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revenue growth is directly tied to the continued adoption of energy storage products by our customers. The cost of lithium-ion energy storage hardware has declined significantly in the last decade and has resulted in a large addressable market today.</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However, according to BloombergNEF’s 2021 (issued November 2021) battery price survey, higher raw material costs could push the average price of a lithium-ion battery packs up in the short term, which would mark the first annual increase in price since at least 2010. BloombergNEF predicts battery prices to decline again by 2024, although the timing of that decline could be pushed back by two years in the absence of improvements mitigating the short-term price increases.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long term, this could adversely affect our ability to increase our revenue or grow our business.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Deployment of Renewable Energy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Inflationary pressures, supply chain disruptions, geo-political stresses such as the Russia-Ukraine conflict, and other factors could result in fluctuations in demand for and deployment of renewable energy resources, adversely affecting our revenue and ability to generate profits in the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market for our products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historically experienced seasonality and see increased order intake in our third and fourth fiscal quarters (April – September), driven by demand in the Northern Hemisphere to install energy storage products before the summer of the following year. Combined third and fourth fiscal quarter order intake have historically accounted for 80% or more of our total intake each year. However, as we and the market matures we are seeing less seasonality. For fiscal year 2022 third and fourth quarter order intake accounted for only 48% of our total intake for the year. As a result, revenue generation is typically significantly stronger in our third and fourth fiscal quarters as we provide the majority of our products to customers during these periods.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the markets in which we operate, there have been higher rates of inflation in recent months. If inflation continues to increase in our markets, it may increase our expenses that we may not be able to pass through to customers. It may also increase the costs of our products that could negatively impact their competitiveness.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describes certain line items in our Consolidated Statements of Operations and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Revenue</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revenue from the sale of energy storage products,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When we sell a battery-based energy storage product, we enter into a contract with our customers covering the price, specifications, delivery dates and warranty for the products being purchased, among other things.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revenue growth is dependent on continued growth in the amount of battery-based energy storage products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We generally expect the ratio of cost of goods and services to revenue to decrease as sales volumes increase due to economies of scale, however, some of these costs, primarily personnel related costs, are not directly affected by sales volume.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(loss) and gross profit margin may vary from quarter to quarter and is primarily affected by our sales volume, product prices, product costs, product mix, customer mix, geographical mix, shipping method, warranty costs, and seasonality.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Research and development expenses consist of personnel-related costs across our global R&amp;D centers for engineers engaged in the design and development and testing of our integrated products and technologies. Engineering competencies include data science, software development, network and cyber security, battery systems engineering, industrial controls, UI / UX, mechanical design, and more. R&amp;D expenses also support three product testing labs located across the globe, including a new system-level testing facility in Pennsylvania that will be used for quality assurance and the rapid iteration, testing, and launching of new Fluence energy storage technology and products.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 expenses consist primarily of personnel-related expenses, including salaries, stock-based compensation, and employee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expand our sales presence and marketing efforts to additional countries in the future.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expense consists primarily of interest previously incurred on our now extinguished Line of Credit and Promissory Notes (each as defined below), unused line fees related to the revolving credit facility (the “Revolver”) pursuant to a credit agreement by and among Fluence Energy, LLC, as the borrower, Fluence Energy, Inc., as a parent guarantor, the subsidiary guarantors party thereto, the lenders party thereto and JP Morgan Chase Bank, N.A., as administrative agent and collateral agent (the “Credit Agreement”), and amortization of debt issuance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(expense), net consists of income (expense) from foreign currency exchange adjustments for monetary assets and liabilities.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Expense</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Historically, prior to the IPO, Fluence Energy, LLC was not subject to U.S. federal or state income tax. As such, Fluence Energy, LLC did not pay U.S. federal or state income tax, as taxable income or loss will be included in the U.S. tax returns of its members. Fluence Energy LLC was subject to income taxes, including withholding taxes, outside the U.S. and our income tax expense (benefit)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8"/>
          <w:szCs w:val="18"/>
          <w:color w:val="auto"/>
        </w:rPr>
        <w:t>on the consolidated statements of operations primarily relates to income taxes from foreign operations, withholding taxes on intercompany royalties and changes in valuation allowances related to deferred tax assets of certain foreign subsidiaries. After our IPO, we are now subject to U.S. federal and state income taxes with respect to our allocable share of any taxable income or loss of Fluence Energy, LLC, and are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following tables presents our key operating metrics and order intake for the fiscal years ended September 30, 2022 and 2021. The tables below present the metrics in either Gigawatts (GW) or Gigawatt hours (GWh). The tables below reflect adjustments made to 2021 Deployed and Pipeline reported for Energy Storage Products and Service Contracts as a result of enhanced internal control procedures implemented by management. Previously we reported Energy Storage Products deployed of 1.0 GW, Energy Storage Products pipeline of 14.2 GW, Service Contracts pipeline of 10.9 GW, and Service Contracts contracted of 2.0 GW. Further, prior period metrics were previously presented in Megawatts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719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60" w:type="dxa"/>
            <w:vAlign w:val="bottom"/>
          </w:tcPr>
          <w:p>
            <w:pPr>
              <w:jc w:val="right"/>
              <w:ind w:right="850"/>
              <w:spacing w:after="0"/>
              <w:rPr>
                <w:sz w:val="20"/>
                <w:szCs w:val="20"/>
                <w:color w:val="auto"/>
              </w:rPr>
            </w:pPr>
            <w:r>
              <w:rPr>
                <w:rFonts w:ascii="Arial" w:cs="Arial" w:eastAsia="Arial" w:hAnsi="Arial"/>
                <w:sz w:val="18"/>
                <w:szCs w:val="18"/>
                <w:b w:val="1"/>
                <w:bCs w:val="1"/>
                <w:color w:val="auto"/>
                <w:w w:val="97"/>
              </w:rPr>
              <w:t>September 30,</w:t>
            </w: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r>
      <w:tr>
        <w:trPr>
          <w:trHeight w:val="237"/>
        </w:trPr>
        <w:tc>
          <w:tcPr>
            <w:tcW w:w="4800" w:type="dxa"/>
            <w:vAlign w:val="bottom"/>
            <w:gridSpan w:val="2"/>
          </w:tcPr>
          <w:p>
            <w:pPr>
              <w:ind w:left="4340"/>
              <w:spacing w:after="0"/>
              <w:rPr>
                <w:sz w:val="20"/>
                <w:szCs w:val="20"/>
                <w:color w:val="auto"/>
              </w:rPr>
            </w:pPr>
            <w:r>
              <w:rPr>
                <w:rFonts w:ascii="Arial" w:cs="Arial" w:eastAsia="Arial" w:hAnsi="Arial"/>
                <w:sz w:val="18"/>
                <w:szCs w:val="18"/>
                <w:b w:val="1"/>
                <w:bCs w:val="1"/>
                <w:color w:val="auto"/>
              </w:rPr>
              <w:t>2022</w:t>
            </w:r>
          </w:p>
        </w:tc>
        <w:tc>
          <w:tcPr>
            <w:tcW w:w="216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260" w:type="dxa"/>
            <w:vAlign w:val="bottom"/>
          </w:tcPr>
          <w:p>
            <w:pPr>
              <w:ind w:left="560"/>
              <w:spacing w:after="0"/>
              <w:rPr>
                <w:sz w:val="20"/>
                <w:szCs w:val="20"/>
                <w:color w:val="auto"/>
              </w:rPr>
            </w:pPr>
            <w:r>
              <w:rPr>
                <w:rFonts w:ascii="Arial" w:cs="Arial" w:eastAsia="Arial" w:hAnsi="Arial"/>
                <w:sz w:val="18"/>
                <w:szCs w:val="18"/>
                <w:b w:val="1"/>
                <w:bCs w:val="1"/>
                <w:color w:val="auto"/>
              </w:rPr>
              <w:t>Change</w:t>
            </w:r>
          </w:p>
        </w:tc>
        <w:tc>
          <w:tcPr>
            <w:tcW w:w="66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 %</w:t>
            </w:r>
          </w:p>
        </w:tc>
      </w:tr>
      <w:tr>
        <w:trPr>
          <w:trHeight w:val="27"/>
        </w:trPr>
        <w:tc>
          <w:tcPr>
            <w:tcW w:w="3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Energy Storage Products</w:t>
            </w:r>
          </w:p>
        </w:tc>
        <w:tc>
          <w:tcPr>
            <w:tcW w:w="2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Deployed (GW)</w:t>
            </w: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1.8</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26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0.9</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Deployed (GWh)</w:t>
            </w:r>
          </w:p>
        </w:tc>
        <w:tc>
          <w:tcPr>
            <w:tcW w:w="216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127.3 %</w:t>
            </w:r>
          </w:p>
        </w:tc>
        <w:tc>
          <w:tcPr>
            <w:tcW w:w="1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Contracted Backlog (GW)</w:t>
            </w: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3.7</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620" w:type="dxa"/>
            <w:vAlign w:val="bottom"/>
          </w:tcPr>
          <w:p>
            <w:pPr>
              <w:jc w:val="right"/>
              <w:spacing w:after="0"/>
              <w:rPr>
                <w:sz w:val="20"/>
                <w:szCs w:val="20"/>
                <w:color w:val="auto"/>
              </w:rPr>
            </w:pPr>
            <w:r>
              <w:rPr>
                <w:rFonts w:ascii="Arial" w:cs="Arial" w:eastAsia="Arial" w:hAnsi="Arial"/>
                <w:sz w:val="18"/>
                <w:szCs w:val="18"/>
                <w:color w:val="auto"/>
              </w:rPr>
              <w:t>37.0 %</w:t>
            </w:r>
          </w:p>
        </w:tc>
        <w:tc>
          <w:tcPr>
            <w:tcW w:w="10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Pipeline (GW)</w:t>
            </w:r>
          </w:p>
        </w:tc>
        <w:tc>
          <w:tcPr>
            <w:tcW w:w="216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9.3</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Pipeline (GWh)</w:t>
            </w:r>
          </w:p>
        </w:tc>
        <w:tc>
          <w:tcPr>
            <w:tcW w:w="2160" w:type="dxa"/>
            <w:vAlign w:val="bottom"/>
          </w:tcPr>
          <w:p>
            <w:pPr>
              <w:jc w:val="right"/>
              <w:ind w:right="1310"/>
              <w:spacing w:after="0"/>
              <w:rPr>
                <w:sz w:val="20"/>
                <w:szCs w:val="20"/>
                <w:color w:val="auto"/>
              </w:rPr>
            </w:pPr>
            <w:r>
              <w:rPr>
                <w:rFonts w:ascii="Arial" w:cs="Arial" w:eastAsia="Arial" w:hAnsi="Arial"/>
                <w:sz w:val="18"/>
                <w:szCs w:val="18"/>
                <w:color w:val="auto"/>
              </w:rPr>
              <w:t>22.6</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1260" w:type="dxa"/>
            <w:vAlign w:val="bottom"/>
          </w:tcPr>
          <w:p>
            <w:pPr>
              <w:spacing w:after="0"/>
              <w:rPr>
                <w:sz w:val="19"/>
                <w:szCs w:val="19"/>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62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r>
      <w:tr>
        <w:trPr>
          <w:trHeight w:val="229"/>
        </w:trPr>
        <w:tc>
          <w:tcPr>
            <w:tcW w:w="4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Contracted - year to date (GW)</w:t>
            </w:r>
          </w:p>
        </w:tc>
        <w:tc>
          <w:tcPr>
            <w:tcW w:w="216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1.9</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719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900" w:type="dxa"/>
            <w:vAlign w:val="bottom"/>
          </w:tcPr>
          <w:p>
            <w:pPr>
              <w:jc w:val="center"/>
              <w:ind w:left="131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r>
      <w:tr>
        <w:trPr>
          <w:trHeight w:val="264"/>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(amounts in GW)</w:t>
            </w:r>
          </w:p>
        </w:tc>
        <w:tc>
          <w:tcPr>
            <w:tcW w:w="2900" w:type="dxa"/>
            <w:vAlign w:val="bottom"/>
          </w:tcPr>
          <w:p>
            <w:pPr>
              <w:jc w:val="right"/>
              <w:ind w:right="1430"/>
              <w:spacing w:after="0"/>
              <w:rPr>
                <w:sz w:val="20"/>
                <w:szCs w:val="20"/>
                <w:color w:val="auto"/>
              </w:rPr>
            </w:pPr>
            <w:r>
              <w:rPr>
                <w:rFonts w:ascii="Arial" w:cs="Arial" w:eastAsia="Arial" w:hAnsi="Arial"/>
                <w:sz w:val="18"/>
                <w:szCs w:val="18"/>
                <w:b w:val="1"/>
                <w:bCs w:val="1"/>
                <w:color w:val="auto"/>
              </w:rPr>
              <w:t>2022</w:t>
            </w:r>
          </w:p>
        </w:tc>
        <w:tc>
          <w:tcPr>
            <w:tcW w:w="1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940" w:type="dxa"/>
            <w:vAlign w:val="bottom"/>
          </w:tcPr>
          <w:p>
            <w:pPr>
              <w:ind w:left="540"/>
              <w:spacing w:after="0"/>
              <w:rPr>
                <w:sz w:val="20"/>
                <w:szCs w:val="20"/>
                <w:color w:val="auto"/>
              </w:rPr>
            </w:pPr>
            <w:r>
              <w:rPr>
                <w:rFonts w:ascii="Arial" w:cs="Arial" w:eastAsia="Arial" w:hAnsi="Arial"/>
                <w:sz w:val="18"/>
                <w:szCs w:val="18"/>
                <w:b w:val="1"/>
                <w:bCs w:val="1"/>
                <w:color w:val="auto"/>
              </w:rPr>
              <w:t>Change</w:t>
            </w:r>
          </w:p>
        </w:tc>
        <w:tc>
          <w:tcPr>
            <w:tcW w:w="172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 Contracts</w:t>
            </w:r>
          </w:p>
        </w:tc>
        <w:tc>
          <w:tcPr>
            <w:tcW w:w="29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Asset under Management</w:t>
            </w:r>
          </w:p>
        </w:tc>
        <w:tc>
          <w:tcPr>
            <w:tcW w:w="2900" w:type="dxa"/>
            <w:vAlign w:val="bottom"/>
          </w:tcPr>
          <w:p>
            <w:pPr>
              <w:jc w:val="center"/>
              <w:ind w:left="1270"/>
              <w:spacing w:after="0"/>
              <w:rPr>
                <w:sz w:val="20"/>
                <w:szCs w:val="20"/>
                <w:color w:val="auto"/>
              </w:rPr>
            </w:pPr>
            <w:r>
              <w:rPr>
                <w:rFonts w:ascii="Arial" w:cs="Arial" w:eastAsia="Arial" w:hAnsi="Arial"/>
                <w:sz w:val="18"/>
                <w:szCs w:val="18"/>
                <w:color w:val="auto"/>
                <w:w w:val="87"/>
              </w:rPr>
              <w:t>2.0</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940" w:type="dxa"/>
            <w:vAlign w:val="bottom"/>
          </w:tcPr>
          <w:p>
            <w:pPr>
              <w:jc w:val="center"/>
              <w:ind w:left="930"/>
              <w:spacing w:after="0"/>
              <w:rPr>
                <w:sz w:val="20"/>
                <w:szCs w:val="20"/>
                <w:color w:val="auto"/>
              </w:rPr>
            </w:pPr>
            <w:r>
              <w:rPr>
                <w:rFonts w:ascii="Arial" w:cs="Arial" w:eastAsia="Arial" w:hAnsi="Arial"/>
                <w:sz w:val="18"/>
                <w:szCs w:val="18"/>
                <w:color w:val="auto"/>
                <w:w w:val="95"/>
              </w:rPr>
              <w:t>1.2</w:t>
            </w:r>
          </w:p>
        </w:tc>
        <w:tc>
          <w:tcPr>
            <w:tcW w:w="1620" w:type="dxa"/>
            <w:vAlign w:val="bottom"/>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Pr>
          <w:p>
            <w:pPr>
              <w:spacing w:after="0"/>
              <w:rPr>
                <w:sz w:val="19"/>
                <w:szCs w:val="19"/>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90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87"/>
              </w:rPr>
              <w:t>2.0</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5"/>
              </w:rPr>
              <w:t>0.1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Pipeline</w:t>
            </w:r>
          </w:p>
        </w:tc>
        <w:tc>
          <w:tcPr>
            <w:tcW w:w="2900" w:type="dxa"/>
            <w:vAlign w:val="bottom"/>
          </w:tcPr>
          <w:p>
            <w:pPr>
              <w:jc w:val="center"/>
              <w:ind w:left="1270"/>
              <w:spacing w:after="0"/>
              <w:rPr>
                <w:sz w:val="20"/>
                <w:szCs w:val="20"/>
                <w:color w:val="auto"/>
              </w:rPr>
            </w:pPr>
            <w:r>
              <w:rPr>
                <w:rFonts w:ascii="Arial" w:cs="Arial" w:eastAsia="Arial" w:hAnsi="Arial"/>
                <w:sz w:val="18"/>
                <w:szCs w:val="18"/>
                <w:color w:val="auto"/>
                <w:w w:val="87"/>
              </w:rPr>
              <w:t>8.8</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940" w:type="dxa"/>
            <w:vAlign w:val="bottom"/>
          </w:tcPr>
          <w:p>
            <w:pPr>
              <w:jc w:val="center"/>
              <w:ind w:left="930"/>
              <w:spacing w:after="0"/>
              <w:rPr>
                <w:sz w:val="20"/>
                <w:szCs w:val="20"/>
                <w:color w:val="auto"/>
              </w:rPr>
            </w:pPr>
            <w:r>
              <w:rPr>
                <w:rFonts w:ascii="Arial" w:cs="Arial" w:eastAsia="Arial" w:hAnsi="Arial"/>
                <w:sz w:val="18"/>
                <w:szCs w:val="18"/>
                <w:color w:val="auto"/>
                <w:w w:val="95"/>
              </w:rPr>
              <w:t>2.6</w:t>
            </w:r>
          </w:p>
        </w:tc>
        <w:tc>
          <w:tcPr>
            <w:tcW w:w="162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9"/>
                <w:szCs w:val="19"/>
                <w:color w:val="auto"/>
              </w:rPr>
            </w:pPr>
          </w:p>
        </w:tc>
      </w:tr>
      <w:tr>
        <w:trPr>
          <w:trHeight w:val="230"/>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Contracted -year to date</w:t>
            </w:r>
          </w:p>
        </w:tc>
        <w:tc>
          <w:tcPr>
            <w:tcW w:w="2900" w:type="dxa"/>
            <w:vAlign w:val="bottom"/>
            <w:tcBorders>
              <w:bottom w:val="single" w:sz="8" w:color="auto"/>
            </w:tcBorders>
            <w:shd w:val="clear" w:color="auto" w:fill="CCEEFF"/>
          </w:tcPr>
          <w:p>
            <w:pPr>
              <w:jc w:val="center"/>
              <w:ind w:left="1270"/>
              <w:spacing w:after="0"/>
              <w:rPr>
                <w:sz w:val="20"/>
                <w:szCs w:val="20"/>
                <w:color w:val="auto"/>
              </w:rPr>
            </w:pPr>
            <w:r>
              <w:rPr>
                <w:rFonts w:ascii="Arial" w:cs="Arial" w:eastAsia="Arial" w:hAnsi="Arial"/>
                <w:sz w:val="18"/>
                <w:szCs w:val="18"/>
                <w:color w:val="auto"/>
                <w:w w:val="87"/>
              </w:rPr>
              <w:t>1.3</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9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(0.4)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719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90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r>
      <w:tr>
        <w:trPr>
          <w:trHeight w:val="263"/>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(amounts in GW)</w:t>
            </w:r>
          </w:p>
        </w:tc>
        <w:tc>
          <w:tcPr>
            <w:tcW w:w="2900" w:type="dxa"/>
            <w:vAlign w:val="bottom"/>
          </w:tcPr>
          <w:p>
            <w:pPr>
              <w:jc w:val="right"/>
              <w:ind w:right="1430"/>
              <w:spacing w:after="0"/>
              <w:rPr>
                <w:sz w:val="20"/>
                <w:szCs w:val="20"/>
                <w:color w:val="auto"/>
              </w:rPr>
            </w:pPr>
            <w:r>
              <w:rPr>
                <w:rFonts w:ascii="Arial" w:cs="Arial" w:eastAsia="Arial" w:hAnsi="Arial"/>
                <w:sz w:val="18"/>
                <w:szCs w:val="18"/>
                <w:b w:val="1"/>
                <w:bCs w:val="1"/>
                <w:color w:val="auto"/>
              </w:rPr>
              <w:t>2022</w:t>
            </w:r>
          </w:p>
        </w:tc>
        <w:tc>
          <w:tcPr>
            <w:tcW w:w="13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920" w:type="dxa"/>
            <w:vAlign w:val="bottom"/>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Digital Contracts</w:t>
            </w:r>
          </w:p>
        </w:tc>
        <w:tc>
          <w:tcPr>
            <w:tcW w:w="29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Asset under Management</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13.7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1620" w:type="dxa"/>
            <w:vAlign w:val="bottom"/>
          </w:tcPr>
          <w:p>
            <w:pPr>
              <w:jc w:val="right"/>
              <w:spacing w:after="0"/>
              <w:rPr>
                <w:sz w:val="20"/>
                <w:szCs w:val="20"/>
                <w:color w:val="auto"/>
              </w:rPr>
            </w:pPr>
            <w:r>
              <w:rPr>
                <w:rFonts w:ascii="Arial" w:cs="Arial" w:eastAsia="Arial" w:hAnsi="Arial"/>
                <w:sz w:val="18"/>
                <w:szCs w:val="18"/>
                <w:color w:val="auto"/>
              </w:rPr>
              <w:t>341.9 %</w:t>
            </w:r>
          </w:p>
        </w:tc>
        <w:tc>
          <w:tcPr>
            <w:tcW w:w="100" w:type="dxa"/>
            <w:vAlign w:val="bottom"/>
          </w:tcPr>
          <w:p>
            <w:pPr>
              <w:spacing w:after="0"/>
              <w:rPr>
                <w:sz w:val="19"/>
                <w:szCs w:val="19"/>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Contracted Backlog</w:t>
            </w:r>
          </w:p>
        </w:tc>
        <w:tc>
          <w:tcPr>
            <w:tcW w:w="2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3.6</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125.0 %</w:t>
            </w:r>
          </w:p>
        </w:tc>
        <w:tc>
          <w:tcPr>
            <w:tcW w:w="100" w:type="dxa"/>
            <w:vAlign w:val="bottom"/>
            <w:shd w:val="clear" w:color="auto" w:fill="CCEEFF"/>
          </w:tcPr>
          <w:p>
            <w:pPr>
              <w:spacing w:after="0"/>
              <w:rPr>
                <w:sz w:val="19"/>
                <w:szCs w:val="19"/>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Pipeline</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19.6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16.3</w:t>
            </w:r>
          </w:p>
        </w:tc>
        <w:tc>
          <w:tcPr>
            <w:tcW w:w="1620" w:type="dxa"/>
            <w:vAlign w:val="bottom"/>
          </w:tcPr>
          <w:p>
            <w:pPr>
              <w:jc w:val="right"/>
              <w:spacing w:after="0"/>
              <w:rPr>
                <w:sz w:val="20"/>
                <w:szCs w:val="20"/>
                <w:color w:val="auto"/>
              </w:rPr>
            </w:pPr>
            <w:r>
              <w:rPr>
                <w:rFonts w:ascii="Arial" w:cs="Arial" w:eastAsia="Arial" w:hAnsi="Arial"/>
                <w:sz w:val="18"/>
                <w:szCs w:val="18"/>
                <w:color w:val="auto"/>
              </w:rPr>
              <w:t>493.9 %</w:t>
            </w:r>
          </w:p>
        </w:tc>
        <w:tc>
          <w:tcPr>
            <w:tcW w:w="100" w:type="dxa"/>
            <w:vAlign w:val="bottom"/>
          </w:tcPr>
          <w:p>
            <w:pPr>
              <w:spacing w:after="0"/>
              <w:rPr>
                <w:sz w:val="19"/>
                <w:szCs w:val="19"/>
                <w:color w:val="auto"/>
              </w:rPr>
            </w:pPr>
          </w:p>
        </w:tc>
      </w:tr>
      <w:tr>
        <w:trPr>
          <w:trHeight w:val="23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Contracted - year to date</w:t>
            </w:r>
          </w:p>
        </w:tc>
        <w:tc>
          <w:tcPr>
            <w:tcW w:w="29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4.9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81.5 %</w:t>
            </w:r>
          </w:p>
        </w:tc>
        <w:tc>
          <w:tcPr>
            <w:tcW w:w="100" w:type="dxa"/>
            <w:vAlign w:val="bottom"/>
            <w:shd w:val="clear" w:color="auto" w:fill="CCEEFF"/>
          </w:tcPr>
          <w:p>
            <w:pPr>
              <w:spacing w:after="0"/>
              <w:rPr>
                <w:sz w:val="19"/>
                <w:szCs w:val="19"/>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Deployed or Asset Under Management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Deployed represents cumulative energy storage products that have achieved substantial completion and are not decommissioned.</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Asset under management for service contracts represents our long-term service contracts with customers associated with our completed energy storage system products. We start providing maintenance, monitoring, or other operational services after the storage product projects are completed.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under management for digital software represents contracts signed and active (post go live).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Contracted Backlog and Contracted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energy storage products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Contracted represents new energy storage product contracts, new service contracts and new digital contracts signed during each fiscal year presented.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Pipeline</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Pipeline represents our uncontracted, potential revenue from energy storage products, service, and digital software contracts, which have a reasonable likelihood of contract execution within 24 months. Pipeline is monitored by management to understand the anticipated growth of our Company and our estimated future revenue related to customer contracts for our battery-based energy storage products and services.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 could experience a reduction in revenue, profitability, and liquidity. Pipeline is an internal management metric that we construct from market information reported by our global sales force.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contains references to certain non-GAAP financial measures, including Adjusted EBITDA, Adjusted Gross Profit (Loss), Adjusted Gross Profit Margin, Adjusted Net Loss, and Free Cash Flow.</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 is calculated from the consolidated statements of operations using net income (loss) adjusted for (i) interest income (expense), net,</w:t>
      </w:r>
    </w:p>
    <w:p>
      <w:pPr>
        <w:spacing w:after="0" w:line="46" w:lineRule="exact"/>
        <w:rPr>
          <w:sz w:val="20"/>
          <w:szCs w:val="20"/>
          <w:color w:val="auto"/>
        </w:rPr>
      </w:pPr>
    </w:p>
    <w:p>
      <w:pPr>
        <w:ind w:firstLine="8"/>
        <w:spacing w:after="0" w:line="260" w:lineRule="auto"/>
        <w:tabs>
          <w:tab w:leader="none" w:pos="2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taxes, (iii) depreciation and amortization, (iv) equity-based compensation, and (v) other income or expenses. Adjusted EBITDA may in the future also be adjusted for amounts impacting net income related to the Tax Receivable Agreement liability.</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Gross Profit (Loss) is calculated using gross profit (loss), adjusted to exclude certain other income or expenses. Adjusted Gross Profit Margin is calculated using Adjusted Gross Profit (Loss) divided by total revenue.</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Net Loss is calculated using net loss, adjusted to exclude (i) amortization of intangibles, (ii) equity-based compensation, (iii) other income or expenses, and (iv) tax impact of these adjustments.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tables present our non-GAAP measures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3600" w:type="dxa"/>
            <w:vAlign w:val="bottom"/>
            <w:tcBorders>
              <w:top w:val="single" w:sz="8" w:color="auto"/>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Fiscal Year Ended September 30,</w:t>
            </w:r>
          </w:p>
        </w:tc>
        <w:tc>
          <w:tcPr>
            <w:tcW w:w="3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23"/>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(289,177)</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(127,174)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(1,755)</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(122.8)</w:t>
            </w: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1,829</w:t>
            </w:r>
          </w:p>
        </w:tc>
        <w:tc>
          <w:tcPr>
            <w:tcW w:w="30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(472)</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(25.8)</w:t>
            </w:r>
          </w:p>
        </w:tc>
      </w:tr>
      <w:tr>
        <w:trPr>
          <w:trHeight w:val="229"/>
        </w:trPr>
        <w:tc>
          <w:tcPr>
            <w:tcW w:w="4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7,108</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1,996</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w:t>
            </w:r>
          </w:p>
        </w:tc>
      </w:tr>
      <w:tr>
        <w:trPr>
          <w:trHeight w:val="229"/>
        </w:trPr>
        <w:tc>
          <w:tcPr>
            <w:tcW w:w="4420" w:type="dxa"/>
            <w:vAlign w:val="bottom"/>
          </w:tcPr>
          <w:p>
            <w:pPr>
              <w:ind w:left="24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i w:val="1"/>
                <w:iCs w:val="1"/>
                <w:color w:val="auto"/>
                <w:vertAlign w:val="superscript"/>
              </w:rPr>
              <w:t>(a)</w:t>
            </w:r>
          </w:p>
        </w:tc>
        <w:tc>
          <w:tcPr>
            <w:tcW w:w="4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44,131</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44,131</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4420" w:type="dxa"/>
            <w:vAlign w:val="bottom"/>
            <w:tcBorders>
              <w:bottom w:val="single" w:sz="8" w:color="auto"/>
            </w:tcBorders>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52,674</w:t>
            </w:r>
          </w:p>
        </w:tc>
        <w:tc>
          <w:tcPr>
            <w:tcW w:w="4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(36,285)</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(40.8)</w:t>
            </w:r>
          </w:p>
        </w:tc>
      </w:tr>
      <w:tr>
        <w:trPr>
          <w:trHeight w:val="223"/>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(119,559)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Included awards that will be settled in shares and awards that will be settled in cash.</w:t>
      </w:r>
    </w:p>
    <w:p>
      <w:pPr>
        <w:spacing w:after="0" w:line="13" w:lineRule="exact"/>
        <w:rPr>
          <w:rFonts w:ascii="Arial" w:cs="Arial" w:eastAsia="Arial" w:hAnsi="Arial"/>
          <w:sz w:val="14"/>
          <w:szCs w:val="14"/>
          <w:i w:val="1"/>
          <w:iCs w:val="1"/>
          <w:color w:val="auto"/>
        </w:rPr>
      </w:pPr>
    </w:p>
    <w:p>
      <w:pPr>
        <w:ind w:left="220" w:hanging="212"/>
        <w:spacing w:after="0"/>
        <w:tabs>
          <w:tab w:leader="none" w:pos="22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Amount in 2022 included $39.1 million of costs related to COVID-19 pandemic including excess shipping costs, project charges and other costs, a $11.9 million loss related to the Cargo Loss</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Incident, $0.1 million IPO-related expenses which did not qualify for capitalization, and $1.6 million in Executive severance costs. On a go forward basis we do not expect to adjust EBITDA for the impact of COVID-19 pandemic as management does not expect the impact to be meaningful to the Company. Amount in 2021 included $23.6 million related to excess shipping costs and $48.2 million of project charges which are compounding effects of the COVID-19 pandemic, $12.4 million related to the Cargo Loss Incident, and $4.8 million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Fiscal Year Ended September 30,</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1,198,603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680,766</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517,837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r>
      <w:tr>
        <w:trPr>
          <w:trHeight w:val="22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and services</w:t>
            </w: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1,260,957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749,910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511,047</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68.1</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4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(62,354)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(69,144)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6,790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i w:val="1"/>
                <w:iCs w:val="1"/>
                <w:color w:val="auto"/>
                <w:vertAlign w:val="superscript"/>
              </w:rPr>
              <w:t>(a)</w:t>
            </w:r>
          </w:p>
        </w:tc>
        <w:tc>
          <w:tcPr>
            <w:tcW w:w="4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8,523</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r>
      <w:tr>
        <w:trPr>
          <w:trHeight w:val="229"/>
        </w:trPr>
        <w:tc>
          <w:tcPr>
            <w:tcW w:w="42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50,957</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84,153</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(33,196)</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(39.4)</w:t>
            </w: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(2,874)</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15,009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(17,883)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Gross Profit Margin %</w:t>
            </w: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Amount included awards that will be settled in shares and awards that will be settled in cash.</w:t>
      </w:r>
    </w:p>
    <w:p>
      <w:pPr>
        <w:spacing w:after="0" w:line="21" w:lineRule="exact"/>
        <w:rPr>
          <w:rFonts w:ascii="Arial" w:cs="Arial" w:eastAsia="Arial" w:hAnsi="Arial"/>
          <w:sz w:val="14"/>
          <w:szCs w:val="14"/>
          <w:i w:val="1"/>
          <w:iCs w:val="1"/>
          <w:color w:val="auto"/>
        </w:rPr>
      </w:pPr>
    </w:p>
    <w:p>
      <w:pPr>
        <w:jc w:val="both"/>
        <w:ind w:firstLine="8"/>
        <w:spacing w:after="0" w:line="268" w:lineRule="auto"/>
        <w:tabs>
          <w:tab w:leader="none" w:pos="208"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2022 included $39.1 million of costs related to COVID-19 pandemic including excess shipping costs, project charges and other costs and a $11.9 million loss related to the Cargo Loss Incident. On a go forward basis we do not expect to adjust gross profit margin for the impact of COVID-19 pandemic as management does not expect the impact to be meaningful to the Company. Amount in 2021 included $23.6 million related to shipping costs and $48.2 million of project charges which are compounding effects of the COVID-19 pandemic, and $12.4 million related to the Cargo Loss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5"/>
              </w:rPr>
              <w:t>Fiscal Year Ended September 30,</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(127,174)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r>
      <w:tr>
        <w:trPr>
          <w:trHeight w:val="230"/>
        </w:trPr>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Stock based compensation</w:t>
            </w:r>
            <w:r>
              <w:rPr>
                <w:rFonts w:ascii="Arial" w:cs="Arial" w:eastAsia="Arial" w:hAnsi="Arial"/>
                <w:sz w:val="23"/>
                <w:szCs w:val="23"/>
                <w:i w:val="1"/>
                <w:iCs w:val="1"/>
                <w:color w:val="auto"/>
                <w:vertAlign w:val="superscript"/>
              </w:rPr>
              <w:t>(a)</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44,131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100.0</w:t>
            </w:r>
          </w:p>
        </w:tc>
      </w:tr>
      <w:tr>
        <w:trPr>
          <w:trHeight w:val="230"/>
        </w:trPr>
        <w:tc>
          <w:tcPr>
            <w:tcW w:w="500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i w:val="1"/>
                <w:iCs w:val="1"/>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88,959</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(36,285)</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(40.8)</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(118,328)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included awards that will be settled in shares and awards that will be settled in cash.</w:t>
      </w:r>
    </w:p>
    <w:p>
      <w:pPr>
        <w:spacing w:after="0" w:line="21" w:lineRule="exact"/>
        <w:rPr>
          <w:rFonts w:ascii="Arial" w:cs="Arial" w:eastAsia="Arial" w:hAnsi="Arial"/>
          <w:sz w:val="14"/>
          <w:szCs w:val="14"/>
          <w:i w:val="1"/>
          <w:iCs w:val="1"/>
          <w:color w:val="auto"/>
        </w:rPr>
      </w:pPr>
    </w:p>
    <w:p>
      <w:pPr>
        <w:jc w:val="both"/>
        <w:ind w:firstLine="8"/>
        <w:spacing w:after="0" w:line="262" w:lineRule="auto"/>
        <w:tabs>
          <w:tab w:leader="none" w:pos="21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2022 included $39.1 million costs related to COVID-19 pandemic including excess shipping costs, project charges and other costs, a $11.9 million loss related to the Cargo Loss Incident, $0.1 million IPO-related expenses which did not qualify for capitalization, and $1.6 million in Executive severance costs. On a go forward basis we do not expect to adjust net loss or income for the impact of COVID-19 pandemic as management does not expect the impact to be meaningful to the Company. Amount in 2021 included $23.6 million related to excess shipping costs and $48.2 million of project charges which are compounding effects of the COVID-19 pandemic, $12.4 million related to the Cargo Loss Incident, and $4.8 million IPO-related expenses which did not qualify for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w w:val="92"/>
              </w:rPr>
              <w:t>Fiscal Year Ended September 30,</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(282,385)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(17,116)</w:t>
            </w:r>
          </w:p>
        </w:tc>
        <w:tc>
          <w:tcPr>
            <w:tcW w:w="13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4"/>
              </w:rPr>
              <w:t>(6.5)%</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Purchase of property and equipment</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(3,642)</w:t>
            </w: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84.9</w:t>
            </w:r>
          </w:p>
        </w:tc>
      </w:tr>
      <w:tr>
        <w:trPr>
          <w:trHeight w:val="248"/>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(290,319)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(269,561)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(20,758)</w:t>
            </w: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4"/>
              </w:rPr>
              <w:t>(7.7)%</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2"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right="3260"/>
        <w:spacing w:after="0" w:line="490" w:lineRule="auto"/>
        <w:rPr>
          <w:sz w:val="20"/>
          <w:szCs w:val="20"/>
          <w:color w:val="auto"/>
        </w:rPr>
      </w:pPr>
      <w:r>
        <w:rPr>
          <w:rFonts w:ascii="Arial" w:cs="Arial" w:eastAsia="Arial" w:hAnsi="Arial"/>
          <w:sz w:val="17"/>
          <w:szCs w:val="17"/>
          <w:b w:val="1"/>
          <w:bCs w:val="1"/>
          <w:i w:val="1"/>
          <w:iCs w:val="1"/>
          <w:color w:val="auto"/>
        </w:rPr>
        <w:t xml:space="preserve">Comparison of the Fiscal Year Ended September 30, 2022 to the Fiscal Year Ended September 30, 2021 </w:t>
      </w:r>
      <w:r>
        <w:rPr>
          <w:rFonts w:ascii="Arial" w:cs="Arial" w:eastAsia="Arial" w:hAnsi="Arial"/>
          <w:sz w:val="17"/>
          <w:szCs w:val="17"/>
          <w:color w:val="auto"/>
        </w:rPr>
        <w:t>The following table sets forth our operating results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7"/>
              </w:rPr>
              <w:t>Fiscal Year Ended September 30,</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Change</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1,198,603</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680,766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517,837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r>
      <w:tr>
        <w:trPr>
          <w:trHeight w:val="22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Costs of goods and services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1,260,957</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749,910</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511,047</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68.1</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(62,354)</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(69,144)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6,790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Gross Profit %</w:t>
            </w: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60,142</w:t>
            </w: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23,427</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36,715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156.7</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37,207</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22,624</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14,583</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64.5</w:t>
            </w: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116,710</w:t>
            </w: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38,162</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78,548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205.8</w:t>
            </w: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7,108</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5,112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1,996</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1,435</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583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40.6</w:t>
            </w: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(2,281)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(2,011)</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744.8</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(287,820)</w:t>
            </w:r>
          </w:p>
        </w:tc>
        <w:tc>
          <w:tcPr>
            <w:tcW w:w="3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(160,174)</w:t>
            </w:r>
          </w:p>
        </w:tc>
        <w:tc>
          <w:tcPr>
            <w:tcW w:w="30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(127,646)</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79.7</w:t>
            </w:r>
          </w:p>
        </w:tc>
      </w:tr>
      <w:tr>
        <w:trPr>
          <w:trHeight w:val="229"/>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1,357</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1,829</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(472)</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r>
      <w:tr>
        <w:trPr>
          <w:trHeight w:val="22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(289,177)</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(162,003)</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(127,174)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78.5 %</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Revenue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revenue increased from $680.8 million in fiscal year 2021 to $1,198.6 million in fiscal year 2022. The $517.8 million or 76.1% increase was mainly attributable to the expansion of sales of our battery energy storage products and solutions, particularly in the Americas and EMEA regions and our ability to execute on customer change orders that partially negated the impact of supply chain cost increases.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of Goods and Services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and services increased from $749.9 million in fiscal year 2021 to $1,261.0 million in fiscal year 2022. The $511.0 million, or 68.1%, increase was primarily attributable to materials and supplies associated with the sale of our battery energy storage products due to increased sales volume which outpaced increases in costs of goods and services. In addition, cost of goods and services increased as a result of higher battery module prices passed on to us from our supplier.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(Loss) and Gross Profit Margin</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Gross loss was $(62.4) million, and gross profit margin was negative (5.2)%, in fiscal year 2022, compared to a gross loss of $(69.1) million, and a gross profit margin of negative (10.2)%, in fiscal year 2021. The gross loss in each of the fiscal years 2022 and 2021 have been negatively impacted by (i) capacity constraints within the shipping industry and increased shipping costs, both of which are caused primarily as a result of the COVID-19 pandemic,</w:t>
      </w:r>
    </w:p>
    <w:p>
      <w:pPr>
        <w:spacing w:after="0" w:line="2" w:lineRule="exact"/>
        <w:rPr>
          <w:sz w:val="20"/>
          <w:szCs w:val="20"/>
          <w:color w:val="auto"/>
        </w:rPr>
      </w:pPr>
    </w:p>
    <w:p>
      <w:pPr>
        <w:jc w:val="both"/>
        <w:ind w:firstLine="8"/>
        <w:spacing w:after="0" w:line="255" w:lineRule="auto"/>
        <w:tabs>
          <w:tab w:leader="none" w:pos="2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overruns, delays and other project charges we are experiencing in some projects currently under construction, and in deliveries our sixth-generation products and (iii) the Cargo Loss Incident. In addition, we were negatively impacted in 2022 by higher battery module prices passed on to us from our supplier.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increased from $23.4 million in fiscal year 2021 to $60.1 million in fiscal year 2022. The $36.7 million, or 156.7%, increase in fiscal year 2022 compared to fiscal year 2021 was mainly related to increased salaries and personnel-related costs due to higher headcount to support the growth of the Company, including $7.8 million of stock-based compensation expense.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58"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Sales and marketing expenses increased from $22.6 million in fiscal year 2021 to $37.2 million in fiscal year 2022. The increase of $14.6 million, or 64.5%, is related to increased personnel-related expenses for our sales and marketing organization, consultants and other third-party vendors.</w:t>
      </w:r>
    </w:p>
    <w:p>
      <w:pPr>
        <w:sectPr>
          <w:pgSz w:w="11900" w:h="16838" w:orient="portrait"/>
          <w:cols w:equalWidth="0" w:num="1">
            <w:col w:w="11240"/>
          </w:cols>
          <w:pgMar w:left="320" w:top="985"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3" w:name="page64"/>
    <w:bookmarkEnd w:id="63"/>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increased from $38.2 million in fiscal year 2021 to $116.7 million in fiscal year 2022. The increase of $78.5 million, or 205.8%, was mainly related to increases in personnel-related expenses, including $23.6 million of stock-based compensation expense, as well as expenses for outside professional services as we have been expanding our personnel headcount rapidly to support our growth.</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Depreciation and amortization increased from $5.1 million in fiscal year 2021 to $7.1 million in fiscal year 2022. The $2.0 million increase, or 39.0%, was attributable to an increase of $1.0 million amortization related to intangible assets and $1.0 million depreciation from increased fixed assets.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Interest expense was $1.4 million in fiscal year 2021, compared to $2.0 million in fiscal year 2022. The $0.6 million increase, or 40.6%, was primarily due to the increased amortization of Revolver deferred financing costs, partially offset by a decrease in interest expense on our Line of Credit.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expense was $0.3 million in fiscal year 2021, compared to other expense of $2.3 million in fiscal year 2022. The $2.0 million increase,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744.8%, was mainly a result of foreign currency exchange adjustments for monetary assets and liabilities.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decreased from $1.8 million in fiscal year 2021 to $1.4 million in fiscal year 2022. The effective income tax rate was (0.5)% and (1.1)% for fiscal year 2022 and fiscal year 2021, respectively. The decrease in tax expense of $0.4 million and change in effective tax rate were primarily due to an increase in global pre-tax losses in fiscal year 2022. Additionally, during fiscal year 2022, there were non-taxable foreign exchange gains, as well as changes in valuation allowances recorded.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loss increased from $162.0 million in fiscal year 2021 to $289.2 million in fiscal year 2022. The increase of $127.2 million, or 78.5%, was mainly driven by (i) capacity constraints within the shipping industry and increased shipping costs, both of which are caused primarily as a result of the COVID-19 pandemic, (ii) cost overruns and delays we are experiencing in some projects currently under construction, (iii) the Cargo Loss Incident, (iv) higher battery module prices and (v) increased expenses in general and administrative, sales and marketing and research and development due to the expansion of our business and the build out of our corporate functions.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Fiscal Year Ended September 30, 2021 to the Fiscal Year Ended September 30, 2020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discussion of our results of operations for the year ended September 30, 2021 compared to fiscal year ended September 30, 2020, please see Item</w:t>
      </w:r>
    </w:p>
    <w:p>
      <w:pPr>
        <w:spacing w:after="0" w:line="46" w:lineRule="exact"/>
        <w:rPr>
          <w:sz w:val="20"/>
          <w:szCs w:val="20"/>
          <w:color w:val="auto"/>
        </w:rPr>
      </w:pPr>
    </w:p>
    <w:p>
      <w:pPr>
        <w:ind w:firstLine="8"/>
        <w:spacing w:after="0" w:line="260" w:lineRule="auto"/>
        <w:tabs>
          <w:tab w:leader="none" w:pos="2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of our Annual Report on Form 10-K for the fiscal year ended September 30, 2021, filed with the SEC on December 14,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Since inception and through September 30, 2022, our principal sources of liquidity were our cash and cash equivalents, short-term borrowings, capital contributions from AES Grid Stability and Siemens AG and affiliates, proceeds from the QFH investment and supply chain financing.</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1, 2021, upon the closing of our IPO, we received net proceeds of $935.8 million, after deducting underwriting discounts and offering expenses payable by the Company. 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The remainder of the proceeds has been used for working capital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4" w:name="page65"/>
    <w:bookmarkEnd w:id="64"/>
    <w:p>
      <w:pPr>
        <w:jc w:val="both"/>
        <w:ind w:firstLine="324"/>
        <w:spacing w:after="0" w:line="301" w:lineRule="auto"/>
        <w:rPr>
          <w:sz w:val="20"/>
          <w:szCs w:val="20"/>
          <w:color w:val="auto"/>
        </w:rPr>
      </w:pPr>
      <w:r>
        <w:rPr>
          <w:rFonts w:ascii="Arial" w:cs="Arial" w:eastAsia="Arial" w:hAnsi="Arial"/>
          <w:sz w:val="16"/>
          <w:szCs w:val="16"/>
          <w:color w:val="auto"/>
        </w:rPr>
        <w:t>Prior to the IPO, the Company had an Uncommitted Line of Credit Agreement (“Line of Credit’) with Citibank, N.A. (“Citibank”) which allowed us to borrow an amount in aggregate not to exceed $50 million, with the expiration date on March 31, 2023. Outstanding borrowings from the Line of Credit were $50 million as of September 30, 2021. The weighted average annual interest rate of the borrowing was 2.83%. On November 1, 2021, the $50 million outstanding borrowings from the Line of Credit was paid off using the proceeds from our IPO and the Line of Credit was canceled shortly thereafter.</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bear interest at a rate of 2.86%. The Promissory Notes were repaid on November 1, 2021 using proceeds from the IPO.</w:t>
      </w:r>
    </w:p>
    <w:p>
      <w:pPr>
        <w:spacing w:after="0" w:line="12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September 30, 2021, AES and Siemens issued guarantees of $30.0 million each, for a total of $60.0 million, to the SCF Bank on our behalf. SCF was further increased to $100.0 million on November 3, 2021 when AES and Siemens increased their guarantee to $50.0 million each, for a total of $100 million As of September 30, 2022, three suppliers were actively participating in the supply chain financing program, and we had $37.4 million of payables outstanding subject to the program. All outstanding payments owed under the program are recorded within Accounts payable in our Consolidated Balance Sheets.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November 1, 2021, the Company completed the IPO in which it issued and sold 35,650,000 shares of its Class A common stock at the public offering price of $28.00 per share. The net proceeds to the Company from the IPO were $935.8 million, after deducting underwriting discounts and commissions and offering expenses payable by the Company. </w:t>
      </w:r>
      <w:r>
        <w:rPr>
          <w:rFonts w:ascii="Arial" w:cs="Arial" w:eastAsia="Arial" w:hAnsi="Arial"/>
          <w:sz w:val="18"/>
          <w:szCs w:val="18"/>
          <w:color w:val="0D0D0D"/>
        </w:rPr>
        <w:t>The net proceeds from the IPO have been used to purchase 35,650,000 newly issued LLC</w:t>
      </w:r>
      <w:r>
        <w:rPr>
          <w:rFonts w:ascii="Arial" w:cs="Arial" w:eastAsia="Arial" w:hAnsi="Arial"/>
          <w:sz w:val="18"/>
          <w:szCs w:val="18"/>
          <w:color w:val="auto"/>
        </w:rPr>
        <w:t xml:space="preserve"> </w:t>
      </w:r>
      <w:r>
        <w:rPr>
          <w:rFonts w:ascii="Arial" w:cs="Arial" w:eastAsia="Arial" w:hAnsi="Arial"/>
          <w:sz w:val="18"/>
          <w:szCs w:val="18"/>
          <w:color w:val="0D0D0D"/>
        </w:rPr>
        <w:t>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our existing Line of Credit and the Promissory Notes, and the remainder will be used for working capital and other general corporate purposes.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entered into a Revolving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is $190.0 million from the lenders party including JP Morgan Chase Bank, N.A., Morgan Stanley Senior Funding, Inc., Bank of America, N.A., Barclays Bank PLC, and five other banks. On June 30, 2022, the Company increased the revolving commitment available under the Revolver by $10.0 million to an aggregate of $200.0 million and added UBS AG, Stamford Branch as an additional lender under the Revolver. As of September 30, 2022, the aggregate amount of commitments is $200.0 million. The maturity date of the Revolver is November 1, 2025.</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Revolver bears interests rate at either (i) the Adjusted LIBOR or Adjusted EURIBO Rate (each as defined in the Revolving Credit Agreement) plus 3.0 % or (ii) the Alternate Base Rate (as defined in the Revolving Credit Agreement) plus 2.0 %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 per annum on the average daily unused portion of the revolving commitments through maturity, which will be the four-year anniversary of the closing date of the Revolver. The Revolver also provides for up to $200.0 million in letter of credit issuances, which will require customary issuance and administration fees, as well as a fronting fee payable to each issuer thereof and a letter of credit participation fee of 2.75 % per annum payable to the lenders.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5" w:name="page66"/>
    <w:bookmarkEnd w:id="65"/>
    <w:p>
      <w:pPr>
        <w:jc w:val="both"/>
        <w:ind w:firstLine="324"/>
        <w:spacing w:after="0" w:line="250" w:lineRule="auto"/>
        <w:rPr>
          <w:sz w:val="20"/>
          <w:szCs w:val="20"/>
          <w:color w:val="auto"/>
        </w:rPr>
      </w:pPr>
      <w:r>
        <w:rPr>
          <w:rFonts w:ascii="Arial" w:cs="Arial" w:eastAsia="Arial" w:hAnsi="Arial"/>
          <w:sz w:val="17"/>
          <w:szCs w:val="17"/>
          <w:color w:val="auto"/>
        </w:rPr>
        <w:t>The Revolving Credit Agreement contains covenants that, among other things, will restrict our ability to incur additional indebtedness; incur liens; sell, transfer, or dispose of property and assets; make investments or acquisitions; make dividends, distributions, or other restricted payments; and engage in affiliate transactions. The terms of the Revolving Credit Agreement limit our ability to make certain payments, including dividends and distributions on Fluence Energy, LLC’s equity, Fluence Energy, Inc.’s equity and other restricted payments. Under the terms of the Revolving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Revolving Credit Agreement) (a) if after giving pro forma effect to such dividend or other Restricted Payment the Total Liquidity (as defined in the Revolving Credit Agreement) of Fluence Energy, Inc. and its subsidiaries party to the Revolving Credit Agreement is at least $600,000,000, or (b) such dividend or other Restricted Payment is made to reimburse Fluence Energy, Inc. for certain tax distributions under the Fluence Energy LLC Agreement and certain payments under the Tax Receivable Agreement and certain operational expenses incurred in connection with the ownership and management of Fluence Energy, LLC.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September 30, 2022, we were in compliance with all such covenants or maintained availability above such covenant triggers.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IPO, we entered into the Tax Receivable Agreement with Fluence Energy, LLC and the Founders which obligates the Company to make payments to the Founders of 85% of the amount of certain tax benefits that Fluence Energy, Inc. actually realizes, or in some circumstances is deemed to realize, arising from the Basis Adjustments (as defined below) and certain other tax benefits arising from payments made under the Tax Receivable Agreement. Fluence Energy, LLC will have in effect an election under Section 754 of the Code effective for each taxable year in which a redemption or exchange (including deemed exchange) of LLC Interests for Class A common stock or cash occurs or when Fluence Energy, LLC makes (or is deemed to make) certain distributions. These Tax Receivable Agreement payments are not conditioned upon one or more of the Founders maintaining a continued ownership interest in Fluence Energy, LLC. If a Founder transfers LLC Interests but does not assign to the transferee of such units its rights under the Tax Receivable Agreement, such Founder generally will continue to be entitled to receive payments under the Tax Receivable Agreement arising in respect of a subsequent exchange of such LLC Interests. In general, the Founders’ rights under the Tax Receivable Agreement may not be assigned, sold, pledged, or otherwise alienated or transferred to any person, other than certain permitted transferees, without our prior written consent (not to be unreasonably withheld) and such person’s becoming a party to the Tax Receivable Agreement and agreeing to succeed to the applicable Founder’s interest therein.</w:t>
      </w:r>
    </w:p>
    <w:p>
      <w:pPr>
        <w:spacing w:after="0" w:line="1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Redemptions or exchanges of LLC Interests post-IPO are expected to result in increases in the tax basis of the assets of Fluence Energy, LLC and certain of its subsidiaries.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 Fluence Energy, Inc.’s allocable share of tax basis and the anticipated tax basis adjustments upon redemptions or exchanges of LLC Interests may also decrease gains (or increase losses) on future dispositions of certain assets to the extent tax basis is allocated to those assets. Actual tax benefits realized by Fluence Energy, Inc. may differ from tax benefits calculated under the Tax Receivable Agreement as a result of the use of certain assumptions in the Tax Receivable Agreement, including the use of an assumed state and local income tax rate to calculate tax benefits.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 The actual and hypothetical tax liabilities determined in the Tax Receivable Agreement will be calculated using the actual U.S. federal income tax rate in effect for the applicable period and an assumed state and local income tax rate (along with the use of certain other assumptions). The term of the Tax Receivable Agreement will continue until all such tax benefits have been utilized or expired, unless Fluence Energy, Inc. exercises its right to terminate the Tax Receivable Agreement early, certain changes of control occur or Fluence Energy, Inc. breaches any of its material obligations under the Tax Receivable Agreement, in which case, all obligations generally (and in the case of such a change of control or such breach, only if the Founders elect) will be accelerated and due as if Fluence Energy, Inc. had exercised its right to terminate the Tax Receivable Agreement. The payment to be made upon an early termination of the Tax Receivable Agreement will generally equal the present value of payments to be made under the Tax Receivable Agreement using certain assumptions. Estimating the amount of payments that may be made under the Tax Receivable Agreement is by its 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imprecise, insofar as the calculation of amounts payable depends on a variety of factors. The tax basis adjustments upon the redemption or exchange of LLC Interests, as well as the amount and timing of any payments under the Tax Receivable Agreement, will vary depending upon a number of factors, including the timing of purchases or exchanges, the price of shares of our Class A common stock at the time of the purchase or exchange, the extent to which such purchases or exchanges do not result in a basis adjustment, the amount of tax attributes, changes in tax rates and the amount and timing of our income.</w:t>
      </w:r>
    </w:p>
    <w:p>
      <w:pPr>
        <w:spacing w:after="0" w:line="24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(the “Redemption”). The Redemption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that as a result of the tax basis adjustment of the assets of Fluence Energy, LLC and its subsidiaries upon the Redemption and our possible utilization of certain tax attributes, the payments that we may make under the Tax Receivable Agreement will be substantial. As a result of the Redemption, we estimate tax savings of approximately $109.6 million. Siemens AG will be entitled to receive payments under the Tax Receivable Agreement equaling 85% of such amount, or $93.1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for the factors discussed above, we anticipate funding payments from the Tax Receivable Agreement from cash flow from operations of our subsidiaries, available cash or available borrowings under any future debt agreements, and such payments are not anticipated to be dependent upon the availability of proceeds of the IPO.</w:t>
      </w:r>
    </w:p>
    <w:p>
      <w:pPr>
        <w:spacing w:after="0" w:line="20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the Redemption, we determined it was not probable payments under the Tax Receivable Agreement would be made, given there was no expectation of future sufficient taxable income over the term of the agreement to utilize deductions in the future. Therefore, the Company did not initially recognize the liability. Upon the Redemption, the Company still determines that it is not probable payment under the agreement would be made and has not recognized the change in the liability. Should we determine that the Tax Receivable Agreement payment is probable, a corresponding liability will be recorded. As a result, our future results of operations and earnings could be impacted as a result of these matters.</w:t>
      </w:r>
    </w:p>
    <w:p>
      <w:pPr>
        <w:spacing w:after="0" w:line="1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current cash and cash equivalents, cash flows from operations, short-term borrowing, and recent investments from QIA through QFH, combined with the proceeds of our IPO, will be sufficient to meet our capital expenditure and working capital requirements for the next twelve months following the filing of this Annual Report.</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Support and Reimbursement Agreement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 six months prior notice.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Fiscal Year Ended September 30,</w:t>
            </w:r>
          </w:p>
        </w:tc>
        <w:tc>
          <w:tcPr>
            <w:tcW w:w="1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(282,385)</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(265,269)</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(148,417)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(22,292)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(126,125)</w:t>
            </w:r>
          </w:p>
        </w:tc>
        <w:tc>
          <w:tcPr>
            <w:tcW w:w="1300" w:type="dxa"/>
            <w:vAlign w:val="bottom"/>
          </w:tcPr>
          <w:p>
            <w:pPr>
              <w:jc w:val="right"/>
              <w:spacing w:after="0"/>
              <w:rPr>
                <w:sz w:val="20"/>
                <w:szCs w:val="20"/>
                <w:color w:val="auto"/>
              </w:rPr>
            </w:pPr>
            <w:r>
              <w:rPr>
                <w:rFonts w:ascii="Arial" w:cs="Arial" w:eastAsia="Arial" w:hAnsi="Arial"/>
                <w:sz w:val="18"/>
                <w:szCs w:val="18"/>
                <w:color w:val="auto"/>
              </w:rPr>
              <w:t>565.8 %</w:t>
            </w:r>
          </w:p>
        </w:tc>
      </w:tr>
      <w:tr>
        <w:trPr>
          <w:trHeight w:val="22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817,053</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231,126</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585,927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253.5 %</w:t>
            </w:r>
          </w:p>
        </w:tc>
      </w:tr>
      <w:tr>
        <w:trPr>
          <w:trHeight w:val="723"/>
        </w:trPr>
        <w:tc>
          <w:tcPr>
            <w:tcW w:w="4840" w:type="dxa"/>
            <w:vAlign w:val="bottom"/>
          </w:tcPr>
          <w:p>
            <w:pPr>
              <w:spacing w:after="0"/>
              <w:rPr>
                <w:sz w:val="24"/>
                <w:szCs w:val="24"/>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p>
      <w:pPr>
        <w:jc w:val="both"/>
        <w:ind w:firstLine="324"/>
        <w:spacing w:after="0" w:line="277" w:lineRule="auto"/>
        <w:rPr>
          <w:sz w:val="20"/>
          <w:szCs w:val="20"/>
          <w:color w:val="auto"/>
        </w:rPr>
      </w:pPr>
      <w:r>
        <w:rPr>
          <w:rFonts w:ascii="Arial" w:cs="Arial" w:eastAsia="Arial" w:hAnsi="Arial"/>
          <w:sz w:val="18"/>
          <w:szCs w:val="18"/>
          <w:color w:val="auto"/>
        </w:rPr>
        <w:t>Net cash flows used in operating activities were $282.4 million in fiscal year 2022 compared $265.3 million in fiscal year 2021. The increase in net operating cash outflows was mainly due to the increase in receivables, partially offset by increased accounts payables.</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flows used in investing activities was $148.4 million in fiscal year 2022, which included $110.1 million for the purchase of short-term investments, $29.2 million related to cash paid for a business acquisition, and $7.9 million purchases of property and equipment. Net cash flows used in investing activities was $22.3 million in fiscal year 2021, which included $18.0 million related to the business acquisition and $4.3 million of purchases of property and equipment.</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flows provided by financing activities of $817.1 million in fiscal year 2022 was primarily driven by $948.0 of proceeds from issuance of Class A common stock sold in an IPO, net of underwriting discounts and commissions, offset by $50.0 million repayment of promissory notes and $50.0 million repayment of line of credit. Cash flows provided by financing activities of $231.1 million in fiscal year 2021 was primarily due to $125.0 million proceeds from issuance of Class B membership units to QFH, $6.3 million capital contribution from Siemens Industry, $50.0 million net borrowings under the Line of Credit, and $50.0 million net borrowings from the Promissory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determine our revenue recognition through the following steps: (i) identification of the contract or contracts with a customer, (ii) identification of the performance obligations within the contract, (iii) determination of the transaction price, (iv) allocation of the transaction price to the performance obligations within the contract, and (v) recognition of revenue as the performance obligation has been satisfied.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revenue was generated primarily from sale of battery-based energy storage products, providing operational services related to energy storage products, and providing digital applications and solutions.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of Energy Storage Products</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enters into contracts with utility companies, developers, and C&amp;I customers to design and build battery-based energy storage products. Each storage product is customized depending on the customer’s energy needs. Customer payments are due upon meeting certain milestones that are consistent with contract-specific phases of a project. We determine the transaction price based on the consideration expected to be received which includes estimates for project execution risks and other variable considerations, including liquidated damages. The transaction price identified is allocated to each distinct performance obligation to deliver a good or service based on the relative standalone selling prices. Generally, our contracts to design and build battery-based storage solutions are determined to have one performance obligation. We believe that the prices negotiated with each individual customer are representative of the stand-alone selling price of the energy storage products.</w:t>
      </w:r>
    </w:p>
    <w:p>
      <w:pPr>
        <w:spacing w:after="0" w:line="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 revenue over time as a result of the continuous transfer of control of our energy storage products to the customer. This continuous transfer of control to the customer is supported by clauses in the contracts that provide enforceable rights to payment of the transaction price associated with work performed to date and is for products that do not have an alternative use to us and/or the project is built on the customer’s land that is under the customer’s control.</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Revenue from the contracts is recognized using the percentage of completion method based on cost incurred as a percentage of total estimated contract costs. Standard inventory materials that could be used interchangeably on other projects are not included in our measure of progress until they are integrated into, or restricted to, the production of the customer’s asset.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 facts and changes in circumstance become known.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8" w:name="page69"/>
    <w:bookmarkEnd w:id="68"/>
    <w:p>
      <w:pPr>
        <w:jc w:val="both"/>
        <w:ind w:firstLine="324"/>
        <w:spacing w:after="0" w:line="288" w:lineRule="auto"/>
        <w:rPr>
          <w:sz w:val="20"/>
          <w:szCs w:val="20"/>
          <w:color w:val="auto"/>
        </w:rPr>
      </w:pPr>
      <w:r>
        <w:rPr>
          <w:rFonts w:ascii="Arial" w:cs="Arial" w:eastAsia="Arial" w:hAnsi="Arial"/>
          <w:sz w:val="16"/>
          <w:szCs w:val="16"/>
          <w:color w:val="auto"/>
        </w:rPr>
        <w:t>Our contracts generally provide our customers the right to liquidated damages (“LDs”) against Fluence in the event specified milestones are not met on time, or equipment is not delivered according to contract specifications. LDs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judgements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 If Fluence has a claim against the customer for amount not specified in the contract, such claim is recognized as an increase to contract price when it is legally enforceable, which is usually upon signing a respective change order or equivalent document confirming the claim acceptance by customer.</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Services</w:t>
      </w:r>
    </w:p>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also enters into long-term service agreements with customers to provide operational services related to purchased battery-based energy storage products. The services include maintenance, monitoring, and other minor services. We account for the services as a single performance obligation as the services are substantially the same and have the same pattern of transfer to the customers. We recognize revenue over time using a straight-line recognition method for these types of services. We believe using a time-based method to measure progress is appropriate as the performance obligations are satisfied evenly over time based on the fact that customers receive the services evenly and the cost pattern does not change significantly over the service period. Revenue is recognized by dividing the total transaction price over the service period.</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thresholds for a given term are considered service-type warranties. These represent a stand-ready obligation in which the customer benefits evenly overtime.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both products and service contracts where there are multiple performance obligations in a single contract, we allocate the consideration to the various obligations in the contract based on the relative standalone selling price method. Standalone selling prices are estimated based on estimated costs plus margin or using market data for comparable products when estimated costs are not imputable.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Applications and Solutions</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2020, Fluence Energy, LLC acquired the AMS software and digital intelligence platform, which became the Fluence Trading Platform.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(“SaaS”)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 The term of Fluence’s contracts with Trading Platform customers is generally five years, which may include certain renewal options to extend the initial contract term or certain termination options to reduce the initial contract term.</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Fluence Trading Platform is technology- and vendor-agnostic (i.e. it can be utilized for wind and solar assets as well as non-Fluence systems). The Fluence Trading Platform is separately identifiable from other promises that the Company offers to its customers (i.e. it is not highly interrelated or integrated with other solutions). As such, we determined that the Fluence Trading Platform should be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recognized revenue overtime using a straight-line recognition method.</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2022, Fluence Energy, LLC acquired Nispera, which is a Zurich-based provider of artificial intelligence (AI) and machine learning-enabled software-as-a-service (SaaS) targeting the renewable energy sector.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p>
      <w:pPr>
        <w:ind w:right="20" w:firstLine="324"/>
        <w:spacing w:after="0" w:line="255" w:lineRule="auto"/>
        <w:rPr>
          <w:sz w:val="20"/>
          <w:szCs w:val="20"/>
          <w:color w:val="auto"/>
        </w:rPr>
      </w:pPr>
      <w:r>
        <w:rPr>
          <w:rFonts w:ascii="Arial" w:cs="Arial" w:eastAsia="Arial" w:hAnsi="Arial"/>
          <w:sz w:val="17"/>
          <w:szCs w:val="17"/>
          <w:color w:val="auto"/>
        </w:rPr>
        <w:t>In combination with Fluence IQ’s digital application offerings, Nispera’s suite of five applications will enable the combined firm to offer its customers a user-centric “manage app” to ultimately lower the cost of owning renewable and energy storage assets for our customers. In addition to its core SaaS product, Nispera’s technology portfolio includes a predictive maintenance app, an operations and maintenance app, and a portfolio management app. The company also offers a fifth application that provides enhanced power generation forecasting services for energy assets that is particularly attractive to energy traders, large asset managers, grid operators, and financial institutions. Similar to AMS, Nispera’s SaaS and related support services in a customer contract are assessed to be a series of distinct services which comprise a single performance obligation because they are substantially the same and have the same pattern of transfer. We recognized revenue overtime using a straight-line recognition method.</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Summary of Significant Accounting Policies and Estimates</w:t>
      </w:r>
      <w:r>
        <w:rPr>
          <w:rFonts w:ascii="Arial" w:cs="Arial" w:eastAsia="Arial" w:hAnsi="Arial"/>
          <w:sz w:val="18"/>
          <w:szCs w:val="18"/>
          <w:color w:val="auto"/>
        </w:rPr>
        <w:t xml:space="preserve"> for further discussion of other critical accounting policies and estimates including income taxes, goodwill, and loss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an emerging growth company, we may take advantage of certain reduced reporting requirements that are otherwise applicable generally to public companies. We currently intend to take advantage of several of these reduced reporting requirements; however for the year-ended September 30, 2022, we “opted out” of the extended transition periods for complying with new or revised accounting standards. This irrevocable decision requires us to comply with the financial accounting standard effective dates applicable to non-emerging growth companies.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Market risk is the potential loss that may result from market changes associated with our business or with an existing or forecasted financial transactions. We are exposed to various market risks in the ordinary course of our business which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us. Our counterparties for sale of our energy storage products and delivery service are customers including conglomerates, utilities / load-serving entities, independent power producers, developers, and C&amp;I customers in the United States and other countries. A loss of one or more of our significant customers, their inability to perform under their contracts, or their default in payment could harm our business and negatively impact revenue, results of operations, and cash flows. Credit policies have been approved and implemented to govern our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In addition, customers are required to make milestone payments based on their project’s progress. We may also, at times, require letters of credit, parent guarantees or cash collateral when deemed necessary.</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overall exposure may be affected positively or negatively by macroeconomic or regulatory changes that impact our counterparties to one extent or another. As of September 30, 2022, the COVID-19 pandemic has not had a material impact on our credit risk exposure to our counterparties. Currently, management does not anticipate a material adverse effect in our financial position or results of operations as a consequence of counterparty non-performance. We continuously monitor the creditworthiness of all our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reporting currency is the U.S. dollar, while certain of our current subsidiaries have other functional currencies, reflecting their principal operating markets. Fluctuations in currency exchange rates between the U.S. dollar and the Euro, the British pound, the Australian dollar, and the Swiss Franc in our current foreign markets could create significant fluctuations in earnings and cash flows. To date, we have not had material exposure to foreign currency fluctuations and have not had material hedging instruments to hedge the foreign currency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risk from fluctuating market prices of certain commodity raw materials, including steel, aluminum and lithium, that are used in the components from suppliers that are inputs into our products. Prices of these raw materials may be affected by supply restrictions or other logistic costs market factors from time to time. As we are not the direct buyer of these raw materials, we do not enter into hedging arrangements to mitigate commodity risk. Significant price changes for these raw materials could reduce our operating margins if suppliers increase component prices and we are unable to recover such increases from our customers and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 and Emerging Market Exposure Risk</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deliver products and services in developed economies, including the United States, the United Kingdom, Chile, Ireland, Switzerland, Australia, Germany, and other developed countries. We also deliver products and services in the Philippines, which represent 6% and 20% of revenue for the fiscal year 2022 and 2021, respectively. Macroeconomic conditions in developing economies are usually more volatile than in developed economies and entail certain risks and uncertainties. Changes in the United States trade environment, including the imposition of import tariffs, could adversely affect the amount or timing of our revenues, results of operations or cash flows. The interruption of the flow of components and materials from international vendors could disrupt our supply chain, including as a result of the imposition of additional duties, tariffs and other charges on imports and exports.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exposed to interest rate risk in connection with borrowings under the Revolver, which bears interest at floating rates. We entered into the Revolver on November 1, 2021, which bears a variable interest rate based on the Adjusted LIBOR, the Adjusted EURIBO Rate or the Alternate Base Rate (each as defined in the Revolving Credit Agreement). As of September 30, 2022, we have no borrowings under the Revolver.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02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60" w:type="dxa"/>
            <w:vAlign w:val="bottom"/>
            <w:gridSpan w:val="4"/>
          </w:tcPr>
          <w:p>
            <w:pPr>
              <w:jc w:val="center"/>
              <w:ind w:right="2040"/>
              <w:spacing w:after="0"/>
              <w:rPr>
                <w:sz w:val="20"/>
                <w:szCs w:val="20"/>
                <w:color w:val="auto"/>
              </w:rPr>
            </w:pPr>
            <w:r>
              <w:rPr>
                <w:rFonts w:ascii="Arial" w:cs="Arial" w:eastAsia="Arial" w:hAnsi="Arial"/>
                <w:sz w:val="18"/>
                <w:szCs w:val="18"/>
                <w:b w:val="1"/>
                <w:bCs w:val="1"/>
                <w:color w:val="auto"/>
              </w:rPr>
              <w:t>INDEX TO CONSOLIDATED FINANCIAL STATEMENTS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(Ernst &amp; Young, LLP, Tysons Virginia, Auditor Firm ID:</w:t>
            </w:r>
            <w:r>
              <w:rPr>
                <w:rFonts w:ascii="Arial" w:cs="Arial" w:eastAsia="Arial" w:hAnsi="Arial"/>
                <w:sz w:val="18"/>
                <w:szCs w:val="18"/>
                <w:color w:val="000000"/>
              </w:rPr>
              <w:t>42</w:t>
            </w:r>
            <w:r>
              <w:rPr>
                <w:rFonts w:ascii="Arial" w:cs="Arial" w:eastAsia="Arial" w:hAnsi="Arial"/>
                <w:sz w:val="18"/>
                <w:szCs w:val="18"/>
                <w:u w:val="single" w:color="auto"/>
                <w:color w:val="0000FF"/>
              </w:rPr>
              <w:t>)</w:t>
            </w: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0000FF"/>
              </w:rPr>
              <w:t>70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200" w:type="dxa"/>
            <w:vAlign w:val="bottom"/>
            <w:gridSpan w:val="9"/>
            <w:shd w:val="clear" w:color="auto" w:fill="CCEEFF"/>
          </w:tcPr>
          <w:p>
            <w:pPr>
              <w:ind w:left="60"/>
              <w:spacing w:after="0"/>
              <w:rPr>
                <w:sz w:val="20"/>
                <w:szCs w:val="20"/>
                <w:color w:val="auto"/>
              </w:rPr>
            </w:pPr>
            <w:r>
              <w:rPr>
                <w:rFonts w:ascii="Arial" w:cs="Arial" w:eastAsia="Arial" w:hAnsi="Arial"/>
                <w:sz w:val="18"/>
                <w:szCs w:val="18"/>
                <w:color w:val="auto"/>
              </w:rPr>
              <w:t>Consolidated Financial Statements for the fiscal years ended September 30, 2022, 2021 and 2020</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7"/>
              </w:rPr>
              <w:t>Consolidated balance sheets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gridSpan w:val="2"/>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0000FF"/>
              </w:rPr>
              <w:t>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8"/>
                <w:szCs w:val="18"/>
                <w:color w:val="0000FF"/>
                <w:w w:val="88"/>
              </w:rPr>
              <w:t>Consolidated statements of operations and comprehensive loss</w:t>
            </w:r>
          </w:p>
        </w:tc>
        <w:tc>
          <w:tcPr>
            <w:tcW w:w="326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gridSpan w:val="2"/>
            <w:shd w:val="clear" w:color="auto" w:fill="CCEEFF"/>
          </w:tcPr>
          <w:p>
            <w:pPr>
              <w:spacing w:after="0"/>
              <w:rPr>
                <w:sz w:val="24"/>
                <w:szCs w:val="24"/>
                <w:color w:val="auto"/>
              </w:rPr>
            </w:pPr>
          </w:p>
        </w:tc>
        <w:tc>
          <w:tcPr>
            <w:tcW w:w="8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FF"/>
              </w:rPr>
              <w:t>73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7780" w:type="dxa"/>
            <w:vAlign w:val="bottom"/>
            <w:tcBorders>
              <w:top w:val="single" w:sz="8" w:color="CCEEFF"/>
              <w:bottom w:val="single" w:sz="8" w:color="0000FF"/>
            </w:tcBorders>
            <w:gridSpan w:val="7"/>
          </w:tcPr>
          <w:p>
            <w:pPr>
              <w:spacing w:after="0"/>
              <w:rPr>
                <w:sz w:val="20"/>
                <w:szCs w:val="20"/>
                <w:color w:val="auto"/>
              </w:rPr>
            </w:pPr>
            <w:r>
              <w:rPr>
                <w:rFonts w:ascii="Arial" w:cs="Arial" w:eastAsia="Arial" w:hAnsi="Arial"/>
                <w:sz w:val="18"/>
                <w:szCs w:val="18"/>
                <w:color w:val="0000FF"/>
                <w:w w:val="90"/>
              </w:rPr>
              <w:t>Consolidated statements of changes in stockholders' equity, members’ (deficit) equity and mezzanine equity</w:t>
            </w:r>
          </w:p>
        </w:tc>
        <w:tc>
          <w:tcPr>
            <w:tcW w:w="2420" w:type="dxa"/>
            <w:vAlign w:val="bottom"/>
            <w:tcBorders>
              <w:top w:val="single" w:sz="8" w:color="CCEEFF"/>
              <w:bottom w:val="single" w:sz="8" w:color="CCEEFF"/>
            </w:tcBorders>
            <w:gridSpan w:val="2"/>
          </w:tcPr>
          <w:p>
            <w:pPr>
              <w:spacing w:after="0"/>
              <w:rPr>
                <w:sz w:val="24"/>
                <w:szCs w:val="24"/>
                <w:color w:val="auto"/>
              </w:rPr>
            </w:pPr>
          </w:p>
        </w:tc>
        <w:tc>
          <w:tcPr>
            <w:tcW w:w="620" w:type="dxa"/>
            <w:vAlign w:val="bottom"/>
            <w:tcBorders>
              <w:top w:val="single" w:sz="8" w:color="CCEEFF"/>
              <w:bottom w:val="single" w:sz="8" w:color="CCEEFF"/>
            </w:tcBorders>
            <w:gridSpan w:val="2"/>
          </w:tcPr>
          <w:p>
            <w:pPr>
              <w:spacing w:after="0"/>
              <w:rPr>
                <w:sz w:val="24"/>
                <w:szCs w:val="24"/>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rPr>
              <w:t>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4"/>
        </w:trPr>
        <w:tc>
          <w:tcPr>
            <w:tcW w:w="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0000FF"/>
            </w:tcBorders>
            <w:gridSpan w:val="4"/>
            <w:shd w:val="clear" w:color="auto" w:fill="CCEEFF"/>
          </w:tcPr>
          <w:p>
            <w:pPr>
              <w:spacing w:after="0"/>
              <w:rPr>
                <w:sz w:val="20"/>
                <w:szCs w:val="20"/>
                <w:color w:val="auto"/>
              </w:rPr>
            </w:pPr>
            <w:r>
              <w:rPr>
                <w:rFonts w:ascii="Arial" w:cs="Arial" w:eastAsia="Arial" w:hAnsi="Arial"/>
                <w:sz w:val="18"/>
                <w:szCs w:val="18"/>
                <w:color w:val="0000FF"/>
                <w:w w:val="89"/>
              </w:rPr>
              <w:t>Consolidated statements of cash flows</w:t>
            </w:r>
          </w:p>
        </w:tc>
        <w:tc>
          <w:tcPr>
            <w:tcW w:w="280" w:type="dxa"/>
            <w:vAlign w:val="bottom"/>
            <w:tcBorders>
              <w:bottom w:val="single" w:sz="8" w:color="CCEEFF"/>
            </w:tcBorders>
            <w:shd w:val="clear" w:color="auto" w:fill="CCEEFF"/>
          </w:tcPr>
          <w:p>
            <w:pPr>
              <w:spacing w:after="0"/>
              <w:rPr>
                <w:sz w:val="24"/>
                <w:szCs w:val="24"/>
                <w:color w:val="auto"/>
              </w:rPr>
            </w:pPr>
          </w:p>
        </w:tc>
        <w:tc>
          <w:tcPr>
            <w:tcW w:w="7160" w:type="dxa"/>
            <w:vAlign w:val="bottom"/>
            <w:tcBorders>
              <w:bottom w:val="single" w:sz="8" w:color="CCEEFF"/>
            </w:tcBorders>
            <w:gridSpan w:val="4"/>
            <w:shd w:val="clear" w:color="auto" w:fill="CCEEFF"/>
          </w:tcPr>
          <w:p>
            <w:pPr>
              <w:spacing w:after="0"/>
              <w:rPr>
                <w:sz w:val="24"/>
                <w:szCs w:val="24"/>
                <w:color w:val="auto"/>
              </w:rPr>
            </w:pPr>
          </w:p>
        </w:tc>
        <w:tc>
          <w:tcPr>
            <w:tcW w:w="8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000FF"/>
              </w:rPr>
              <w:t>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Borders>
              <w:top w:val="single" w:sz="8" w:color="CCEEFF"/>
            </w:tcBorders>
          </w:tcPr>
          <w:p>
            <w:pPr>
              <w:spacing w:after="0"/>
              <w:rPr>
                <w:sz w:val="24"/>
                <w:szCs w:val="24"/>
                <w:color w:val="auto"/>
              </w:rPr>
            </w:pPr>
          </w:p>
        </w:tc>
        <w:tc>
          <w:tcPr>
            <w:tcW w:w="3040" w:type="dxa"/>
            <w:vAlign w:val="bottom"/>
            <w:tcBorders>
              <w:top w:val="single" w:sz="8" w:color="CCEEFF"/>
              <w:bottom w:val="single" w:sz="8" w:color="0000FF"/>
            </w:tcBorders>
            <w:gridSpan w:val="5"/>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160" w:type="dxa"/>
            <w:vAlign w:val="bottom"/>
            <w:tcBorders>
              <w:top w:val="single" w:sz="8" w:color="CCEEFF"/>
            </w:tcBorders>
            <w:gridSpan w:val="4"/>
          </w:tcPr>
          <w:p>
            <w:pPr>
              <w:spacing w:after="0"/>
              <w:rPr>
                <w:sz w:val="24"/>
                <w:szCs w:val="24"/>
                <w:color w:val="auto"/>
              </w:rPr>
            </w:pPr>
          </w:p>
        </w:tc>
        <w:tc>
          <w:tcPr>
            <w:tcW w:w="620" w:type="dxa"/>
            <w:vAlign w:val="bottom"/>
            <w:tcBorders>
              <w:top w:val="single" w:sz="8" w:color="CCEEFF"/>
              <w:bottom w:val="single" w:sz="8" w:color="CCEEFF"/>
            </w:tcBorders>
            <w:gridSpan w:val="2"/>
          </w:tcPr>
          <w:p>
            <w:pPr>
              <w:spacing w:after="0"/>
              <w:rPr>
                <w:sz w:val="24"/>
                <w:szCs w:val="24"/>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rPr>
              <w:t>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vMerge w:val="restart"/>
          </w:tcPr>
          <w:p>
            <w:pPr>
              <w:jc w:val="center"/>
              <w:ind w:right="2040"/>
              <w:spacing w:after="0"/>
              <w:rPr>
                <w:sz w:val="20"/>
                <w:szCs w:val="20"/>
                <w:color w:val="auto"/>
              </w:rPr>
            </w:pPr>
            <w:r>
              <w:rPr>
                <w:rFonts w:ascii="Arial" w:cs="Arial" w:eastAsia="Arial" w:hAnsi="Arial"/>
                <w:sz w:val="18"/>
                <w:szCs w:val="18"/>
                <w:b w:val="1"/>
                <w:bCs w:val="1"/>
                <w:color w:val="auto"/>
              </w:rPr>
              <w:t>INDEX TO FINANCIAL STATEMENT SCHEDULES</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6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Schedule I</w:t>
            </w:r>
          </w:p>
        </w:tc>
        <w:tc>
          <w:tcPr>
            <w:tcW w:w="9420" w:type="dxa"/>
            <w:vAlign w:val="bottom"/>
            <w:gridSpan w:val="8"/>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0000FF"/>
            </w:tcBorders>
            <w:gridSpan w:val="2"/>
          </w:tcPr>
          <w:p>
            <w:pPr>
              <w:jc w:val="right"/>
              <w:spacing w:after="0"/>
              <w:rPr>
                <w:sz w:val="20"/>
                <w:szCs w:val="20"/>
                <w:color w:val="auto"/>
              </w:rPr>
            </w:pPr>
            <w:r>
              <w:rPr>
                <w:rFonts w:ascii="Arial" w:cs="Arial" w:eastAsia="Arial" w:hAnsi="Arial"/>
                <w:sz w:val="18"/>
                <w:szCs w:val="18"/>
                <w:color w:val="0000FF"/>
                <w:w w:val="86"/>
              </w:rPr>
              <w:t>105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0000FF"/>
            </w:tcBorders>
            <w:gridSpan w:val="2"/>
            <w:shd w:val="clear" w:color="auto" w:fill="CCEEFF"/>
          </w:tcPr>
          <w:p>
            <w:pPr>
              <w:spacing w:after="0"/>
              <w:rPr>
                <w:sz w:val="20"/>
                <w:szCs w:val="20"/>
                <w:color w:val="auto"/>
              </w:rPr>
            </w:pPr>
            <w:r>
              <w:rPr>
                <w:rFonts w:ascii="Arial" w:cs="Arial" w:eastAsia="Arial" w:hAnsi="Arial"/>
                <w:sz w:val="18"/>
                <w:szCs w:val="18"/>
                <w:color w:val="0000FF"/>
                <w:w w:val="91"/>
              </w:rPr>
              <w:t>Schedule II</w:t>
            </w:r>
          </w:p>
        </w:tc>
        <w:tc>
          <w:tcPr>
            <w:tcW w:w="9360" w:type="dxa"/>
            <w:vAlign w:val="bottom"/>
            <w:tcBorders>
              <w:bottom w:val="single" w:sz="8" w:color="CCEEFF"/>
            </w:tcBorders>
            <w:gridSpan w:val="7"/>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0000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000FF"/>
                <w:w w:val="86"/>
              </w:rPr>
              <w:t>109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7800" w:type="dxa"/>
            <w:vAlign w:val="bottom"/>
            <w:gridSpan w:val="8"/>
          </w:tcPr>
          <w:p>
            <w:pPr>
              <w:jc w:val="center"/>
              <w:ind w:left="3370"/>
              <w:spacing w:after="0"/>
              <w:rPr>
                <w:sz w:val="20"/>
                <w:szCs w:val="20"/>
                <w:color w:val="auto"/>
              </w:rPr>
            </w:pPr>
            <w:r>
              <w:rPr>
                <w:rFonts w:ascii="Arial" w:cs="Arial" w:eastAsia="Arial" w:hAnsi="Arial"/>
                <w:sz w:val="18"/>
                <w:szCs w:val="18"/>
                <w:color w:val="auto"/>
                <w:w w:val="89"/>
              </w:rPr>
              <w:t>69</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Fluence Energy,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Fluence Energy, Inc. (the Company) as of September 30, 2022 and 2021, the related consolidated statements of operations and comprehensive loss, changes in stockholders’ equity, members’ equity (deficit) and mezzanine equity and cash flows for each of the three years in the period ended September 30, 2022, and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Tysons, VA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per unit or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36,829</w:t>
            </w: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86,770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57,419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101,975</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Receivables from related parties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112,027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33,362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652,735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389,787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31,162</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1,601,533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661,515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36,057</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Deferred income tax asset,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to suppliers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56,160</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1,745,654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717,675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mezzanine equity, and stockholders’/members’ equity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304,898</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158,366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71,365</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Borrowing from line of credit</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 from related parties</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Personnel related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provisions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186,143</w:t>
            </w: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Payables and deferred revenue with related parties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306,348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227,925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1,109,463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771,493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1,116,446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773,874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20"/>
              <w:spacing w:after="0" w:line="176" w:lineRule="exact"/>
              <w:rPr>
                <w:sz w:val="20"/>
                <w:szCs w:val="20"/>
                <w:color w:val="auto"/>
              </w:rPr>
            </w:pPr>
            <w:r>
              <w:rPr>
                <w:rFonts w:ascii="Arial" w:cs="Arial" w:eastAsia="Arial" w:hAnsi="Arial"/>
                <w:sz w:val="18"/>
                <w:szCs w:val="18"/>
                <w:color w:val="auto"/>
                <w:w w:val="94"/>
              </w:rPr>
              <w:t>Mezzanine equity (0 and 18,493,275 Class B units issued and outstanding as of September 30, 2022 and 2021,</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117,235</w:t>
            </w:r>
          </w:p>
        </w:tc>
        <w:tc>
          <w:tcPr>
            <w:tcW w:w="0" w:type="dxa"/>
            <w:vAlign w:val="bottom"/>
          </w:tcPr>
          <w:p>
            <w:pPr>
              <w:spacing w:after="0"/>
              <w:rPr>
                <w:sz w:val="1"/>
                <w:szCs w:val="1"/>
                <w:color w:val="auto"/>
              </w:rPr>
            </w:pPr>
          </w:p>
        </w:tc>
      </w:t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mezzanine equity</w:t>
            </w: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Stockholders’ Equity/Members’ equity (deficit):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Members’ capital contributions (0 and 117,173,390 Class A units issued and outstanding as of September 30,</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and 2021, respectively)</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440" w:top="985" w:right="4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85" w:right="45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8400" w:type="dxa"/>
            <w:vAlign w:val="bottom"/>
          </w:tcPr>
          <w:p>
            <w:pPr>
              <w:ind w:left="180"/>
              <w:spacing w:after="0"/>
              <w:rPr>
                <w:sz w:val="20"/>
                <w:szCs w:val="20"/>
                <w:color w:val="auto"/>
              </w:rPr>
            </w:pPr>
            <w:r>
              <w:rPr>
                <w:rFonts w:ascii="Arial" w:cs="Arial" w:eastAsia="Arial" w:hAnsi="Arial"/>
                <w:sz w:val="18"/>
                <w:szCs w:val="18"/>
                <w:color w:val="auto"/>
                <w:w w:val="96"/>
              </w:rPr>
              <w:t>Preferred stock, $0.00001 per share, 10,000,000 share authorized; no shares issued and outstanding as of</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September 30, 2022 and 2021</w:t>
            </w: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Class A common stock, $0.00001 par value per share, 1,200,000,000 shares authorized; 115,424,025 shares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8"/>
        </w:trPr>
        <w:tc>
          <w:tcPr>
            <w:tcW w:w="84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0"/>
              </w:rPr>
              <w:t>issued and 114,873,121 shares outstanding as of September 30, 2022; no shares issued and outstanding as of</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2021</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400" w:type="dxa"/>
            <w:vAlign w:val="bottom"/>
          </w:tcPr>
          <w:p>
            <w:pPr>
              <w:ind w:left="180"/>
              <w:spacing w:after="0" w:line="176" w:lineRule="exact"/>
              <w:rPr>
                <w:sz w:val="20"/>
                <w:szCs w:val="20"/>
                <w:color w:val="auto"/>
              </w:rPr>
            </w:pPr>
            <w:r>
              <w:rPr>
                <w:rFonts w:ascii="Arial" w:cs="Arial" w:eastAsia="Arial" w:hAnsi="Arial"/>
                <w:sz w:val="18"/>
                <w:szCs w:val="18"/>
                <w:color w:val="auto"/>
                <w:w w:val="89"/>
              </w:rPr>
              <w:t>Class B-1 common stock, $0.00001 par value per share, 200,000,000 shares authorized; 58,586,695 shares issued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w w:val="96"/>
              </w:rPr>
              <w:t>and outstanding as of September 30, 2022; no shares issued and outstanding as of September 30, 2021</w:t>
            </w:r>
          </w:p>
        </w:tc>
        <w:tc>
          <w:tcPr>
            <w:tcW w:w="3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Class B-2 common stock, $0.00001 par value per share, 200,000,000 shares authorized; no shares issued and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2022 and 2021</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Treasury stock, at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(279,301)</w:t>
            </w:r>
          </w:p>
        </w:tc>
      </w:tr>
      <w:tr>
        <w:trPr>
          <w:trHeight w:val="223"/>
        </w:trPr>
        <w:tc>
          <w:tcPr>
            <w:tcW w:w="8400" w:type="dxa"/>
            <w:vAlign w:val="bottom"/>
          </w:tcPr>
          <w:p>
            <w:pPr>
              <w:ind w:left="180"/>
              <w:spacing w:after="0"/>
              <w:rPr>
                <w:sz w:val="20"/>
                <w:szCs w:val="20"/>
                <w:color w:val="auto"/>
              </w:rPr>
            </w:pPr>
            <w:r>
              <w:rPr>
                <w:rFonts w:ascii="Arial" w:cs="Arial" w:eastAsia="Arial" w:hAnsi="Arial"/>
                <w:sz w:val="18"/>
                <w:szCs w:val="18"/>
                <w:color w:val="auto"/>
              </w:rPr>
              <w:t>Total stockholders’ equity attributable to Fluence Energy, Inc./members’ equity (deficit)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435,830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(173,434)</w:t>
            </w:r>
          </w:p>
        </w:tc>
      </w:tr>
      <w:tr>
        <w:trPr>
          <w:trHeight w:val="229"/>
        </w:trPr>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 and members’ deficit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629,208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(173,434)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stockholders’ equity, mezzanine equity, and members’ equity (deficit)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783"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per unit or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6"/>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401,676</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related parties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159,647</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561,323</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1,260,957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749,910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553,400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11,535</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22,624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16,239</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income,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(40,289)</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(46,710)</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(46,710)</w:t>
            </w:r>
          </w:p>
        </w:tc>
      </w:tr>
      <w:tr>
        <w:trPr>
          <w:trHeight w:val="248"/>
        </w:trPr>
        <w:tc>
          <w:tcPr>
            <w:tcW w:w="7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attributable to Fluence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7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number of Class A common shares outstanding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69,714,054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7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per share of Class A common stock</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62"/>
        </w:trPr>
        <w:tc>
          <w:tcPr>
            <w:tcW w:w="7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8"/>
        </w:trPr>
        <w:tc>
          <w:tcPr>
            <w:tcW w:w="7320" w:type="dxa"/>
            <w:vAlign w:val="bottom"/>
          </w:tcPr>
          <w:p>
            <w:pPr>
              <w:ind w:left="20"/>
              <w:spacing w:after="0" w:line="189" w:lineRule="exact"/>
              <w:rPr>
                <w:sz w:val="20"/>
                <w:szCs w:val="20"/>
                <w:color w:val="auto"/>
              </w:rPr>
            </w:pPr>
            <w:r>
              <w:rPr>
                <w:rFonts w:ascii="Arial" w:cs="Arial" w:eastAsia="Arial" w:hAnsi="Arial"/>
                <w:sz w:val="18"/>
                <w:szCs w:val="18"/>
                <w:color w:val="auto"/>
                <w:w w:val="92"/>
              </w:rPr>
              <w:t>Foreign currency translation (loss) gain, net of income tax benefit (expense) of $0.1 million in 2022,</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and $0 in 2021 and 2020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Actuarial gain (loss) on pension liabilities, net of income tax (expense) benefit of $0 in each period</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 income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non-controlling interest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(45,230)</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 attributable to Fluence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MEMBERS’ EQUITY (DEFICIT) AND MEZZANINE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Shares/Units)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Class A</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b w:val="1"/>
                <w:bCs w:val="1"/>
                <w:color w:val="auto"/>
              </w:rPr>
              <w:t>Class B-1</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jc w:val="right"/>
              <w:ind w:right="3"/>
              <w:spacing w:after="0"/>
              <w:rPr>
                <w:sz w:val="20"/>
                <w:szCs w:val="20"/>
                <w:color w:val="auto"/>
              </w:rPr>
            </w:pPr>
            <w:r>
              <w:rPr>
                <w:rFonts w:ascii="Arial" w:cs="Arial" w:eastAsia="Arial" w:hAnsi="Arial"/>
                <w:sz w:val="14"/>
                <w:szCs w:val="14"/>
                <w:b w:val="1"/>
                <w:bCs w:val="1"/>
                <w:color w:val="auto"/>
              </w:rPr>
              <w:t>Accumulated</w:t>
            </w: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23"/>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4"/>
              </w:rPr>
              <w:t>Members’</w:t>
            </w: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6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3"/>
              </w:rPr>
              <w:t>Non-</w:t>
            </w: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3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Common Stock</w:t>
            </w:r>
          </w:p>
        </w:tc>
        <w:tc>
          <w:tcPr>
            <w:tcW w:w="118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23"/>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equity and</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70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4"/>
              </w:rPr>
              <w:t>Mezzanine</w:t>
            </w:r>
          </w:p>
        </w:tc>
        <w:tc>
          <w:tcPr>
            <w:tcW w:w="120" w:type="dxa"/>
            <w:vAlign w:val="bottom"/>
          </w:tcPr>
          <w:p>
            <w:pPr>
              <w:spacing w:after="0"/>
              <w:rPr>
                <w:sz w:val="4"/>
                <w:szCs w:val="4"/>
                <w:color w:val="auto"/>
              </w:rPr>
            </w:pPr>
          </w:p>
        </w:tc>
        <w:tc>
          <w:tcPr>
            <w:tcW w:w="760" w:type="dxa"/>
            <w:vAlign w:val="bottom"/>
            <w:vMerge w:val="restart"/>
          </w:tcPr>
          <w:p>
            <w:pPr>
              <w:jc w:val="right"/>
              <w:ind w:right="164"/>
              <w:spacing w:after="0" w:line="135" w:lineRule="exact"/>
              <w:rPr>
                <w:sz w:val="20"/>
                <w:szCs w:val="20"/>
                <w:color w:val="auto"/>
              </w:rPr>
            </w:pPr>
            <w:r>
              <w:rPr>
                <w:rFonts w:ascii="Arial" w:cs="Arial" w:eastAsia="Arial" w:hAnsi="Arial"/>
                <w:sz w:val="14"/>
                <w:szCs w:val="14"/>
                <w:b w:val="1"/>
                <w:bCs w:val="1"/>
                <w:color w:val="auto"/>
              </w:rPr>
              <w:t>capital</w:t>
            </w: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restart"/>
          </w:tcPr>
          <w:p>
            <w:pPr>
              <w:jc w:val="center"/>
              <w:ind w:right="42"/>
              <w:spacing w:after="0" w:line="135" w:lineRule="exact"/>
              <w:rPr>
                <w:sz w:val="20"/>
                <w:szCs w:val="20"/>
                <w:color w:val="auto"/>
              </w:rPr>
            </w:pPr>
            <w:r>
              <w:rPr>
                <w:rFonts w:ascii="Arial" w:cs="Arial" w:eastAsia="Arial" w:hAnsi="Arial"/>
                <w:sz w:val="14"/>
                <w:szCs w:val="14"/>
                <w:b w:val="1"/>
                <w:bCs w:val="1"/>
                <w:color w:val="auto"/>
              </w:rPr>
              <w:t>Paid-In</w:t>
            </w:r>
          </w:p>
        </w:tc>
        <w:tc>
          <w:tcPr>
            <w:tcW w:w="1880" w:type="dxa"/>
            <w:vAlign w:val="bottom"/>
            <w:gridSpan w:val="6"/>
            <w:vMerge w:val="restart"/>
          </w:tcPr>
          <w:p>
            <w:pPr>
              <w:jc w:val="center"/>
              <w:spacing w:after="0" w:line="135" w:lineRule="exact"/>
              <w:rPr>
                <w:sz w:val="20"/>
                <w:szCs w:val="20"/>
                <w:color w:val="auto"/>
              </w:rPr>
            </w:pPr>
            <w:r>
              <w:rPr>
                <w:rFonts w:ascii="Arial" w:cs="Arial" w:eastAsia="Arial" w:hAnsi="Arial"/>
                <w:sz w:val="14"/>
                <w:szCs w:val="14"/>
                <w:b w:val="1"/>
                <w:bCs w:val="1"/>
                <w:color w:val="auto"/>
                <w:w w:val="92"/>
              </w:rPr>
              <w:t>Accumulated Comprehensive</w:t>
            </w: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6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6"/>
              </w:rPr>
              <w:t>Controlling</w:t>
            </w:r>
          </w:p>
        </w:tc>
        <w:tc>
          <w:tcPr>
            <w:tcW w:w="100" w:type="dxa"/>
            <w:vAlign w:val="bottom"/>
          </w:tcPr>
          <w:p>
            <w:pPr>
              <w:spacing w:after="0"/>
              <w:rPr>
                <w:sz w:val="4"/>
                <w:szCs w:val="4"/>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3"/>
              </w:rPr>
              <w:t>members’</w:t>
            </w: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continue"/>
          </w:tcPr>
          <w:p>
            <w:pPr>
              <w:spacing w:after="0"/>
              <w:rPr>
                <w:sz w:val="5"/>
                <w:szCs w:val="5"/>
                <w:color w:val="auto"/>
              </w:rPr>
            </w:pPr>
          </w:p>
        </w:tc>
        <w:tc>
          <w:tcPr>
            <w:tcW w:w="1880" w:type="dxa"/>
            <w:vAlign w:val="bottom"/>
            <w:gridSpan w:val="6"/>
            <w:vMerge w:val="continue"/>
          </w:tcPr>
          <w:p>
            <w:pPr>
              <w:spacing w:after="0"/>
              <w:rPr>
                <w:sz w:val="5"/>
                <w:szCs w:val="5"/>
                <w:color w:val="auto"/>
              </w:rPr>
            </w:pPr>
          </w:p>
        </w:tc>
        <w:tc>
          <w:tcPr>
            <w:tcW w:w="620" w:type="dxa"/>
            <w:vAlign w:val="bottom"/>
            <w:gridSpan w:val="2"/>
            <w:vMerge w:val="restart"/>
          </w:tcPr>
          <w:p>
            <w:pPr>
              <w:jc w:val="right"/>
              <w:ind w:right="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Equity</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contributions</w:t>
            </w:r>
          </w:p>
        </w:tc>
        <w:tc>
          <w:tcPr>
            <w:tcW w:w="8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gridSpan w:val="2"/>
            <w:vMerge w:val="continue"/>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660" w:type="dxa"/>
            <w:vAlign w:val="bottom"/>
            <w:tcBorders>
              <w:bottom w:val="single" w:sz="8" w:color="auto"/>
            </w:tcBorders>
            <w:gridSpan w:val="3"/>
            <w:vMerge w:val="continue"/>
          </w:tcPr>
          <w:p>
            <w:pPr>
              <w:spacing w:after="0"/>
              <w:rPr>
                <w:sz w:val="17"/>
                <w:szCs w:val="17"/>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Income (Loss)</w:t>
            </w: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vMerge w:val="continue"/>
          </w:tcPr>
          <w:p>
            <w:pPr>
              <w:spacing w:after="0"/>
              <w:rPr>
                <w:sz w:val="17"/>
                <w:szCs w:val="17"/>
                <w:color w:val="auto"/>
              </w:rPr>
            </w:pPr>
          </w:p>
        </w:tc>
        <w:tc>
          <w:tcPr>
            <w:tcW w:w="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b w:val="1"/>
                <w:bCs w:val="1"/>
                <w:color w:val="auto"/>
              </w:rPr>
              <w:t>Balance at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5"/>
              </w:rPr>
              <w:t>September 30, 2021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117,235</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106,152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 $</w:t>
            </w: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80" w:type="dxa"/>
            <w:vAlign w:val="bottom"/>
            <w:gridSpan w:val="3"/>
            <w:shd w:val="clear" w:color="auto" w:fill="CCEEFF"/>
          </w:tcPr>
          <w:p>
            <w:pPr>
              <w:jc w:val="right"/>
              <w:ind w:right="141"/>
              <w:spacing w:after="0"/>
              <w:rPr>
                <w:sz w:val="20"/>
                <w:szCs w:val="20"/>
                <w:color w:val="auto"/>
              </w:rPr>
            </w:pPr>
            <w:r>
              <w:rPr>
                <w:rFonts w:ascii="Arial" w:cs="Arial" w:eastAsia="Arial" w:hAnsi="Arial"/>
                <w:sz w:val="15"/>
                <w:szCs w:val="15"/>
                <w:color w:val="auto"/>
              </w:rPr>
              <w:t>— $</w:t>
            </w:r>
          </w:p>
        </w:tc>
        <w:tc>
          <w:tcPr>
            <w:tcW w:w="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(279,301)</w:t>
            </w: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(173,434)</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Net loss prior to the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80" w:type="dxa"/>
            <w:vAlign w:val="bottom"/>
          </w:tcPr>
          <w:p>
            <w:pPr>
              <w:ind w:left="20"/>
              <w:spacing w:after="0"/>
              <w:rPr>
                <w:sz w:val="20"/>
                <w:szCs w:val="20"/>
                <w:color w:val="auto"/>
              </w:rPr>
            </w:pPr>
            <w:r>
              <w:rPr>
                <w:rFonts w:ascii="Arial" w:cs="Arial" w:eastAsia="Arial" w:hAnsi="Arial"/>
                <w:sz w:val="15"/>
                <w:szCs w:val="15"/>
                <w:color w:val="auto"/>
              </w:rPr>
              <w:t>Transactions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(20,317)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(20,317)</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3"/>
              </w:rPr>
              <w:t>Other comprehensive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income prior to the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Transactions, net of</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6"/>
              </w:rPr>
              <w:t>income tax benefit of</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$0 million</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Effect of the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w w:val="98"/>
              </w:rPr>
              <w:t>Transactions related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80" w:type="dxa"/>
            <w:vAlign w:val="bottom"/>
          </w:tcPr>
          <w:p>
            <w:pPr>
              <w:ind w:left="20"/>
              <w:spacing w:after="0"/>
              <w:rPr>
                <w:sz w:val="20"/>
                <w:szCs w:val="20"/>
                <w:color w:val="auto"/>
              </w:rPr>
            </w:pPr>
            <w:r>
              <w:rPr>
                <w:rFonts w:ascii="Arial" w:cs="Arial" w:eastAsia="Arial" w:hAnsi="Arial"/>
                <w:sz w:val="15"/>
                <w:szCs w:val="15"/>
                <w:color w:val="auto"/>
              </w:rPr>
              <w:t>to the IPO</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0"/>
              </w:rPr>
              <w:t>(117,235)</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(106,152)</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18,493,275</w:t>
            </w:r>
          </w:p>
        </w:tc>
        <w:tc>
          <w:tcPr>
            <w:tcW w:w="260" w:type="dxa"/>
            <w:vAlign w:val="bottom"/>
          </w:tcPr>
          <w:p>
            <w:pPr>
              <w:spacing w:after="0"/>
              <w:rPr>
                <w:sz w:val="17"/>
                <w:szCs w:val="17"/>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(24,091)</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279,301</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75</w:t>
            </w:r>
          </w:p>
        </w:tc>
        <w:tc>
          <w:tcPr>
            <w:tcW w:w="38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(31,899)</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117,234</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Issuance of Class A</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common stock in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9"/>
              </w:rPr>
              <w:t>IPO, net of issuance</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8"/>
              </w:rPr>
              <w:t>35,650,000</w:t>
            </w:r>
          </w:p>
        </w:tc>
        <w:tc>
          <w:tcPr>
            <w:tcW w:w="26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295,740</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640,021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935,761</w:t>
            </w: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costs</w:t>
            </w: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Founders stock</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80" w:type="dxa"/>
            <w:vAlign w:val="bottom"/>
          </w:tcPr>
          <w:p>
            <w:pPr>
              <w:ind w:left="20"/>
              <w:spacing w:after="0"/>
              <w:rPr>
                <w:sz w:val="20"/>
                <w:szCs w:val="20"/>
                <w:color w:val="auto"/>
              </w:rPr>
            </w:pPr>
            <w:r>
              <w:rPr>
                <w:rFonts w:ascii="Arial" w:cs="Arial" w:eastAsia="Arial" w:hAnsi="Arial"/>
                <w:sz w:val="15"/>
                <w:szCs w:val="15"/>
                <w:color w:val="auto"/>
              </w:rPr>
              <w:t>issuance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117,173,390</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8"/>
              </w:rPr>
              <w:t>Net loss subsequent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 the Transactions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(104,485)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(164,375)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(268,860)</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Stock-based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compensation</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w w:val="98"/>
              </w:rPr>
              <w:t>expense and related</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1,427,662</w:t>
            </w:r>
          </w:p>
        </w:tc>
        <w:tc>
          <w:tcPr>
            <w:tcW w:w="260" w:type="dxa"/>
            <w:vAlign w:val="bottom"/>
          </w:tcPr>
          <w:p>
            <w:pPr>
              <w:spacing w:after="0"/>
              <w:rPr>
                <w:sz w:val="12"/>
                <w:szCs w:val="12"/>
                <w:color w:val="auto"/>
              </w:rPr>
            </w:pPr>
          </w:p>
        </w:tc>
        <w:tc>
          <w:tcPr>
            <w:tcW w:w="3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2"/>
                <w:szCs w:val="12"/>
                <w:color w:val="auto"/>
              </w:rPr>
            </w:pPr>
          </w:p>
        </w:tc>
        <w:tc>
          <w:tcPr>
            <w:tcW w:w="320" w:type="dxa"/>
            <w:vAlign w:val="bottom"/>
            <w:gridSpan w:val="2"/>
            <w:vMerge w:val="restart"/>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35,450</w:t>
            </w:r>
          </w:p>
        </w:tc>
        <w:tc>
          <w:tcPr>
            <w:tcW w:w="10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35,450</w:t>
            </w:r>
          </w:p>
        </w:tc>
        <w:tc>
          <w:tcPr>
            <w:tcW w:w="0" w:type="dxa"/>
            <w:vAlign w:val="bottom"/>
          </w:tcPr>
          <w:p>
            <w:pPr>
              <w:spacing w:after="0"/>
              <w:rPr>
                <w:sz w:val="1"/>
                <w:szCs w:val="1"/>
                <w:color w:val="auto"/>
              </w:rPr>
            </w:pPr>
          </w:p>
        </w:tc>
      </w:tr>
      <w:tr>
        <w:trPr>
          <w:trHeight w:val="198"/>
        </w:trPr>
        <w:tc>
          <w:tcPr>
            <w:tcW w:w="1380" w:type="dxa"/>
            <w:vAlign w:val="bottom"/>
          </w:tcPr>
          <w:p>
            <w:pPr>
              <w:ind w:left="20"/>
              <w:spacing w:after="0"/>
              <w:rPr>
                <w:sz w:val="20"/>
                <w:szCs w:val="20"/>
                <w:color w:val="auto"/>
              </w:rPr>
            </w:pPr>
            <w:r>
              <w:rPr>
                <w:rFonts w:ascii="Arial" w:cs="Arial" w:eastAsia="Arial" w:hAnsi="Arial"/>
                <w:sz w:val="15"/>
                <w:szCs w:val="15"/>
                <w:color w:val="auto"/>
              </w:rPr>
              <w:t>vesting</w:t>
            </w: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Repurchase of Class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A common stock</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placed into Treasury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(550,904)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550,904</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(5,013)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(5,013)</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Effect of Siemens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Industry redemption</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w w:val="95"/>
              </w:rPr>
              <w:t>of class B-1 common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stock for class A</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80" w:type="dxa"/>
            <w:vAlign w:val="bottom"/>
          </w:tcPr>
          <w:p>
            <w:pPr>
              <w:ind w:left="20"/>
              <w:spacing w:after="0"/>
              <w:rPr>
                <w:sz w:val="20"/>
                <w:szCs w:val="20"/>
                <w:color w:val="auto"/>
              </w:rPr>
            </w:pPr>
            <w:r>
              <w:rPr>
                <w:rFonts w:ascii="Arial" w:cs="Arial" w:eastAsia="Arial" w:hAnsi="Arial"/>
                <w:sz w:val="15"/>
                <w:szCs w:val="15"/>
                <w:color w:val="auto"/>
              </w:rPr>
              <w:t>common stock</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58,586,695</w:t>
            </w:r>
          </w:p>
        </w:tc>
        <w:tc>
          <w:tcPr>
            <w:tcW w:w="260" w:type="dxa"/>
            <w:vAlign w:val="bottom"/>
          </w:tcPr>
          <w:p>
            <w:pPr>
              <w:spacing w:after="0"/>
              <w:rPr>
                <w:sz w:val="18"/>
                <w:szCs w:val="18"/>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w w:val="96"/>
              </w:rPr>
              <w:t>(58,586,695)</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5"/>
              </w:rPr>
              <w:t>227,699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w w:val="90"/>
              </w:rPr>
              <w:t>(227,699)</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Effect of</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remeasurement of</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non-controlling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interest due to 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 transactions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rPr>
              <w:t>Proceeds from</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rPr>
              <w:t>exercise of stock</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380" w:type="dxa"/>
            <w:vAlign w:val="bottom"/>
          </w:tcPr>
          <w:p>
            <w:pPr>
              <w:ind w:left="20"/>
              <w:spacing w:after="0"/>
              <w:rPr>
                <w:sz w:val="20"/>
                <w:szCs w:val="20"/>
                <w:color w:val="auto"/>
              </w:rPr>
            </w:pPr>
            <w:r>
              <w:rPr>
                <w:rFonts w:ascii="Arial" w:cs="Arial" w:eastAsia="Arial" w:hAnsi="Arial"/>
                <w:sz w:val="15"/>
                <w:szCs w:val="15"/>
                <w:color w:val="auto"/>
              </w:rPr>
              <w:t>options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1,266,393</w:t>
            </w:r>
          </w:p>
        </w:tc>
        <w:tc>
          <w:tcPr>
            <w:tcW w:w="260" w:type="dxa"/>
            <w:vAlign w:val="bottom"/>
          </w:tcPr>
          <w:p>
            <w:pPr>
              <w:spacing w:after="0"/>
              <w:rPr>
                <w:sz w:val="17"/>
                <w:szCs w:val="17"/>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3,103</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 $</w:t>
            </w:r>
          </w:p>
        </w:tc>
        <w:tc>
          <w:tcPr>
            <w:tcW w:w="760" w:type="dxa"/>
            <w:vAlign w:val="bottom"/>
          </w:tcPr>
          <w:p>
            <w:pPr>
              <w:jc w:val="right"/>
              <w:spacing w:after="0"/>
              <w:rPr>
                <w:sz w:val="20"/>
                <w:szCs w:val="20"/>
                <w:color w:val="auto"/>
              </w:rPr>
            </w:pPr>
            <w:r>
              <w:rPr>
                <w:rFonts w:ascii="Arial" w:cs="Arial" w:eastAsia="Arial" w:hAnsi="Arial"/>
                <w:sz w:val="15"/>
                <w:szCs w:val="15"/>
                <w:color w:val="auto"/>
              </w:rPr>
              <w:t>3,103</w:t>
            </w: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Adoption of</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Accounting</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Standards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w w:val="93"/>
              </w:rPr>
              <w:t>Other comprehensive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5"/>
                <w:szCs w:val="15"/>
                <w:color w:val="auto"/>
                <w:w w:val="91"/>
              </w:rPr>
              <w:t>income subsequent to</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w w:val="95"/>
              </w:rPr>
              <w:t>the Transactions, net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20"/>
              <w:spacing w:after="0" w:line="149" w:lineRule="exact"/>
              <w:rPr>
                <w:sz w:val="20"/>
                <w:szCs w:val="20"/>
                <w:color w:val="auto"/>
              </w:rPr>
            </w:pPr>
            <w:r>
              <w:rPr>
                <w:rFonts w:ascii="Arial" w:cs="Arial" w:eastAsia="Arial" w:hAnsi="Arial"/>
                <w:sz w:val="15"/>
                <w:szCs w:val="15"/>
                <w:color w:val="auto"/>
                <w:w w:val="96"/>
              </w:rPr>
              <w:t>of income tax benefit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of $0.1 million</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5"/>
                <w:szCs w:val="15"/>
                <w:color w:val="auto"/>
                <w:w w:val="93"/>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2,819</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5,167</w:t>
            </w: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20"/>
              <w:spacing w:after="0" w:line="146" w:lineRule="exact"/>
              <w:rPr>
                <w:sz w:val="20"/>
                <w:szCs w:val="20"/>
                <w:color w:val="auto"/>
              </w:rPr>
            </w:pPr>
            <w:r>
              <w:rPr>
                <w:rFonts w:ascii="Arial" w:cs="Arial" w:eastAsia="Arial" w:hAnsi="Arial"/>
                <w:sz w:val="15"/>
                <w:szCs w:val="15"/>
                <w:b w:val="1"/>
                <w:bCs w:val="1"/>
                <w:color w:val="auto"/>
              </w:rPr>
              <w:t>Balance at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September 30, 2022</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114,873,121</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58,586,695</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97"/>
              </w:rPr>
              <w:t>— $ 542,602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(104,544)</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2,784</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550,904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color w:val="auto"/>
                <w:w w:val="96"/>
              </w:rPr>
              <w:t>(5,013) $</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193,378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629,208</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262"/>
              <w:spacing w:after="0" w:line="155" w:lineRule="exact"/>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gridSpan w:val="4"/>
            <w:vMerge w:val="restart"/>
          </w:tcPr>
          <w:p>
            <w:pPr>
              <w:jc w:val="right"/>
              <w:ind w:right="362"/>
              <w:spacing w:after="0"/>
              <w:rPr>
                <w:sz w:val="20"/>
                <w:szCs w:val="20"/>
                <w:color w:val="auto"/>
              </w:rPr>
            </w:pPr>
            <w:r>
              <w:rPr>
                <w:rFonts w:ascii="Arial" w:cs="Arial" w:eastAsia="Arial" w:hAnsi="Arial"/>
                <w:sz w:val="16"/>
                <w:szCs w:val="16"/>
                <w:b w:val="1"/>
                <w:bCs w:val="1"/>
                <w:color w:val="auto"/>
              </w:rPr>
              <w:t>Mezzanine Equity</w:t>
            </w:r>
          </w:p>
        </w:tc>
        <w:tc>
          <w:tcPr>
            <w:tcW w:w="60" w:type="dxa"/>
            <w:vAlign w:val="bottom"/>
            <w:vMerge w:val="restart"/>
          </w:tcPr>
          <w:p>
            <w:pPr>
              <w:spacing w:after="0"/>
              <w:rPr>
                <w:sz w:val="14"/>
                <w:szCs w:val="14"/>
                <w:color w:val="auto"/>
              </w:rPr>
            </w:pPr>
          </w:p>
        </w:tc>
        <w:tc>
          <w:tcPr>
            <w:tcW w:w="1960" w:type="dxa"/>
            <w:vAlign w:val="bottom"/>
            <w:gridSpan w:val="6"/>
            <w:vMerge w:val="restart"/>
          </w:tcPr>
          <w:p>
            <w:pPr>
              <w:jc w:val="right"/>
              <w:ind w:right="2"/>
              <w:spacing w:after="0"/>
              <w:rPr>
                <w:sz w:val="20"/>
                <w:szCs w:val="20"/>
                <w:color w:val="auto"/>
              </w:rPr>
            </w:pPr>
            <w:r>
              <w:rPr>
                <w:rFonts w:ascii="Arial" w:cs="Arial" w:eastAsia="Arial" w:hAnsi="Arial"/>
                <w:sz w:val="16"/>
                <w:szCs w:val="16"/>
                <w:b w:val="1"/>
                <w:bCs w:val="1"/>
                <w:color w:val="auto"/>
                <w:w w:val="95"/>
              </w:rPr>
              <w:t>Limited Members’ Capital</w:t>
            </w:r>
          </w:p>
        </w:tc>
        <w:tc>
          <w:tcPr>
            <w:tcW w:w="1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0" w:type="dxa"/>
            <w:vAlign w:val="bottom"/>
            <w:tcBorders>
              <w:bottom w:val="single" w:sz="8" w:color="auto"/>
            </w:tcBorders>
            <w:vMerge w:val="continue"/>
          </w:tcPr>
          <w:p>
            <w:pPr>
              <w:spacing w:after="0"/>
              <w:rPr>
                <w:sz w:val="12"/>
                <w:szCs w:val="12"/>
                <w:color w:val="auto"/>
              </w:rPr>
            </w:pPr>
          </w:p>
        </w:tc>
        <w:tc>
          <w:tcPr>
            <w:tcW w:w="1960" w:type="dxa"/>
            <w:vAlign w:val="bottom"/>
            <w:tcBorders>
              <w:bottom w:val="single" w:sz="8" w:color="auto"/>
            </w:tcBorders>
            <w:gridSpan w:val="6"/>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360" w:type="dxa"/>
            <w:vAlign w:val="bottom"/>
            <w:gridSpan w:val="4"/>
          </w:tcPr>
          <w:p>
            <w:pPr>
              <w:jc w:val="center"/>
              <w:ind w:right="122"/>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60" w:type="dxa"/>
            <w:vAlign w:val="bottom"/>
            <w:gridSpan w:val="4"/>
          </w:tcPr>
          <w:p>
            <w:pPr>
              <w:ind w:left="12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500" w:type="dxa"/>
            <w:vAlign w:val="bottom"/>
            <w:gridSpan w:val="3"/>
          </w:tcPr>
          <w:p>
            <w:pPr>
              <w:jc w:val="right"/>
              <w:ind w:right="63"/>
              <w:spacing w:after="0" w:line="142" w:lineRule="exact"/>
              <w:rPr>
                <w:sz w:val="20"/>
                <w:szCs w:val="20"/>
                <w:color w:val="auto"/>
              </w:rPr>
            </w:pPr>
            <w:r>
              <w:rPr>
                <w:rFonts w:ascii="Arial" w:cs="Arial" w:eastAsia="Arial" w:hAnsi="Arial"/>
                <w:sz w:val="16"/>
                <w:szCs w:val="16"/>
                <w:b w:val="1"/>
                <w:bCs w:val="1"/>
                <w:color w:val="auto"/>
              </w:rPr>
              <w:t>Total Members’</w:t>
            </w:r>
          </w:p>
        </w:tc>
        <w:tc>
          <w:tcPr>
            <w:tcW w:w="0" w:type="dxa"/>
            <w:vAlign w:val="bottom"/>
          </w:tcPr>
          <w:p>
            <w:pPr>
              <w:spacing w:after="0"/>
              <w:rPr>
                <w:sz w:val="1"/>
                <w:szCs w:val="1"/>
                <w:color w:val="auto"/>
              </w:rPr>
            </w:pPr>
          </w:p>
        </w:tc>
      </w:tr>
      <w:tr>
        <w:trPr>
          <w:trHeight w:val="207"/>
        </w:trPr>
        <w:tc>
          <w:tcPr>
            <w:tcW w:w="1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w w:val="89"/>
              </w:rPr>
              <w:t>Units</w:t>
            </w:r>
          </w:p>
        </w:tc>
        <w:tc>
          <w:tcPr>
            <w:tcW w:w="14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bottom w:val="single" w:sz="8" w:color="auto"/>
            </w:tcBorders>
            <w:gridSpan w:val="4"/>
          </w:tcPr>
          <w:p>
            <w:pPr>
              <w:jc w:val="center"/>
              <w:ind w:right="102"/>
              <w:spacing w:after="0"/>
              <w:rPr>
                <w:sz w:val="20"/>
                <w:szCs w:val="20"/>
                <w:color w:val="auto"/>
              </w:rPr>
            </w:pPr>
            <w:r>
              <w:rPr>
                <w:rFonts w:ascii="Arial" w:cs="Arial" w:eastAsia="Arial" w:hAnsi="Arial"/>
                <w:sz w:val="16"/>
                <w:szCs w:val="16"/>
                <w:b w:val="1"/>
                <w:bCs w:val="1"/>
                <w:color w:val="auto"/>
                <w:w w:val="90"/>
              </w:rPr>
              <w:t>Income (Loss)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Deficit</w:t>
            </w:r>
          </w:p>
        </w:tc>
        <w:tc>
          <w:tcPr>
            <w:tcW w:w="15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2"/>
        </w:trPr>
        <w:tc>
          <w:tcPr>
            <w:tcW w:w="2200" w:type="dxa"/>
            <w:vAlign w:val="bottom"/>
            <w:gridSpan w:val="4"/>
            <w:shd w:val="clear" w:color="auto" w:fill="D2EDFE"/>
          </w:tcPr>
          <w:p>
            <w:pPr>
              <w:ind w:left="20"/>
              <w:spacing w:after="0"/>
              <w:rPr>
                <w:sz w:val="20"/>
                <w:szCs w:val="20"/>
                <w:color w:val="auto"/>
              </w:rPr>
            </w:pPr>
            <w:r>
              <w:rPr>
                <w:rFonts w:ascii="Arial" w:cs="Arial" w:eastAsia="Arial" w:hAnsi="Arial"/>
                <w:sz w:val="16"/>
                <w:szCs w:val="16"/>
                <w:b w:val="1"/>
                <w:bCs w:val="1"/>
                <w:color w:val="auto"/>
                <w:w w:val="92"/>
              </w:rPr>
              <w:t>Balance at September 30, 2019</w:t>
            </w:r>
          </w:p>
        </w:tc>
        <w:tc>
          <w:tcPr>
            <w:tcW w:w="760" w:type="dxa"/>
            <w:vAlign w:val="bottom"/>
            <w:shd w:val="clear" w:color="auto" w:fill="D2EDFE"/>
          </w:tcPr>
          <w:p>
            <w:pPr>
              <w:spacing w:after="0"/>
              <w:rPr>
                <w:sz w:val="18"/>
                <w:szCs w:val="18"/>
                <w:color w:val="auto"/>
              </w:rPr>
            </w:pPr>
          </w:p>
        </w:tc>
        <w:tc>
          <w:tcPr>
            <w:tcW w:w="820" w:type="dxa"/>
            <w:vAlign w:val="bottom"/>
            <w:shd w:val="clear" w:color="auto" w:fill="D2EDFE"/>
          </w:tcPr>
          <w:p>
            <w:pPr>
              <w:spacing w:after="0"/>
              <w:rPr>
                <w:sz w:val="18"/>
                <w:szCs w:val="18"/>
                <w:color w:val="auto"/>
              </w:rPr>
            </w:pPr>
          </w:p>
        </w:tc>
        <w:tc>
          <w:tcPr>
            <w:tcW w:w="2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2EDFE"/>
          </w:tcPr>
          <w:p>
            <w:pPr>
              <w:spacing w:after="0"/>
              <w:rPr>
                <w:sz w:val="18"/>
                <w:szCs w:val="18"/>
                <w:color w:val="auto"/>
              </w:rPr>
            </w:pPr>
          </w:p>
        </w:tc>
        <w:tc>
          <w:tcPr>
            <w:tcW w:w="840" w:type="dxa"/>
            <w:vAlign w:val="bottom"/>
            <w:gridSpan w:val="2"/>
            <w:shd w:val="clear" w:color="auto" w:fill="D2EDFE"/>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D2EDFE"/>
          </w:tcPr>
          <w:p>
            <w:pPr>
              <w:jc w:val="right"/>
              <w:ind w:right="262"/>
              <w:spacing w:after="0"/>
              <w:rPr>
                <w:sz w:val="20"/>
                <w:szCs w:val="20"/>
                <w:color w:val="auto"/>
              </w:rPr>
            </w:pPr>
            <w:r>
              <w:rPr>
                <w:rFonts w:ascii="Arial" w:cs="Arial" w:eastAsia="Arial" w:hAnsi="Arial"/>
                <w:sz w:val="16"/>
                <w:szCs w:val="16"/>
                <w:color w:val="auto"/>
              </w:rPr>
              <w:t>117,173,390</w:t>
            </w:r>
          </w:p>
        </w:tc>
        <w:tc>
          <w:tcPr>
            <w:tcW w:w="100" w:type="dxa"/>
            <w:vAlign w:val="bottom"/>
            <w:shd w:val="clear" w:color="auto" w:fill="D2EDFE"/>
          </w:tcPr>
          <w:p>
            <w:pPr>
              <w:spacing w:after="0"/>
              <w:rPr>
                <w:sz w:val="18"/>
                <w:szCs w:val="18"/>
                <w:color w:val="auto"/>
              </w:rPr>
            </w:pPr>
          </w:p>
        </w:tc>
        <w:tc>
          <w:tcPr>
            <w:tcW w:w="600" w:type="dxa"/>
            <w:vAlign w:val="bottom"/>
            <w:shd w:val="clear" w:color="auto" w:fill="D2EDFE"/>
          </w:tcPr>
          <w:p>
            <w:pPr>
              <w:jc w:val="right"/>
              <w:ind w:right="2"/>
              <w:spacing w:after="0"/>
              <w:rPr>
                <w:sz w:val="20"/>
                <w:szCs w:val="20"/>
                <w:color w:val="auto"/>
              </w:rPr>
            </w:pPr>
            <w:r>
              <w:rPr>
                <w:rFonts w:ascii="Arial" w:cs="Arial" w:eastAsia="Arial" w:hAnsi="Arial"/>
                <w:sz w:val="16"/>
                <w:szCs w:val="16"/>
                <w:color w:val="auto"/>
              </w:rPr>
              <w:t>97,372</w:t>
            </w:r>
          </w:p>
        </w:tc>
        <w:tc>
          <w:tcPr>
            <w:tcW w:w="18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1260" w:type="dxa"/>
            <w:vAlign w:val="bottom"/>
            <w:gridSpan w:val="3"/>
            <w:shd w:val="clear" w:color="auto" w:fill="D2EDFE"/>
          </w:tcPr>
          <w:p>
            <w:pPr>
              <w:jc w:val="right"/>
              <w:spacing w:after="0"/>
              <w:rPr>
                <w:sz w:val="20"/>
                <w:szCs w:val="20"/>
                <w:color w:val="auto"/>
              </w:rPr>
            </w:pPr>
            <w:r>
              <w:rPr>
                <w:rFonts w:ascii="Arial" w:cs="Arial" w:eastAsia="Arial" w:hAnsi="Arial"/>
                <w:sz w:val="16"/>
                <w:szCs w:val="16"/>
                <w:color w:val="auto"/>
              </w:rPr>
              <w:t>(1,279)</w:t>
            </w:r>
          </w:p>
        </w:tc>
        <w:tc>
          <w:tcPr>
            <w:tcW w:w="260" w:type="dxa"/>
            <w:vAlign w:val="bottom"/>
            <w:shd w:val="clear" w:color="auto" w:fill="D2EDFE"/>
          </w:tcPr>
          <w:p>
            <w:pPr>
              <w:spacing w:after="0"/>
              <w:rPr>
                <w:sz w:val="18"/>
                <w:szCs w:val="18"/>
                <w:color w:val="auto"/>
              </w:rPr>
            </w:pPr>
          </w:p>
        </w:tc>
        <w:tc>
          <w:tcPr>
            <w:tcW w:w="160" w:type="dxa"/>
            <w:vAlign w:val="bottom"/>
            <w:shd w:val="clear" w:color="auto" w:fill="D2EDFE"/>
          </w:tcPr>
          <w:p>
            <w:pPr>
              <w:spacing w:after="0"/>
              <w:rPr>
                <w:sz w:val="18"/>
                <w:szCs w:val="18"/>
                <w:color w:val="auto"/>
              </w:rPr>
            </w:pPr>
          </w:p>
        </w:tc>
        <w:tc>
          <w:tcPr>
            <w:tcW w:w="1280" w:type="dxa"/>
            <w:vAlign w:val="bottom"/>
            <w:gridSpan w:val="3"/>
            <w:shd w:val="clear" w:color="auto" w:fill="D2EDFE"/>
          </w:tcPr>
          <w:p>
            <w:pPr>
              <w:jc w:val="right"/>
              <w:ind w:right="484"/>
              <w:spacing w:after="0"/>
              <w:rPr>
                <w:sz w:val="20"/>
                <w:szCs w:val="20"/>
                <w:color w:val="auto"/>
              </w:rPr>
            </w:pPr>
            <w:r>
              <w:rPr>
                <w:rFonts w:ascii="Arial" w:cs="Arial" w:eastAsia="Arial" w:hAnsi="Arial"/>
                <w:sz w:val="16"/>
                <w:szCs w:val="16"/>
                <w:color w:val="auto"/>
              </w:rPr>
              <w:t>(70,588)</w:t>
            </w:r>
          </w:p>
        </w:tc>
        <w:tc>
          <w:tcPr>
            <w:tcW w:w="100" w:type="dxa"/>
            <w:vAlign w:val="bottom"/>
            <w:shd w:val="clear" w:color="auto" w:fill="D2EDFE"/>
          </w:tcPr>
          <w:p>
            <w:pPr>
              <w:spacing w:after="0"/>
              <w:rPr>
                <w:sz w:val="18"/>
                <w:szCs w:val="18"/>
                <w:color w:val="auto"/>
              </w:rPr>
            </w:pPr>
          </w:p>
        </w:tc>
        <w:tc>
          <w:tcPr>
            <w:tcW w:w="7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25,505</w:t>
            </w:r>
          </w:p>
        </w:tc>
        <w:tc>
          <w:tcPr>
            <w:tcW w:w="0" w:type="dxa"/>
            <w:vAlign w:val="bottom"/>
          </w:tcPr>
          <w:p>
            <w:pPr>
              <w:spacing w:after="0"/>
              <w:rPr>
                <w:sz w:val="1"/>
                <w:szCs w:val="1"/>
                <w:color w:val="auto"/>
              </w:rPr>
            </w:pPr>
          </w:p>
        </w:tc>
      </w:tr>
      <w:tr>
        <w:trPr>
          <w:trHeight w:val="213"/>
        </w:trPr>
        <w:tc>
          <w:tcPr>
            <w:tcW w:w="1380" w:type="dxa"/>
            <w:vAlign w:val="bottom"/>
          </w:tcPr>
          <w:p>
            <w:pPr>
              <w:ind w:left="20"/>
              <w:spacing w:after="0"/>
              <w:rPr>
                <w:sz w:val="20"/>
                <w:szCs w:val="20"/>
                <w:color w:val="auto"/>
              </w:rPr>
            </w:pPr>
            <w:r>
              <w:rPr>
                <w:rFonts w:ascii="Arial" w:cs="Arial" w:eastAsia="Arial" w:hAnsi="Arial"/>
                <w:sz w:val="16"/>
                <w:szCs w:val="16"/>
                <w:color w:val="auto"/>
                <w:w w:val="97"/>
              </w:rPr>
              <w:t>Capital contribution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19"/>
        </w:trPr>
        <w:tc>
          <w:tcPr>
            <w:tcW w:w="1380" w:type="dxa"/>
            <w:vAlign w:val="bottom"/>
            <w:shd w:val="clear" w:color="auto" w:fill="D2EDFE"/>
          </w:tcPr>
          <w:p>
            <w:pPr>
              <w:ind w:left="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D2EDFE"/>
          </w:tcPr>
          <w:p>
            <w:pPr>
              <w:spacing w:after="0"/>
              <w:rPr>
                <w:sz w:val="19"/>
                <w:szCs w:val="19"/>
                <w:color w:val="auto"/>
              </w:rPr>
            </w:pPr>
          </w:p>
        </w:tc>
        <w:tc>
          <w:tcPr>
            <w:tcW w:w="62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760" w:type="dxa"/>
            <w:vAlign w:val="bottom"/>
            <w:shd w:val="clear" w:color="auto" w:fill="D2EDFE"/>
          </w:tcPr>
          <w:p>
            <w:pPr>
              <w:spacing w:after="0"/>
              <w:rPr>
                <w:sz w:val="19"/>
                <w:szCs w:val="19"/>
                <w:color w:val="auto"/>
              </w:rPr>
            </w:pPr>
          </w:p>
        </w:tc>
        <w:tc>
          <w:tcPr>
            <w:tcW w:w="820" w:type="dxa"/>
            <w:vAlign w:val="bottom"/>
            <w:shd w:val="clear" w:color="auto" w:fill="D2EDFE"/>
          </w:tcPr>
          <w:p>
            <w:pPr>
              <w:spacing w:after="0"/>
              <w:rPr>
                <w:sz w:val="19"/>
                <w:szCs w:val="19"/>
                <w:color w:val="auto"/>
              </w:rPr>
            </w:pPr>
          </w:p>
        </w:tc>
        <w:tc>
          <w:tcPr>
            <w:tcW w:w="2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2EDFE"/>
          </w:tcPr>
          <w:p>
            <w:pPr>
              <w:spacing w:after="0"/>
              <w:rPr>
                <w:sz w:val="19"/>
                <w:szCs w:val="19"/>
                <w:color w:val="auto"/>
              </w:rPr>
            </w:pPr>
          </w:p>
        </w:tc>
        <w:tc>
          <w:tcPr>
            <w:tcW w:w="840" w:type="dxa"/>
            <w:vAlign w:val="bottom"/>
            <w:gridSpan w:val="2"/>
            <w:shd w:val="clear" w:color="auto" w:fill="D2EDFE"/>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9"/>
                <w:szCs w:val="19"/>
                <w:color w:val="auto"/>
              </w:rPr>
            </w:pPr>
          </w:p>
        </w:tc>
        <w:tc>
          <w:tcPr>
            <w:tcW w:w="780" w:type="dxa"/>
            <w:vAlign w:val="bottom"/>
            <w:gridSpan w:val="2"/>
            <w:shd w:val="clear" w:color="auto" w:fill="D2EDFE"/>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9"/>
                <w:szCs w:val="19"/>
                <w:color w:val="auto"/>
              </w:rPr>
            </w:pPr>
          </w:p>
        </w:tc>
        <w:tc>
          <w:tcPr>
            <w:tcW w:w="880" w:type="dxa"/>
            <w:vAlign w:val="bottom"/>
            <w:shd w:val="clear" w:color="auto" w:fill="D2EDFE"/>
          </w:tcPr>
          <w:p>
            <w:pPr>
              <w:spacing w:after="0"/>
              <w:rPr>
                <w:sz w:val="19"/>
                <w:szCs w:val="19"/>
                <w:color w:val="auto"/>
              </w:rPr>
            </w:pPr>
          </w:p>
        </w:tc>
        <w:tc>
          <w:tcPr>
            <w:tcW w:w="2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1280" w:type="dxa"/>
            <w:vAlign w:val="bottom"/>
            <w:gridSpan w:val="3"/>
            <w:shd w:val="clear" w:color="auto" w:fill="D2EDFE"/>
          </w:tcPr>
          <w:p>
            <w:pPr>
              <w:jc w:val="right"/>
              <w:ind w:right="484"/>
              <w:spacing w:after="0"/>
              <w:rPr>
                <w:sz w:val="20"/>
                <w:szCs w:val="20"/>
                <w:color w:val="auto"/>
              </w:rPr>
            </w:pPr>
            <w:r>
              <w:rPr>
                <w:rFonts w:ascii="Arial" w:cs="Arial" w:eastAsia="Arial" w:hAnsi="Arial"/>
                <w:sz w:val="16"/>
                <w:szCs w:val="16"/>
                <w:color w:val="auto"/>
              </w:rPr>
              <w:t>(46,710)</w:t>
            </w:r>
          </w:p>
        </w:tc>
        <w:tc>
          <w:tcPr>
            <w:tcW w:w="10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(46,710)</w:t>
            </w:r>
          </w:p>
        </w:tc>
        <w:tc>
          <w:tcPr>
            <w:tcW w:w="0" w:type="dxa"/>
            <w:vAlign w:val="bottom"/>
          </w:tcPr>
          <w:p>
            <w:pPr>
              <w:spacing w:after="0"/>
              <w:rPr>
                <w:sz w:val="1"/>
                <w:szCs w:val="1"/>
                <w:color w:val="auto"/>
              </w:rPr>
            </w:pPr>
          </w:p>
        </w:tc>
      </w:tr>
      <w:tr>
        <w:trPr>
          <w:trHeight w:val="166"/>
        </w:trPr>
        <w:tc>
          <w:tcPr>
            <w:tcW w:w="2960" w:type="dxa"/>
            <w:vAlign w:val="bottom"/>
            <w:gridSpan w:val="5"/>
          </w:tcPr>
          <w:p>
            <w:pPr>
              <w:ind w:left="20"/>
              <w:spacing w:after="0" w:line="166" w:lineRule="exact"/>
              <w:rPr>
                <w:sz w:val="20"/>
                <w:szCs w:val="20"/>
                <w:color w:val="auto"/>
              </w:rPr>
            </w:pPr>
            <w:r>
              <w:rPr>
                <w:rFonts w:ascii="Arial" w:cs="Arial" w:eastAsia="Arial" w:hAnsi="Arial"/>
                <w:sz w:val="16"/>
                <w:szCs w:val="16"/>
                <w:color w:val="auto"/>
                <w:w w:val="92"/>
              </w:rPr>
              <w:t>Other comprehensive loss, net of income tax</w:t>
            </w:r>
          </w:p>
        </w:tc>
        <w:tc>
          <w:tcPr>
            <w:tcW w:w="82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60" w:type="dxa"/>
            <w:vAlign w:val="bottom"/>
            <w:gridSpan w:val="3"/>
            <w:vMerge w:val="restart"/>
          </w:tcPr>
          <w:p>
            <w:pPr>
              <w:jc w:val="right"/>
              <w:ind w:right="2"/>
              <w:spacing w:after="0"/>
              <w:rPr>
                <w:sz w:val="20"/>
                <w:szCs w:val="20"/>
                <w:color w:val="auto"/>
              </w:rPr>
            </w:pPr>
            <w:r>
              <w:rPr>
                <w:rFonts w:ascii="Arial" w:cs="Arial" w:eastAsia="Arial" w:hAnsi="Arial"/>
                <w:sz w:val="16"/>
                <w:szCs w:val="16"/>
                <w:color w:val="auto"/>
              </w:rPr>
              <w:t>1,480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vMerge w:val="restart"/>
          </w:tcPr>
          <w:p>
            <w:pPr>
              <w:jc w:val="right"/>
              <w:ind w:right="524"/>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09"/>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benefit of $0 million</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0" w:type="dxa"/>
            <w:vAlign w:val="bottom"/>
            <w:gridSpan w:val="4"/>
            <w:shd w:val="clear" w:color="auto" w:fill="D2EDFE"/>
          </w:tcPr>
          <w:p>
            <w:pPr>
              <w:ind w:left="20"/>
              <w:spacing w:after="0"/>
              <w:rPr>
                <w:sz w:val="20"/>
                <w:szCs w:val="20"/>
                <w:color w:val="auto"/>
              </w:rPr>
            </w:pPr>
            <w:r>
              <w:rPr>
                <w:rFonts w:ascii="Arial" w:cs="Arial" w:eastAsia="Arial" w:hAnsi="Arial"/>
                <w:sz w:val="16"/>
                <w:szCs w:val="16"/>
                <w:b w:val="1"/>
                <w:bCs w:val="1"/>
                <w:color w:val="auto"/>
                <w:w w:val="92"/>
              </w:rPr>
              <w:t>Balance at September 30, 2020</w:t>
            </w:r>
          </w:p>
        </w:tc>
        <w:tc>
          <w:tcPr>
            <w:tcW w:w="760" w:type="dxa"/>
            <w:vAlign w:val="bottom"/>
            <w:shd w:val="clear" w:color="auto" w:fill="D2EDFE"/>
          </w:tcPr>
          <w:p>
            <w:pPr>
              <w:spacing w:after="0"/>
              <w:rPr>
                <w:sz w:val="18"/>
                <w:szCs w:val="18"/>
                <w:color w:val="auto"/>
              </w:rPr>
            </w:pPr>
          </w:p>
        </w:tc>
        <w:tc>
          <w:tcPr>
            <w:tcW w:w="820" w:type="dxa"/>
            <w:vAlign w:val="bottom"/>
            <w:shd w:val="clear" w:color="auto" w:fill="D2EDFE"/>
          </w:tcPr>
          <w:p>
            <w:pPr>
              <w:spacing w:after="0"/>
              <w:rPr>
                <w:sz w:val="18"/>
                <w:szCs w:val="18"/>
                <w:color w:val="auto"/>
              </w:rPr>
            </w:pPr>
          </w:p>
        </w:tc>
        <w:tc>
          <w:tcPr>
            <w:tcW w:w="2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2EDFE"/>
          </w:tcPr>
          <w:p>
            <w:pPr>
              <w:spacing w:after="0"/>
              <w:rPr>
                <w:sz w:val="18"/>
                <w:szCs w:val="18"/>
                <w:color w:val="auto"/>
              </w:rPr>
            </w:pPr>
          </w:p>
        </w:tc>
        <w:tc>
          <w:tcPr>
            <w:tcW w:w="840" w:type="dxa"/>
            <w:vAlign w:val="bottom"/>
            <w:gridSpan w:val="2"/>
            <w:shd w:val="clear" w:color="auto" w:fill="D2EDFE"/>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D2EDFE"/>
          </w:tcPr>
          <w:p>
            <w:pPr>
              <w:jc w:val="right"/>
              <w:ind w:right="262"/>
              <w:spacing w:after="0"/>
              <w:rPr>
                <w:sz w:val="20"/>
                <w:szCs w:val="20"/>
                <w:color w:val="auto"/>
              </w:rPr>
            </w:pPr>
            <w:r>
              <w:rPr>
                <w:rFonts w:ascii="Arial" w:cs="Arial" w:eastAsia="Arial" w:hAnsi="Arial"/>
                <w:sz w:val="16"/>
                <w:szCs w:val="16"/>
                <w:color w:val="auto"/>
              </w:rPr>
              <w:t>117,173,390</w:t>
            </w:r>
          </w:p>
        </w:tc>
        <w:tc>
          <w:tcPr>
            <w:tcW w:w="100" w:type="dxa"/>
            <w:vAlign w:val="bottom"/>
            <w:shd w:val="clear" w:color="auto" w:fill="D2EDFE"/>
          </w:tcPr>
          <w:p>
            <w:pPr>
              <w:spacing w:after="0"/>
              <w:rPr>
                <w:sz w:val="18"/>
                <w:szCs w:val="18"/>
                <w:color w:val="auto"/>
              </w:rPr>
            </w:pPr>
          </w:p>
        </w:tc>
        <w:tc>
          <w:tcPr>
            <w:tcW w:w="600" w:type="dxa"/>
            <w:vAlign w:val="bottom"/>
            <w:shd w:val="clear" w:color="auto" w:fill="D2EDFE"/>
          </w:tcPr>
          <w:p>
            <w:pPr>
              <w:jc w:val="right"/>
              <w:ind w:right="2"/>
              <w:spacing w:after="0"/>
              <w:rPr>
                <w:sz w:val="20"/>
                <w:szCs w:val="20"/>
                <w:color w:val="auto"/>
              </w:rPr>
            </w:pPr>
            <w:r>
              <w:rPr>
                <w:rFonts w:ascii="Arial" w:cs="Arial" w:eastAsia="Arial" w:hAnsi="Arial"/>
                <w:sz w:val="16"/>
                <w:szCs w:val="16"/>
                <w:color w:val="auto"/>
              </w:rPr>
              <w:t>99,872</w:t>
            </w:r>
          </w:p>
        </w:tc>
        <w:tc>
          <w:tcPr>
            <w:tcW w:w="18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880" w:type="dxa"/>
            <w:vAlign w:val="bottom"/>
            <w:shd w:val="clear" w:color="auto" w:fill="D2EDFE"/>
          </w:tcPr>
          <w:p>
            <w:pPr>
              <w:spacing w:after="0"/>
              <w:rPr>
                <w:sz w:val="18"/>
                <w:szCs w:val="18"/>
                <w:color w:val="auto"/>
              </w:rPr>
            </w:pPr>
          </w:p>
        </w:tc>
        <w:tc>
          <w:tcPr>
            <w:tcW w:w="380" w:type="dxa"/>
            <w:vAlign w:val="bottom"/>
            <w:gridSpan w:val="2"/>
            <w:shd w:val="clear" w:color="auto" w:fill="D2EDFE"/>
          </w:tcPr>
          <w:p>
            <w:pPr>
              <w:jc w:val="right"/>
              <w:ind w:right="2"/>
              <w:spacing w:after="0"/>
              <w:rPr>
                <w:sz w:val="20"/>
                <w:szCs w:val="20"/>
                <w:color w:val="auto"/>
              </w:rPr>
            </w:pPr>
            <w:r>
              <w:rPr>
                <w:rFonts w:ascii="Arial" w:cs="Arial" w:eastAsia="Arial" w:hAnsi="Arial"/>
                <w:sz w:val="16"/>
                <w:szCs w:val="16"/>
                <w:color w:val="auto"/>
              </w:rPr>
              <w:t>201</w:t>
            </w:r>
          </w:p>
        </w:tc>
        <w:tc>
          <w:tcPr>
            <w:tcW w:w="260" w:type="dxa"/>
            <w:vAlign w:val="bottom"/>
            <w:shd w:val="clear" w:color="auto" w:fill="D2EDFE"/>
          </w:tcPr>
          <w:p>
            <w:pPr>
              <w:spacing w:after="0"/>
              <w:rPr>
                <w:sz w:val="18"/>
                <w:szCs w:val="18"/>
                <w:color w:val="auto"/>
              </w:rPr>
            </w:pPr>
          </w:p>
        </w:tc>
        <w:tc>
          <w:tcPr>
            <w:tcW w:w="160" w:type="dxa"/>
            <w:vAlign w:val="bottom"/>
            <w:shd w:val="clear" w:color="auto" w:fill="D2EDFE"/>
          </w:tcPr>
          <w:p>
            <w:pPr>
              <w:spacing w:after="0"/>
              <w:rPr>
                <w:sz w:val="18"/>
                <w:szCs w:val="18"/>
                <w:color w:val="auto"/>
              </w:rPr>
            </w:pPr>
          </w:p>
        </w:tc>
        <w:tc>
          <w:tcPr>
            <w:tcW w:w="1280" w:type="dxa"/>
            <w:vAlign w:val="bottom"/>
            <w:gridSpan w:val="3"/>
            <w:shd w:val="clear" w:color="auto" w:fill="D2EDFE"/>
          </w:tcPr>
          <w:p>
            <w:pPr>
              <w:jc w:val="right"/>
              <w:ind w:right="484"/>
              <w:spacing w:after="0"/>
              <w:rPr>
                <w:sz w:val="20"/>
                <w:szCs w:val="20"/>
                <w:color w:val="auto"/>
              </w:rPr>
            </w:pPr>
            <w:r>
              <w:rPr>
                <w:rFonts w:ascii="Arial" w:cs="Arial" w:eastAsia="Arial" w:hAnsi="Arial"/>
                <w:sz w:val="16"/>
                <w:szCs w:val="16"/>
                <w:color w:val="auto"/>
              </w:rPr>
              <w:t>(117,298)</w:t>
            </w:r>
          </w:p>
        </w:tc>
        <w:tc>
          <w:tcPr>
            <w:tcW w:w="100" w:type="dxa"/>
            <w:vAlign w:val="bottom"/>
            <w:shd w:val="clear" w:color="auto" w:fill="D2EDFE"/>
          </w:tcPr>
          <w:p>
            <w:pPr>
              <w:spacing w:after="0"/>
              <w:rPr>
                <w:sz w:val="18"/>
                <w:szCs w:val="18"/>
                <w:color w:val="auto"/>
              </w:rPr>
            </w:pPr>
          </w:p>
        </w:tc>
        <w:tc>
          <w:tcPr>
            <w:tcW w:w="7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(17,225)</w:t>
            </w:r>
          </w:p>
        </w:tc>
        <w:tc>
          <w:tcPr>
            <w:tcW w:w="0" w:type="dxa"/>
            <w:vAlign w:val="bottom"/>
          </w:tcPr>
          <w:p>
            <w:pPr>
              <w:spacing w:after="0"/>
              <w:rPr>
                <w:sz w:val="1"/>
                <w:szCs w:val="1"/>
                <w:color w:val="auto"/>
              </w:rPr>
            </w:pPr>
          </w:p>
        </w:tc>
      </w:tr>
      <w:tr>
        <w:trPr>
          <w:trHeight w:val="213"/>
        </w:trPr>
        <w:tc>
          <w:tcPr>
            <w:tcW w:w="1380" w:type="dxa"/>
            <w:vAlign w:val="bottom"/>
          </w:tcPr>
          <w:p>
            <w:pPr>
              <w:ind w:left="20"/>
              <w:spacing w:after="0"/>
              <w:rPr>
                <w:sz w:val="20"/>
                <w:szCs w:val="20"/>
                <w:color w:val="auto"/>
              </w:rPr>
            </w:pPr>
            <w:r>
              <w:rPr>
                <w:rFonts w:ascii="Arial" w:cs="Arial" w:eastAsia="Arial" w:hAnsi="Arial"/>
                <w:sz w:val="16"/>
                <w:szCs w:val="16"/>
                <w:color w:val="auto"/>
                <w:w w:val="97"/>
              </w:rPr>
              <w:t>Capital contribution</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6,280</w:t>
            </w:r>
          </w:p>
        </w:tc>
        <w:tc>
          <w:tcPr>
            <w:tcW w:w="0" w:type="dxa"/>
            <w:vAlign w:val="bottom"/>
          </w:tcPr>
          <w:p>
            <w:pPr>
              <w:spacing w:after="0"/>
              <w:rPr>
                <w:sz w:val="1"/>
                <w:szCs w:val="1"/>
                <w:color w:val="auto"/>
              </w:rPr>
            </w:pPr>
          </w:p>
        </w:tc>
      </w:tr>
      <w:tr>
        <w:trPr>
          <w:trHeight w:val="219"/>
        </w:trPr>
        <w:tc>
          <w:tcPr>
            <w:tcW w:w="2960" w:type="dxa"/>
            <w:vAlign w:val="bottom"/>
            <w:gridSpan w:val="5"/>
            <w:shd w:val="clear" w:color="auto" w:fill="D2EDFE"/>
          </w:tcPr>
          <w:p>
            <w:pPr>
              <w:ind w:left="20"/>
              <w:spacing w:after="0"/>
              <w:rPr>
                <w:sz w:val="20"/>
                <w:szCs w:val="20"/>
                <w:color w:val="auto"/>
              </w:rPr>
            </w:pPr>
            <w:r>
              <w:rPr>
                <w:rFonts w:ascii="Arial" w:cs="Arial" w:eastAsia="Arial" w:hAnsi="Arial"/>
                <w:sz w:val="16"/>
                <w:szCs w:val="16"/>
                <w:color w:val="auto"/>
                <w:w w:val="97"/>
              </w:rPr>
              <w:t>Issuance of class B membership units, net</w:t>
            </w:r>
          </w:p>
        </w:tc>
        <w:tc>
          <w:tcPr>
            <w:tcW w:w="1080" w:type="dxa"/>
            <w:vAlign w:val="bottom"/>
            <w:gridSpan w:val="2"/>
            <w:shd w:val="clear" w:color="auto" w:fill="D2EDFE"/>
          </w:tcPr>
          <w:p>
            <w:pPr>
              <w:jc w:val="right"/>
              <w:spacing w:after="0"/>
              <w:rPr>
                <w:sz w:val="20"/>
                <w:szCs w:val="20"/>
                <w:color w:val="auto"/>
              </w:rPr>
            </w:pPr>
            <w:r>
              <w:rPr>
                <w:rFonts w:ascii="Arial" w:cs="Arial" w:eastAsia="Arial" w:hAnsi="Arial"/>
                <w:sz w:val="16"/>
                <w:szCs w:val="16"/>
                <w:color w:val="auto"/>
              </w:rPr>
              <w:t>18,493,275</w:t>
            </w:r>
          </w:p>
        </w:tc>
        <w:tc>
          <w:tcPr>
            <w:tcW w:w="300" w:type="dxa"/>
            <w:vAlign w:val="bottom"/>
            <w:shd w:val="clear" w:color="auto" w:fill="D2EDFE"/>
          </w:tcPr>
          <w:p>
            <w:pPr>
              <w:spacing w:after="0"/>
              <w:rPr>
                <w:sz w:val="19"/>
                <w:szCs w:val="19"/>
                <w:color w:val="auto"/>
              </w:rPr>
            </w:pPr>
          </w:p>
        </w:tc>
        <w:tc>
          <w:tcPr>
            <w:tcW w:w="780" w:type="dxa"/>
            <w:vAlign w:val="bottom"/>
            <w:shd w:val="clear" w:color="auto" w:fill="D2EDFE"/>
          </w:tcPr>
          <w:p>
            <w:pPr>
              <w:jc w:val="right"/>
              <w:ind w:right="2"/>
              <w:spacing w:after="0"/>
              <w:rPr>
                <w:sz w:val="20"/>
                <w:szCs w:val="20"/>
                <w:color w:val="auto"/>
              </w:rPr>
            </w:pPr>
            <w:r>
              <w:rPr>
                <w:rFonts w:ascii="Arial" w:cs="Arial" w:eastAsia="Arial" w:hAnsi="Arial"/>
                <w:sz w:val="16"/>
                <w:szCs w:val="16"/>
                <w:color w:val="auto"/>
              </w:rPr>
              <w:t>117,235</w:t>
            </w:r>
          </w:p>
        </w:tc>
        <w:tc>
          <w:tcPr>
            <w:tcW w:w="6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600" w:type="dxa"/>
            <w:vAlign w:val="bottom"/>
            <w:shd w:val="clear" w:color="auto" w:fill="D2EDFE"/>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9"/>
                <w:szCs w:val="19"/>
                <w:color w:val="auto"/>
              </w:rPr>
            </w:pPr>
          </w:p>
        </w:tc>
        <w:tc>
          <w:tcPr>
            <w:tcW w:w="780" w:type="dxa"/>
            <w:vAlign w:val="bottom"/>
            <w:gridSpan w:val="2"/>
            <w:shd w:val="clear" w:color="auto" w:fill="D2EDFE"/>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9"/>
                <w:szCs w:val="19"/>
                <w:color w:val="auto"/>
              </w:rPr>
            </w:pPr>
          </w:p>
        </w:tc>
        <w:tc>
          <w:tcPr>
            <w:tcW w:w="880" w:type="dxa"/>
            <w:vAlign w:val="bottom"/>
            <w:shd w:val="clear" w:color="auto" w:fill="D2EDFE"/>
          </w:tcPr>
          <w:p>
            <w:pPr>
              <w:spacing w:after="0"/>
              <w:rPr>
                <w:sz w:val="19"/>
                <w:szCs w:val="19"/>
                <w:color w:val="auto"/>
              </w:rPr>
            </w:pPr>
          </w:p>
        </w:tc>
        <w:tc>
          <w:tcPr>
            <w:tcW w:w="2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520" w:type="dxa"/>
            <w:vAlign w:val="bottom"/>
            <w:shd w:val="clear" w:color="auto" w:fill="D2EDFE"/>
          </w:tcPr>
          <w:p>
            <w:pPr>
              <w:spacing w:after="0"/>
              <w:rPr>
                <w:sz w:val="19"/>
                <w:szCs w:val="19"/>
                <w:color w:val="auto"/>
              </w:rPr>
            </w:pPr>
          </w:p>
        </w:tc>
        <w:tc>
          <w:tcPr>
            <w:tcW w:w="760" w:type="dxa"/>
            <w:vAlign w:val="bottom"/>
            <w:gridSpan w:val="2"/>
            <w:shd w:val="clear" w:color="auto" w:fill="D2EDFE"/>
          </w:tcPr>
          <w:p>
            <w:pPr>
              <w:jc w:val="right"/>
              <w:ind w:right="524"/>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484"/>
              <w:spacing w:after="0"/>
              <w:rPr>
                <w:sz w:val="20"/>
                <w:szCs w:val="20"/>
                <w:color w:val="auto"/>
              </w:rPr>
            </w:pPr>
            <w:r>
              <w:rPr>
                <w:rFonts w:ascii="Arial" w:cs="Arial" w:eastAsia="Arial" w:hAnsi="Arial"/>
                <w:sz w:val="16"/>
                <w:szCs w:val="16"/>
                <w:color w:val="auto"/>
              </w:rPr>
              <w:t>(162,003)</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(162,003)</w:t>
            </w:r>
          </w:p>
        </w:tc>
        <w:tc>
          <w:tcPr>
            <w:tcW w:w="0" w:type="dxa"/>
            <w:vAlign w:val="bottom"/>
          </w:tcPr>
          <w:p>
            <w:pPr>
              <w:spacing w:after="0"/>
              <w:rPr>
                <w:sz w:val="1"/>
                <w:szCs w:val="1"/>
                <w:color w:val="auto"/>
              </w:rPr>
            </w:pPr>
          </w:p>
        </w:tc>
      </w:tr>
      <w:tr>
        <w:trPr>
          <w:trHeight w:val="169"/>
        </w:trPr>
        <w:tc>
          <w:tcPr>
            <w:tcW w:w="2960" w:type="dxa"/>
            <w:vAlign w:val="bottom"/>
            <w:gridSpan w:val="5"/>
            <w:shd w:val="clear" w:color="auto" w:fill="D2EDFE"/>
          </w:tcPr>
          <w:p>
            <w:pPr>
              <w:ind w:left="20"/>
              <w:spacing w:after="0" w:line="169" w:lineRule="exact"/>
              <w:rPr>
                <w:sz w:val="20"/>
                <w:szCs w:val="20"/>
                <w:color w:val="auto"/>
              </w:rPr>
            </w:pPr>
            <w:r>
              <w:rPr>
                <w:rFonts w:ascii="Arial" w:cs="Arial" w:eastAsia="Arial" w:hAnsi="Arial"/>
                <w:sz w:val="16"/>
                <w:szCs w:val="16"/>
                <w:color w:val="auto"/>
                <w:w w:val="92"/>
              </w:rPr>
              <w:t>Other comprehensive loss, net of income tax</w:t>
            </w:r>
          </w:p>
        </w:tc>
        <w:tc>
          <w:tcPr>
            <w:tcW w:w="820" w:type="dxa"/>
            <w:vAlign w:val="bottom"/>
            <w:shd w:val="clear" w:color="auto" w:fill="D2EDFE"/>
          </w:tcPr>
          <w:p>
            <w:pPr>
              <w:spacing w:after="0"/>
              <w:rPr>
                <w:sz w:val="14"/>
                <w:szCs w:val="14"/>
                <w:color w:val="auto"/>
              </w:rPr>
            </w:pPr>
          </w:p>
        </w:tc>
        <w:tc>
          <w:tcPr>
            <w:tcW w:w="26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2EDFE"/>
          </w:tcPr>
          <w:p>
            <w:pPr>
              <w:spacing w:after="0"/>
              <w:rPr>
                <w:sz w:val="14"/>
                <w:szCs w:val="14"/>
                <w:color w:val="auto"/>
              </w:rPr>
            </w:pPr>
          </w:p>
        </w:tc>
        <w:tc>
          <w:tcPr>
            <w:tcW w:w="840" w:type="dxa"/>
            <w:vAlign w:val="bottom"/>
            <w:gridSpan w:val="2"/>
            <w:vMerge w:val="restart"/>
            <w:shd w:val="clear" w:color="auto" w:fill="D2EDFE"/>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2EDFE"/>
          </w:tcPr>
          <w:p>
            <w:pPr>
              <w:spacing w:after="0"/>
              <w:rPr>
                <w:sz w:val="14"/>
                <w:szCs w:val="14"/>
                <w:color w:val="auto"/>
              </w:rPr>
            </w:pPr>
          </w:p>
        </w:tc>
        <w:tc>
          <w:tcPr>
            <w:tcW w:w="220" w:type="dxa"/>
            <w:vAlign w:val="bottom"/>
            <w:shd w:val="clear" w:color="auto" w:fill="D2EDFE"/>
          </w:tcPr>
          <w:p>
            <w:pPr>
              <w:spacing w:after="0"/>
              <w:rPr>
                <w:sz w:val="14"/>
                <w:szCs w:val="14"/>
                <w:color w:val="auto"/>
              </w:rPr>
            </w:pPr>
          </w:p>
        </w:tc>
        <w:tc>
          <w:tcPr>
            <w:tcW w:w="100" w:type="dxa"/>
            <w:vAlign w:val="bottom"/>
            <w:shd w:val="clear" w:color="auto" w:fill="D2EDFE"/>
          </w:tcPr>
          <w:p>
            <w:pPr>
              <w:spacing w:after="0"/>
              <w:rPr>
                <w:sz w:val="14"/>
                <w:szCs w:val="14"/>
                <w:color w:val="auto"/>
              </w:rPr>
            </w:pPr>
          </w:p>
        </w:tc>
        <w:tc>
          <w:tcPr>
            <w:tcW w:w="600" w:type="dxa"/>
            <w:vAlign w:val="bottom"/>
            <w:vMerge w:val="restart"/>
            <w:shd w:val="clear" w:color="auto" w:fill="D2EDFE"/>
          </w:tcPr>
          <w:p>
            <w:pPr>
              <w:jc w:val="right"/>
              <w:ind w:right="262"/>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4"/>
                <w:szCs w:val="14"/>
                <w:color w:val="auto"/>
              </w:rPr>
            </w:pPr>
          </w:p>
        </w:tc>
        <w:tc>
          <w:tcPr>
            <w:tcW w:w="780" w:type="dxa"/>
            <w:vAlign w:val="bottom"/>
            <w:gridSpan w:val="2"/>
            <w:vMerge w:val="restart"/>
            <w:shd w:val="clear" w:color="auto" w:fill="D2EDFE"/>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2EDFE"/>
          </w:tcPr>
          <w:p>
            <w:pPr>
              <w:spacing w:after="0"/>
              <w:rPr>
                <w:sz w:val="14"/>
                <w:szCs w:val="14"/>
                <w:color w:val="auto"/>
              </w:rPr>
            </w:pPr>
          </w:p>
        </w:tc>
        <w:tc>
          <w:tcPr>
            <w:tcW w:w="880" w:type="dxa"/>
            <w:vAlign w:val="bottom"/>
            <w:shd w:val="clear" w:color="auto" w:fill="D2EDFE"/>
          </w:tcPr>
          <w:p>
            <w:pPr>
              <w:spacing w:after="0"/>
              <w:rPr>
                <w:sz w:val="14"/>
                <w:szCs w:val="14"/>
                <w:color w:val="auto"/>
              </w:rPr>
            </w:pPr>
          </w:p>
        </w:tc>
        <w:tc>
          <w:tcPr>
            <w:tcW w:w="380" w:type="dxa"/>
            <w:vAlign w:val="bottom"/>
            <w:gridSpan w:val="2"/>
            <w:vMerge w:val="restart"/>
            <w:shd w:val="clear" w:color="auto" w:fill="D2EDFE"/>
          </w:tcPr>
          <w:p>
            <w:pPr>
              <w:jc w:val="right"/>
              <w:spacing w:after="0"/>
              <w:rPr>
                <w:sz w:val="20"/>
                <w:szCs w:val="20"/>
                <w:color w:val="auto"/>
              </w:rPr>
            </w:pPr>
            <w:r>
              <w:rPr>
                <w:rFonts w:ascii="Arial" w:cs="Arial" w:eastAsia="Arial" w:hAnsi="Arial"/>
                <w:sz w:val="16"/>
                <w:szCs w:val="16"/>
                <w:color w:val="auto"/>
                <w:w w:val="85"/>
              </w:rPr>
              <w:t>(486)</w:t>
            </w:r>
          </w:p>
        </w:tc>
        <w:tc>
          <w:tcPr>
            <w:tcW w:w="260" w:type="dxa"/>
            <w:vAlign w:val="bottom"/>
            <w:shd w:val="clear" w:color="auto" w:fill="D2EDFE"/>
          </w:tcPr>
          <w:p>
            <w:pPr>
              <w:spacing w:after="0"/>
              <w:rPr>
                <w:sz w:val="14"/>
                <w:szCs w:val="14"/>
                <w:color w:val="auto"/>
              </w:rPr>
            </w:pPr>
          </w:p>
        </w:tc>
        <w:tc>
          <w:tcPr>
            <w:tcW w:w="160" w:type="dxa"/>
            <w:vAlign w:val="bottom"/>
            <w:shd w:val="clear" w:color="auto" w:fill="D2EDFE"/>
          </w:tcPr>
          <w:p>
            <w:pPr>
              <w:spacing w:after="0"/>
              <w:rPr>
                <w:sz w:val="14"/>
                <w:szCs w:val="14"/>
                <w:color w:val="auto"/>
              </w:rPr>
            </w:pPr>
          </w:p>
        </w:tc>
        <w:tc>
          <w:tcPr>
            <w:tcW w:w="520" w:type="dxa"/>
            <w:vAlign w:val="bottom"/>
            <w:shd w:val="clear" w:color="auto" w:fill="D2EDFE"/>
          </w:tcPr>
          <w:p>
            <w:pPr>
              <w:spacing w:after="0"/>
              <w:rPr>
                <w:sz w:val="14"/>
                <w:szCs w:val="14"/>
                <w:color w:val="auto"/>
              </w:rPr>
            </w:pPr>
          </w:p>
        </w:tc>
        <w:tc>
          <w:tcPr>
            <w:tcW w:w="760" w:type="dxa"/>
            <w:vAlign w:val="bottom"/>
            <w:gridSpan w:val="2"/>
            <w:vMerge w:val="restart"/>
            <w:shd w:val="clear" w:color="auto" w:fill="D2EDFE"/>
          </w:tcPr>
          <w:p>
            <w:pPr>
              <w:jc w:val="right"/>
              <w:ind w:right="524"/>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D2EDFE"/>
          </w:tcPr>
          <w:p>
            <w:pPr>
              <w:spacing w:after="0"/>
              <w:rPr>
                <w:sz w:val="14"/>
                <w:szCs w:val="14"/>
                <w:color w:val="auto"/>
              </w:rPr>
            </w:pPr>
          </w:p>
        </w:tc>
        <w:tc>
          <w:tcPr>
            <w:tcW w:w="760" w:type="dxa"/>
            <w:vAlign w:val="bottom"/>
            <w:vMerge w:val="restart"/>
            <w:shd w:val="clear" w:color="auto" w:fill="D2EDFE"/>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9"/>
        </w:trPr>
        <w:tc>
          <w:tcPr>
            <w:tcW w:w="1380" w:type="dxa"/>
            <w:vAlign w:val="bottom"/>
            <w:tcBorders>
              <w:bottom w:val="single" w:sz="8" w:color="auto"/>
            </w:tcBorders>
            <w:shd w:val="clear" w:color="auto" w:fill="D2EDFE"/>
          </w:tcPr>
          <w:p>
            <w:pPr>
              <w:ind w:left="20"/>
              <w:spacing w:after="0"/>
              <w:rPr>
                <w:sz w:val="20"/>
                <w:szCs w:val="20"/>
                <w:color w:val="auto"/>
              </w:rPr>
            </w:pPr>
            <w:r>
              <w:rPr>
                <w:rFonts w:ascii="Arial" w:cs="Arial" w:eastAsia="Arial" w:hAnsi="Arial"/>
                <w:sz w:val="16"/>
                <w:szCs w:val="16"/>
                <w:color w:val="auto"/>
                <w:w w:val="97"/>
              </w:rPr>
              <w:t>benefit of $0 million</w:t>
            </w:r>
          </w:p>
        </w:tc>
        <w:tc>
          <w:tcPr>
            <w:tcW w:w="80" w:type="dxa"/>
            <w:vAlign w:val="bottom"/>
            <w:tcBorders>
              <w:bottom w:val="single" w:sz="8" w:color="auto"/>
            </w:tcBorders>
            <w:shd w:val="clear" w:color="auto" w:fill="D2EDFE"/>
          </w:tcPr>
          <w:p>
            <w:pPr>
              <w:spacing w:after="0"/>
              <w:rPr>
                <w:sz w:val="18"/>
                <w:szCs w:val="18"/>
                <w:color w:val="auto"/>
              </w:rPr>
            </w:pPr>
          </w:p>
        </w:tc>
        <w:tc>
          <w:tcPr>
            <w:tcW w:w="620" w:type="dxa"/>
            <w:vAlign w:val="bottom"/>
            <w:tcBorders>
              <w:bottom w:val="single" w:sz="8" w:color="auto"/>
            </w:tcBorders>
            <w:shd w:val="clear" w:color="auto" w:fill="D2EDFE"/>
          </w:tcPr>
          <w:p>
            <w:pPr>
              <w:spacing w:after="0"/>
              <w:rPr>
                <w:sz w:val="18"/>
                <w:szCs w:val="18"/>
                <w:color w:val="auto"/>
              </w:rPr>
            </w:pPr>
          </w:p>
        </w:tc>
        <w:tc>
          <w:tcPr>
            <w:tcW w:w="120" w:type="dxa"/>
            <w:vAlign w:val="bottom"/>
            <w:tcBorders>
              <w:bottom w:val="single" w:sz="8" w:color="auto"/>
            </w:tcBorders>
            <w:shd w:val="clear" w:color="auto" w:fill="D2EDFE"/>
          </w:tcPr>
          <w:p>
            <w:pPr>
              <w:spacing w:after="0"/>
              <w:rPr>
                <w:sz w:val="18"/>
                <w:szCs w:val="18"/>
                <w:color w:val="auto"/>
              </w:rPr>
            </w:pPr>
          </w:p>
        </w:tc>
        <w:tc>
          <w:tcPr>
            <w:tcW w:w="760" w:type="dxa"/>
            <w:vAlign w:val="bottom"/>
            <w:tcBorders>
              <w:bottom w:val="single" w:sz="8" w:color="auto"/>
            </w:tcBorders>
            <w:shd w:val="clear" w:color="auto" w:fill="D2EDFE"/>
          </w:tcPr>
          <w:p>
            <w:pPr>
              <w:spacing w:after="0"/>
              <w:rPr>
                <w:sz w:val="18"/>
                <w:szCs w:val="18"/>
                <w:color w:val="auto"/>
              </w:rPr>
            </w:pPr>
          </w:p>
        </w:tc>
        <w:tc>
          <w:tcPr>
            <w:tcW w:w="820" w:type="dxa"/>
            <w:vAlign w:val="bottom"/>
            <w:tcBorders>
              <w:bottom w:val="single" w:sz="8" w:color="auto"/>
            </w:tcBorders>
            <w:shd w:val="clear" w:color="auto" w:fill="D2EDFE"/>
          </w:tcPr>
          <w:p>
            <w:pPr>
              <w:spacing w:after="0"/>
              <w:rPr>
                <w:sz w:val="18"/>
                <w:szCs w:val="18"/>
                <w:color w:val="auto"/>
              </w:rPr>
            </w:pPr>
          </w:p>
        </w:tc>
        <w:tc>
          <w:tcPr>
            <w:tcW w:w="260" w:type="dxa"/>
            <w:vAlign w:val="bottom"/>
            <w:tcBorders>
              <w:bottom w:val="single" w:sz="8" w:color="auto"/>
            </w:tcBorders>
            <w:vMerge w:val="continue"/>
            <w:shd w:val="clear" w:color="auto" w:fill="D2EDFE"/>
          </w:tcPr>
          <w:p>
            <w:pPr>
              <w:spacing w:after="0"/>
              <w:rPr>
                <w:sz w:val="18"/>
                <w:szCs w:val="18"/>
                <w:color w:val="auto"/>
              </w:rPr>
            </w:pPr>
          </w:p>
        </w:tc>
        <w:tc>
          <w:tcPr>
            <w:tcW w:w="300" w:type="dxa"/>
            <w:vAlign w:val="bottom"/>
            <w:tcBorders>
              <w:bottom w:val="single" w:sz="8" w:color="auto"/>
            </w:tcBorders>
            <w:shd w:val="clear" w:color="auto" w:fill="D2EDFE"/>
          </w:tcPr>
          <w:p>
            <w:pPr>
              <w:spacing w:after="0"/>
              <w:rPr>
                <w:sz w:val="18"/>
                <w:szCs w:val="18"/>
                <w:color w:val="auto"/>
              </w:rPr>
            </w:pPr>
          </w:p>
        </w:tc>
        <w:tc>
          <w:tcPr>
            <w:tcW w:w="840" w:type="dxa"/>
            <w:vAlign w:val="bottom"/>
            <w:tcBorders>
              <w:bottom w:val="single" w:sz="8" w:color="auto"/>
            </w:tcBorders>
            <w:gridSpan w:val="2"/>
            <w:vMerge w:val="continue"/>
            <w:shd w:val="clear" w:color="auto" w:fill="D2EDFE"/>
          </w:tcPr>
          <w:p>
            <w:pPr>
              <w:spacing w:after="0"/>
              <w:rPr>
                <w:sz w:val="18"/>
                <w:szCs w:val="18"/>
                <w:color w:val="auto"/>
              </w:rPr>
            </w:pPr>
          </w:p>
        </w:tc>
        <w:tc>
          <w:tcPr>
            <w:tcW w:w="340" w:type="dxa"/>
            <w:vAlign w:val="bottom"/>
            <w:tcBorders>
              <w:bottom w:val="single" w:sz="8" w:color="auto"/>
            </w:tcBorders>
            <w:shd w:val="clear" w:color="auto" w:fill="D2EDFE"/>
          </w:tcPr>
          <w:p>
            <w:pPr>
              <w:spacing w:after="0"/>
              <w:rPr>
                <w:sz w:val="18"/>
                <w:szCs w:val="18"/>
                <w:color w:val="auto"/>
              </w:rPr>
            </w:pPr>
          </w:p>
        </w:tc>
        <w:tc>
          <w:tcPr>
            <w:tcW w:w="220" w:type="dxa"/>
            <w:vAlign w:val="bottom"/>
            <w:tcBorders>
              <w:bottom w:val="single" w:sz="8" w:color="auto"/>
            </w:tcBorders>
            <w:shd w:val="clear" w:color="auto" w:fill="D2EDFE"/>
          </w:tcPr>
          <w:p>
            <w:pPr>
              <w:spacing w:after="0"/>
              <w:rPr>
                <w:sz w:val="18"/>
                <w:szCs w:val="18"/>
                <w:color w:val="auto"/>
              </w:rPr>
            </w:pPr>
          </w:p>
        </w:tc>
        <w:tc>
          <w:tcPr>
            <w:tcW w:w="100" w:type="dxa"/>
            <w:vAlign w:val="bottom"/>
            <w:tcBorders>
              <w:bottom w:val="single" w:sz="8" w:color="auto"/>
            </w:tcBorders>
            <w:shd w:val="clear" w:color="auto" w:fill="D2EDFE"/>
          </w:tcPr>
          <w:p>
            <w:pPr>
              <w:spacing w:after="0"/>
              <w:rPr>
                <w:sz w:val="18"/>
                <w:szCs w:val="18"/>
                <w:color w:val="auto"/>
              </w:rPr>
            </w:pPr>
          </w:p>
        </w:tc>
        <w:tc>
          <w:tcPr>
            <w:tcW w:w="600" w:type="dxa"/>
            <w:vAlign w:val="bottom"/>
            <w:tcBorders>
              <w:bottom w:val="single" w:sz="8" w:color="auto"/>
            </w:tcBorders>
            <w:vMerge w:val="continue"/>
            <w:shd w:val="clear" w:color="auto" w:fill="D2EDFE"/>
          </w:tcPr>
          <w:p>
            <w:pPr>
              <w:spacing w:after="0"/>
              <w:rPr>
                <w:sz w:val="18"/>
                <w:szCs w:val="18"/>
                <w:color w:val="auto"/>
              </w:rPr>
            </w:pPr>
          </w:p>
        </w:tc>
        <w:tc>
          <w:tcPr>
            <w:tcW w:w="100" w:type="dxa"/>
            <w:vAlign w:val="bottom"/>
            <w:tcBorders>
              <w:bottom w:val="single" w:sz="8" w:color="auto"/>
            </w:tcBorders>
            <w:shd w:val="clear" w:color="auto" w:fill="D2EDFE"/>
          </w:tcPr>
          <w:p>
            <w:pPr>
              <w:spacing w:after="0"/>
              <w:rPr>
                <w:sz w:val="18"/>
                <w:szCs w:val="18"/>
                <w:color w:val="auto"/>
              </w:rPr>
            </w:pPr>
          </w:p>
        </w:tc>
        <w:tc>
          <w:tcPr>
            <w:tcW w:w="780" w:type="dxa"/>
            <w:vAlign w:val="bottom"/>
            <w:tcBorders>
              <w:bottom w:val="single" w:sz="8" w:color="auto"/>
            </w:tcBorders>
            <w:gridSpan w:val="2"/>
            <w:vMerge w:val="continue"/>
            <w:shd w:val="clear" w:color="auto" w:fill="D2EDFE"/>
          </w:tcPr>
          <w:p>
            <w:pPr>
              <w:spacing w:after="0"/>
              <w:rPr>
                <w:sz w:val="18"/>
                <w:szCs w:val="18"/>
                <w:color w:val="auto"/>
              </w:rPr>
            </w:pPr>
          </w:p>
        </w:tc>
        <w:tc>
          <w:tcPr>
            <w:tcW w:w="100" w:type="dxa"/>
            <w:vAlign w:val="bottom"/>
            <w:tcBorders>
              <w:bottom w:val="single" w:sz="8" w:color="auto"/>
            </w:tcBorders>
            <w:shd w:val="clear" w:color="auto" w:fill="D2EDFE"/>
          </w:tcPr>
          <w:p>
            <w:pPr>
              <w:spacing w:after="0"/>
              <w:rPr>
                <w:sz w:val="18"/>
                <w:szCs w:val="18"/>
                <w:color w:val="auto"/>
              </w:rPr>
            </w:pPr>
          </w:p>
        </w:tc>
        <w:tc>
          <w:tcPr>
            <w:tcW w:w="880" w:type="dxa"/>
            <w:vAlign w:val="bottom"/>
            <w:tcBorders>
              <w:bottom w:val="single" w:sz="8" w:color="auto"/>
            </w:tcBorders>
            <w:shd w:val="clear" w:color="auto" w:fill="D2EDFE"/>
          </w:tcPr>
          <w:p>
            <w:pPr>
              <w:spacing w:after="0"/>
              <w:rPr>
                <w:sz w:val="18"/>
                <w:szCs w:val="18"/>
                <w:color w:val="auto"/>
              </w:rPr>
            </w:pPr>
          </w:p>
        </w:tc>
        <w:tc>
          <w:tcPr>
            <w:tcW w:w="380" w:type="dxa"/>
            <w:vAlign w:val="bottom"/>
            <w:tcBorders>
              <w:bottom w:val="single" w:sz="8" w:color="auto"/>
            </w:tcBorders>
            <w:gridSpan w:val="2"/>
            <w:vMerge w:val="continue"/>
            <w:shd w:val="clear" w:color="auto" w:fill="D2EDFE"/>
          </w:tcPr>
          <w:p>
            <w:pPr>
              <w:spacing w:after="0"/>
              <w:rPr>
                <w:sz w:val="18"/>
                <w:szCs w:val="18"/>
                <w:color w:val="auto"/>
              </w:rPr>
            </w:pPr>
          </w:p>
        </w:tc>
        <w:tc>
          <w:tcPr>
            <w:tcW w:w="260" w:type="dxa"/>
            <w:vAlign w:val="bottom"/>
            <w:tcBorders>
              <w:bottom w:val="single" w:sz="8" w:color="auto"/>
            </w:tcBorders>
            <w:shd w:val="clear" w:color="auto" w:fill="D2EDFE"/>
          </w:tcPr>
          <w:p>
            <w:pPr>
              <w:spacing w:after="0"/>
              <w:rPr>
                <w:sz w:val="18"/>
                <w:szCs w:val="18"/>
                <w:color w:val="auto"/>
              </w:rPr>
            </w:pPr>
          </w:p>
        </w:tc>
        <w:tc>
          <w:tcPr>
            <w:tcW w:w="160" w:type="dxa"/>
            <w:vAlign w:val="bottom"/>
            <w:tcBorders>
              <w:bottom w:val="single" w:sz="8" w:color="auto"/>
            </w:tcBorders>
            <w:shd w:val="clear" w:color="auto" w:fill="D2EDFE"/>
          </w:tcPr>
          <w:p>
            <w:pPr>
              <w:spacing w:after="0"/>
              <w:rPr>
                <w:sz w:val="18"/>
                <w:szCs w:val="18"/>
                <w:color w:val="auto"/>
              </w:rPr>
            </w:pPr>
          </w:p>
        </w:tc>
        <w:tc>
          <w:tcPr>
            <w:tcW w:w="520" w:type="dxa"/>
            <w:vAlign w:val="bottom"/>
            <w:tcBorders>
              <w:bottom w:val="single" w:sz="8" w:color="auto"/>
            </w:tcBorders>
            <w:shd w:val="clear" w:color="auto" w:fill="D2EDFE"/>
          </w:tcPr>
          <w:p>
            <w:pPr>
              <w:spacing w:after="0"/>
              <w:rPr>
                <w:sz w:val="18"/>
                <w:szCs w:val="18"/>
                <w:color w:val="auto"/>
              </w:rPr>
            </w:pPr>
          </w:p>
        </w:tc>
        <w:tc>
          <w:tcPr>
            <w:tcW w:w="760" w:type="dxa"/>
            <w:vAlign w:val="bottom"/>
            <w:tcBorders>
              <w:bottom w:val="single" w:sz="8" w:color="auto"/>
            </w:tcBorders>
            <w:gridSpan w:val="2"/>
            <w:vMerge w:val="continue"/>
            <w:shd w:val="clear" w:color="auto" w:fill="D2EDFE"/>
          </w:tcPr>
          <w:p>
            <w:pPr>
              <w:spacing w:after="0"/>
              <w:rPr>
                <w:sz w:val="18"/>
                <w:szCs w:val="18"/>
                <w:color w:val="auto"/>
              </w:rPr>
            </w:pPr>
          </w:p>
        </w:tc>
        <w:tc>
          <w:tcPr>
            <w:tcW w:w="100" w:type="dxa"/>
            <w:vAlign w:val="bottom"/>
            <w:tcBorders>
              <w:bottom w:val="single" w:sz="8" w:color="auto"/>
            </w:tcBorders>
            <w:shd w:val="clear" w:color="auto" w:fill="D2EDFE"/>
          </w:tcPr>
          <w:p>
            <w:pPr>
              <w:spacing w:after="0"/>
              <w:rPr>
                <w:sz w:val="18"/>
                <w:szCs w:val="18"/>
                <w:color w:val="auto"/>
              </w:rPr>
            </w:pPr>
          </w:p>
        </w:tc>
        <w:tc>
          <w:tcPr>
            <w:tcW w:w="760" w:type="dxa"/>
            <w:vAlign w:val="bottom"/>
            <w:tcBorders>
              <w:bottom w:val="single" w:sz="8" w:color="auto"/>
            </w:tcBorders>
            <w:vMerge w:val="continue"/>
            <w:shd w:val="clear" w:color="auto" w:fill="D2EDF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2"/>
              </w:rPr>
              <w:t>Balance at September 30, 2021</w:t>
            </w:r>
          </w:p>
        </w:tc>
        <w:tc>
          <w:tcPr>
            <w:tcW w:w="7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18,493,275</w:t>
            </w:r>
          </w:p>
        </w:tc>
        <w:tc>
          <w:tcPr>
            <w:tcW w:w="3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117,235</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6"/>
                <w:szCs w:val="16"/>
                <w:color w:val="auto"/>
              </w:rPr>
              <w:t>117,173,390 $</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5"/>
              </w:rPr>
              <w:t>106,152 $</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5"/>
              </w:rPr>
              <w:t>(285)</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64"/>
              <w:spacing w:after="0"/>
              <w:rPr>
                <w:sz w:val="20"/>
                <w:szCs w:val="20"/>
                <w:color w:val="auto"/>
              </w:rPr>
            </w:pPr>
            <w:r>
              <w:rPr>
                <w:rFonts w:ascii="Arial" w:cs="Arial" w:eastAsia="Arial" w:hAnsi="Arial"/>
                <w:sz w:val="16"/>
                <w:szCs w:val="16"/>
                <w:color w:val="auto"/>
              </w:rPr>
              <w:t>(279,301) $</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(173,434)</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655"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655"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77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2020</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(289,177)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(162,003)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(46,710)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Inventory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(benefit) on loss contracts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(90,333)</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(45,781)</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Advances to suppliers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(26,626)</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(4,420)</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152,467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63,086</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and deferred revenue with related parties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70,861</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accruals and provisions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122,840</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proceeds received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(265,269)</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(14,016)</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Purchase of equity securities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Payments for acquisition of businesses, net of cash acquired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18,220</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Capital contribution from founders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Class B membership units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Borrowing from promissory notes – related parties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promissory notes – related parties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Borrowing from line of credit</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line of credit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Payment of equity issuance costs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 related to issuance of Class B membership units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Payments of debt issuance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Proceeds from issuance of Class A common stock sold in an IPO, net of underwriting discounts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743"/>
        </w:trPr>
        <w:tc>
          <w:tcPr>
            <w:tcW w:w="7320" w:type="dxa"/>
            <w:vAlign w:val="bottom"/>
          </w:tcPr>
          <w:p>
            <w:pPr>
              <w:ind w:left="554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Payment of IPO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(12,229)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deferred equity issuance cost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817,053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231,126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as of the beginning of the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87,020</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as of the end of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Operations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 on Form 10-K (this “Report”).</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the completion of our IPO on November 1, 2021, Fluence Energy, Inc. became a holding company whose sole material assets are the LLC Interests in Fluence Energy LLC. All of our business is conducted through Fluence Energy, LLC, together with its subsidiaries, and the financial results of Fluence Energy, LLC will be consolidated in our financial statements. Fluence Energy LLC is taxed as a partnership for federal income tax purposes and, as a result, its members, including Fluence Energy, Inc. will pay income taxes with respect to their allocable shares of its net taxable income. As of September 30, 2022, Fluence Energy, LLC had subsidiaries including Fluence Energy GmbH in Germany, Fluence Energy Pty Ltd. in Australia, Fluence Energy Inc. in the Philippines, Fluence Energy Chile SpA in Chile, Fluence Energy B.V. in Netherlands, Fluence Energy Global Production Operation LLC in the US, Fluence BESS India Private Ltd in India, Nispera AG in Switzerland, and other subsidiaries yet to commence operations. Except where the content clearly indicates otherwise, reference to “Fluence,” “we,” “us,” “our” or “the Company” refers to Fluence Energy, Inc. and all of its direct and indirect subsidiaries, including Fluence Energy, LLC. When used in a historical context that is prior to the completion of the IPO, “we,” “us,” “our” or “the Company” refer to Fluence Energy, LLC and its subsidiaries.</w:t>
      </w:r>
    </w:p>
    <w:p>
      <w:pPr>
        <w:spacing w:after="0" w:line="1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fiscal year begins on October 1 and ends on September 30. References to “fiscal year 2020”, “fiscal year 2021” and “fiscal year 2022” refer to the fiscal years ended September 30, 2020, September 30, 2021 and September 30, 2022, respectively.</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QFH’s Investment in Fluence Energy, LLC</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27, 2020, Fluence Energy, LLC entered into an agreement with QIA Florence Holdings LLC (“QFH” or the “Blocker Company”) for a $125.0 million investment and in exchange, QFH was issued 18,493,275 Class B units of Fluence Energy, LLC. QFH is an affiliate of the Qatar Investment Authority (“QIA”), the sovereign wealth fund of Qatar, and its subsidiaries and affiliates. At September 30, 2021, the investment was recognized at carrying value within mezzanine equity on the consolidated balance sheets. As part of the transactions related to our initial public offering closed on November 1, 2021, QFH elected to convert their Class B units to the common stock of Fluence Energy, Inc., which was a conversion available to all of the holders of Fluence Energy, LLC Class A and Class B units. Accordingly, as of September 30, 2022, no mezzanine equity is recorded on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Related Transactions</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 2021, the Company completed an initial public offering (the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were $935.8 million, after deducting underwriting discounts and offering expenses paid by the Company.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w:t>
      </w:r>
    </w:p>
    <w:p>
      <w:pPr>
        <w:spacing w:after="0" w:line="158" w:lineRule="exact"/>
        <w:rPr>
          <w:sz w:val="20"/>
          <w:szCs w:val="20"/>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Fluence Energy, Inc. became a holding company. As the sole managing member of Fluence Energy, LLC, Fluence Energy, Inc. controls the business and affairs of Fluence Energy, LLC and its direct and indirect subsidiaries;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Fluence Energy, Inc. owned, directly or indirectly, 54,143,275 limited liability company interests in Fluence Energy, LLC (the “LLC Interests”), representing approximately 31.6% of the economic interest in Fluence Energy, LLC;</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Founders owned 117,173,390 LLC Interests in Fluence Energy, LLC, representing approximately 68.4% of the economic interest in Fluence Energy, LLC;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investors in our IPO owned 35,650,000 shares of Class A common stock of Fluence Energy, Inc., representing approximately 65.8% of the economic interest in Fluence Energy, Inc.;</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Qatar Holding LLC, the owner of the original Blocker Company, owned 18,493,275 shares of Class A common stock of Fluence Energy, Inc., representing approximately 34.2% of the economic interest in Fluence Energy, Inc.;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Founders owned 117,173,390 shares of Class B-1 common stock of Fluence Energy,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Siemens Industry Redemption</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“Redemption”).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elected to settle the Redemption through the issuance of 58,586,695 shares of the Company’s Class A common stock (the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settled on July 7, 2022.</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Redemption increased the beneficial ownership interest of the Company in Fluence Energy, LLC to 66.08% as of June 30, 2022. The impact of the change in ownership interest did not result in a change in control. The Redemption been accounted for as an equity transaction and the carrying amount of non-controlling interest has been adjusted. Refer to C</w:t>
      </w:r>
      <w:r>
        <w:rPr>
          <w:rFonts w:ascii="Arial" w:cs="Arial" w:eastAsia="Arial" w:hAnsi="Arial"/>
          <w:sz w:val="18"/>
          <w:szCs w:val="18"/>
          <w:i w:val="1"/>
          <w:iCs w:val="1"/>
          <w:color w:val="auto"/>
        </w:rPr>
        <w:t>onsolidated statements of changes in stockholders’ equity, members’ equity (deficit) and mezzanine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included herein</w:t>
      </w:r>
      <w:r>
        <w:rPr>
          <w:rFonts w:ascii="Arial" w:cs="Arial" w:eastAsia="Arial" w:hAnsi="Arial"/>
          <w:sz w:val="18"/>
          <w:szCs w:val="18"/>
          <w:i w:val="1"/>
          <w:iCs w:val="1"/>
          <w:color w:val="auto"/>
        </w:rPr>
        <w:t>.</w:t>
      </w:r>
    </w:p>
    <w:p>
      <w:pPr>
        <w:spacing w:after="0" w:line="18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Accounting and Consolidation</w:t>
      </w:r>
    </w:p>
    <w:p>
      <w:pPr>
        <w:spacing w:after="0" w:line="14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 66.22% interest as of September 30, 2022.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accompanying consolidated financial statements and accompanying notes. Actual results could differ materially from those estimates. Items subject to such estimates and assumptions include: the valuation of acquired and assumed liabilities for business acquired,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 related provisions including but not limited to estimated losses, warranty obligations, and liquidated damages.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on-hand and highly liquid investments readily convertible to cash, with an original maturity of 90 days or less when purchased.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as a separate line item on the Company’s consolidated balance sheets.</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82" w:name="page83"/>
    <w:bookmarkEnd w:id="82"/>
    <w:p>
      <w:pPr>
        <w:jc w:val="center"/>
        <w:ind w:right="-39"/>
        <w:spacing w:after="0"/>
        <w:rPr>
          <w:sz w:val="20"/>
          <w:szCs w:val="20"/>
          <w:color w:val="auto"/>
        </w:rPr>
      </w:pPr>
      <w:r>
        <w:rPr>
          <w:rFonts w:ascii="Arial" w:cs="Arial" w:eastAsia="Arial" w:hAnsi="Arial"/>
          <w:sz w:val="17"/>
          <w:szCs w:val="17"/>
          <w:color w:val="auto"/>
        </w:rPr>
        <w:t>The following table provides a reconciliation of cash, cash equivalents, and restricted cash as shown in the Company’s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September 30, 2022</w:t>
            </w: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September 30, 2021</w:t>
            </w:r>
          </w:p>
        </w:tc>
        <w:tc>
          <w:tcPr>
            <w:tcW w:w="40" w:type="dxa"/>
            <w:vAlign w:val="bottom"/>
          </w:tcPr>
          <w:p>
            <w:pPr>
              <w:spacing w:after="0"/>
              <w:rPr>
                <w:sz w:val="21"/>
                <w:szCs w:val="2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36,829</w:t>
            </w:r>
          </w:p>
        </w:tc>
        <w:tc>
          <w:tcPr>
            <w:tcW w:w="40" w:type="dxa"/>
            <w:vAlign w:val="bottom"/>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62,425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9"/>
                <w:szCs w:val="19"/>
                <w:color w:val="auto"/>
              </w:rPr>
            </w:pPr>
          </w:p>
        </w:tc>
      </w:tr>
      <w:tr>
        <w:trPr>
          <w:trHeight w:val="229"/>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38,069</w:t>
            </w:r>
          </w:p>
        </w:tc>
        <w:tc>
          <w:tcPr>
            <w:tcW w:w="40" w:type="dxa"/>
            <w:vAlign w:val="bottom"/>
          </w:tcPr>
          <w:p>
            <w:pPr>
              <w:spacing w:after="0"/>
              <w:rPr>
                <w:sz w:val="19"/>
                <w:szCs w:val="19"/>
                <w:color w:val="auto"/>
              </w:rPr>
            </w:pP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7060" w:type="dxa"/>
            <w:vAlign w:val="bottom"/>
          </w:tcPr>
          <w:p>
            <w:pPr>
              <w:ind w:left="340"/>
              <w:spacing w:after="0"/>
              <w:rPr>
                <w:sz w:val="20"/>
                <w:szCs w:val="20"/>
                <w:color w:val="auto"/>
              </w:rPr>
            </w:pPr>
            <w:r>
              <w:rPr>
                <w:rFonts w:ascii="Arial" w:cs="Arial" w:eastAsia="Arial" w:hAnsi="Arial"/>
                <w:sz w:val="18"/>
                <w:szCs w:val="18"/>
                <w:color w:val="auto"/>
              </w:rPr>
              <w:t>Restricted cash consisted of the following:</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7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2022</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September 30, 2021</w:t>
            </w:r>
          </w:p>
        </w:tc>
        <w:tc>
          <w:tcPr>
            <w:tcW w:w="40" w:type="dxa"/>
            <w:vAlign w:val="bottom"/>
            <w:tcBorders>
              <w:bottom w:val="single" w:sz="8" w:color="auto"/>
            </w:tcBorders>
          </w:tcPr>
          <w:p>
            <w:pPr>
              <w:spacing w:after="0"/>
              <w:rPr>
                <w:sz w:val="19"/>
                <w:szCs w:val="19"/>
                <w:color w:val="auto"/>
              </w:rPr>
            </w:pPr>
          </w:p>
        </w:tc>
      </w:tr>
      <w:tr>
        <w:trPr>
          <w:trHeight w:val="372"/>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credit card program</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0" w:type="dxa"/>
            <w:vAlign w:val="bottom"/>
            <w:shd w:val="clear" w:color="auto" w:fill="CCEEFF"/>
          </w:tcPr>
          <w:p>
            <w:pPr>
              <w:spacing w:after="0"/>
              <w:rPr>
                <w:sz w:val="24"/>
                <w:szCs w:val="24"/>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Collateral for outstanding bank guarantees</w:t>
            </w:r>
          </w:p>
        </w:tc>
        <w:tc>
          <w:tcPr>
            <w:tcW w:w="10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60,845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9"/>
                <w:szCs w:val="19"/>
                <w:color w:val="auto"/>
              </w:rPr>
            </w:pPr>
          </w:p>
        </w:tc>
      </w:tr>
      <w:tr>
        <w:trPr>
          <w:trHeight w:val="230"/>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Collateral for surety program included in “Other non-current assets”</w:t>
            </w:r>
          </w:p>
        </w:tc>
        <w:tc>
          <w:tcPr>
            <w:tcW w:w="10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restricted cash</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40" w:type="dxa"/>
            <w:vAlign w:val="bottom"/>
            <w:tcBorders>
              <w:bottom w:val="single" w:sz="8" w:color="auto"/>
            </w:tcBorders>
          </w:tcPr>
          <w:p>
            <w:pPr>
              <w:spacing w:after="0"/>
              <w:rPr>
                <w:sz w:val="19"/>
                <w:szCs w:val="19"/>
                <w:color w:val="auto"/>
              </w:rPr>
            </w:pP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timing of revenue recognition, billings and collections results in trade receivables, unbilled receivables and contract liabilities on our Consolidated Balance Sheet. Trade receivables represent actual billings that are generally due within 30 days from the invoice date, and do not bear interest. Unbilled receivables represent the excess of revenues recognized over billings to date on certain contracts. Receivables are carried at amounts billed, less any reserves for credit losses, if any. The Company periodically assesses collectability of accounts receivable and records an expected credit loss for the estimated uncollectible amount when deemed appropriate. As of September 30, 2022 and 2021, allowance for doubtful accounts was insignificant.</w:t>
      </w:r>
    </w:p>
    <w:p>
      <w:pPr>
        <w:spacing w:after="0" w:line="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Advances are given to suppliers based on the contract terms of respective agreements and are presented on a separate line on the consolidated balance sheets. These advances are recovered through the receipt of goods and services mainly used in the production of battery-based energy storage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leases offices, land, warehouses, and equipment. Leases are categorized at their commencement date and lease-related assets and liabilities are recognized for all leases with an initial term of 12 months or greater. The Company evaluates renewal options at commencement and on an ongoing basis and includes options that are reasonably certain to exercise in its expected lease terms when classifying leases and measuring lease liabilities. The Company’s incremental borrowing rate is used to determine the present value of the lease payments over the lease term for leases, as these leases typically do not have a stated borrowing rate. The Company’s lease agreements do not contain any material residual value guarantees or material restrictive covenants.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October 1, 2021, the Company adopted ASU 2016-02, Leases ("ASC 842"), including the subsequent ASU's that amended and clarified the related guidance. Prior to the adoption of ASC 842, the Company accounted for leases under ASC 840 and recognized rent expense on a straight-line basis over the course of the lease term, which included any reasonably assured renewal periods, beginning on the date the Company took physical possession of the property. The Company adopted ASC 842 using a modified retrospective approach, and accordingly the new guidance was applied to leases that existed or were entered into after October 1, 2021 without adjusting the comparative periods presented. Please refer to Note 8 - Leases for a discussion of our updated policies and disclosures related to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An entity’s functional currency is the currency of the primary economic environment in which the entity operates and is generally the currency in which the entity generates and expends cash. The reporting currency of the Company is the U.S. dollar. For all Fluence subsidiary entities whose functional currency is not in U.S. Dollar, the balance sheet and income statement are translated into US Dollar using the ending balance sheet rate and weighted average rate, respectively. Translation adjustments are included as a separate component on the consolidated statement of comprehensive income (loss), and in “Effect of exchange rate changes on cash and cash equivalents” on the consolidated statement of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3" w:name="page84"/>
    <w:bookmarkEnd w:id="83"/>
    <w:p>
      <w:pPr>
        <w:jc w:val="both"/>
        <w:ind w:firstLine="324"/>
        <w:spacing w:after="0" w:line="270" w:lineRule="auto"/>
        <w:rPr>
          <w:sz w:val="20"/>
          <w:szCs w:val="20"/>
          <w:color w:val="auto"/>
        </w:rPr>
      </w:pPr>
      <w:r>
        <w:rPr>
          <w:rFonts w:ascii="Arial" w:cs="Arial" w:eastAsia="Arial" w:hAnsi="Arial"/>
          <w:sz w:val="17"/>
          <w:szCs w:val="17"/>
          <w:color w:val="auto"/>
        </w:rPr>
        <w:t>A business combination is an acquisition of a business from an entity not under common control and is accounted for using the acquisition method. Identifiable assets acquired and liabilities assumed are recognized at fair value on the acquisition date. Goodwill is calculated as the excess of the fair value of the consideration transferred over the fair value of the net assets recognized and represents the future economic benefits arising from the other net assets acquired that could not be individually identified and separately recognized. Fair value measurements may require us to make significant estimates and assumptions. A measurement period, which could be up to one year from the date of the acquisition, exists to identify and measure the assets acquired and liabilities assumed. During the measurement period, provisional amounts may be recognized, and those amounts may subsequently be prospectively adjusted to reflect any new information about facts and circumstances that existed at the acquisition date that, if known, would have affected the measurement of these amounts. At the end of the measurement period, any subsequent changes would not be recognized under the acquisition method but would instead follow other accounting principles, which would generally impact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1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Company’s revenue recognition policy included herein is based on the application of ASC 606. As of September 30, 2022, the Company’s revenue was generated primarily from sale of energy storage products, providing operational services, and digital applications and solutions.</w:t>
      </w:r>
    </w:p>
    <w:p>
      <w:pPr>
        <w:spacing w:after="0" w:line="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Revenue from Sale of Energy Storage Products: </w:t>
      </w:r>
      <w:r>
        <w:rPr>
          <w:rFonts w:ascii="Arial" w:cs="Arial" w:eastAsia="Arial" w:hAnsi="Arial"/>
          <w:sz w:val="16"/>
          <w:szCs w:val="16"/>
          <w:color w:val="auto"/>
        </w:rPr>
        <w:t>The Company enters into contracts with utility companies, developers, and commercial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The Company believes that the prices negotiated with each individual customer are representative of the stand-alone selling price of the product.</w:t>
      </w:r>
    </w:p>
    <w:p>
      <w:pPr>
        <w:spacing w:after="0" w:line="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revenue over time as a result of the continuous transfer of control of our product to the customer. This continuous transfer of control to the customer is supported by clauses in the contracts that provide enforceable rights to payment of the transaction price associated with work performed to date for products that do not have an alternative use to the Company and/or the project is built on customer’s land that is under the customer’s control.</w:t>
      </w:r>
    </w:p>
    <w:p>
      <w:pPr>
        <w:spacing w:after="0" w:line="11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Revenue for these performance obligations is recognized using the percentage of completion method based on cost incurred as a percentage of total estimated contract costs. Standard inventory materials that could be used interchangeably on other projects are included in our measure of progress when they are integrated into, or restricted to, the production of the customer’s project.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Arial" w:cs="Arial" w:eastAsia="Arial" w:hAnsi="Arial"/>
          <w:sz w:val="16"/>
          <w:szCs w:val="16"/>
          <w:i w:val="1"/>
          <w:iCs w:val="1"/>
          <w:color w:val="auto"/>
        </w:rPr>
        <w:t>Loss Contracts</w:t>
      </w:r>
      <w:r>
        <w:rPr>
          <w:rFonts w:ascii="Arial" w:cs="Arial" w:eastAsia="Arial" w:hAnsi="Arial"/>
          <w:sz w:val="16"/>
          <w:szCs w:val="16"/>
          <w:color w:val="auto"/>
        </w:rPr>
        <w:t xml:space="preserve"> below for further discussion.</w:t>
      </w:r>
    </w:p>
    <w:p>
      <w:pPr>
        <w:spacing w:after="0" w:line="8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contracts generally provide our customers the right to liquidated damages (“LDs”) against Fluence in the event specified milestones are not met on time, or equipment is not delivered according to contract specifications. LDs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judgements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 If Fluence has a claim against the customer for amount not specified in the contract, such claim is recognized as an increase to contract price when it is legally enforceable, which is usually upon signing a respective change order or equivalent document confirming the claim acceptance by customer.</w:t>
      </w:r>
    </w:p>
    <w:p>
      <w:pPr>
        <w:spacing w:after="0" w:line="1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Revenue from Services: </w:t>
      </w:r>
      <w:r>
        <w:rPr>
          <w:rFonts w:ascii="Arial" w:cs="Arial" w:eastAsia="Arial" w:hAnsi="Arial"/>
          <w:sz w:val="18"/>
          <w:szCs w:val="18"/>
          <w:color w:val="auto"/>
        </w:rPr>
        <w:t>The Company also enters into long-term service agreements with customers to provide operational services related to battery-based energy storage products. The services include maintenance, monitoring, and other minor services. The Company accounts for the services as a single performance obligation as the services are substantially the same and have the same pattern of transfer to the customers. We recognize revenue overtime using a straight-line recognition method for these types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4" w:name="page85"/>
    <w:bookmarkEnd w:id="84"/>
    <w:p>
      <w:pPr>
        <w:jc w:val="both"/>
        <w:spacing w:after="0" w:line="342" w:lineRule="auto"/>
        <w:rPr>
          <w:sz w:val="20"/>
          <w:szCs w:val="20"/>
          <w:color w:val="auto"/>
        </w:rPr>
      </w:pPr>
      <w:r>
        <w:rPr>
          <w:rFonts w:ascii="Arial" w:cs="Arial" w:eastAsia="Arial" w:hAnsi="Arial"/>
          <w:sz w:val="16"/>
          <w:szCs w:val="16"/>
          <w:color w:val="auto"/>
        </w:rPr>
        <w:t>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spacing w:after="0" w:line="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thresholds for a given term are considered service-type warranties. These represent a stand-ready obligation in which the customer benefits evenly overtime,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Revenue from Digital Applications and Solutions</w:t>
      </w:r>
      <w:r>
        <w:rPr>
          <w:rFonts w:ascii="Arial" w:cs="Arial" w:eastAsia="Arial" w:hAnsi="Arial"/>
          <w:sz w:val="18"/>
          <w:szCs w:val="18"/>
          <w:color w:val="auto"/>
        </w:rPr>
        <w:t>: In October 2020, Fluence Energy, LLC acquired the Advanced Microgrid Solutions (“AMS”)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and digital intelligence platform, which became the Fluence Trading Platform. In April 2022, the Company acquired Nispera AG, a Zurich based provider of artificial intelligence (AI) and machine learning-enabled Software-as-a-Service (SaaS) targeting the renewable energy sector. Contracts involving the Fluence Trading Platform are generally entered into with commercial entities that control utility-scale storage and renewable generation assets. Fluence Trading Platform arrangements consist of a promise to provide access to proprietary cloud-based Software-as-a-Service to promote enhanced financial returns on the utility-scale storage and renewable generation assets. The Fluence Trading Platform is a hosted service that delivers automated, market-compliant bids to local electricity market operators. Customers do not receive legal title or ownership of the software as a result of these arrangements.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Fluence Trading Platform is technology- and vendor-agnostic (i.e., it can be utilized for wind and solar assets as well as non-Fluence systems). The Fluence Trading Platform is separately identifiable from other promises that the Company offers to its customers (i.e., it is not highly interrelated or integrated with other solutions). As such, we determined that the Fluence Trading Platform is accounted for as a separate performance obligation. Revenue from the Fluence Trading Platform includes an integration fee and a monthly subscription fee. We consider the access to the Fluence Trading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sale of energy storage products, services, and digital applications and solutions contracts where there are multiple performance obligations in a single contract, the Company allocates the consideration to the various obligations in the contract based on the relative standalone selling price method. Standalone selling prices are estimated based on estimated costs plus margin. Revenue is recorded net of any taxes assessed on and collected from customers, which are remitted to the governmental authorities.</w:t>
      </w:r>
    </w:p>
    <w:p>
      <w:pPr>
        <w:spacing w:after="0" w:line="21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7"/>
          <w:szCs w:val="17"/>
          <w:b w:val="1"/>
          <w:bCs w:val="1"/>
          <w:i w:val="1"/>
          <w:iCs w:val="1"/>
          <w:color w:val="auto"/>
        </w:rPr>
        <w:t xml:space="preserve">Cost of Goods and Services: </w:t>
      </w:r>
      <w:r>
        <w:rPr>
          <w:rFonts w:ascii="Arial" w:cs="Arial" w:eastAsia="Arial" w:hAnsi="Arial"/>
          <w:sz w:val="17"/>
          <w:szCs w:val="17"/>
          <w:color w:val="auto"/>
        </w:rPr>
        <w:t>Cost of goods and services consists primarily of product costs, including purchased materials and supplies,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p>
    <w:p>
      <w:pPr>
        <w:spacing w:after="0" w:line="1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Deferred Revenue: </w:t>
      </w:r>
      <w:r>
        <w:rPr>
          <w:rFonts w:ascii="Arial" w:cs="Arial" w:eastAsia="Arial" w:hAnsi="Arial"/>
          <w:sz w:val="17"/>
          <w:szCs w:val="17"/>
          <w:color w:val="auto"/>
        </w:rPr>
        <w:t>Deferred revenue represents the excess billings to date over the amount of revenue recognized to date. Contract advances represent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Loss Contracts: </w:t>
      </w:r>
      <w:r>
        <w:rPr>
          <w:rFonts w:ascii="Arial" w:cs="Arial" w:eastAsia="Arial" w:hAnsi="Arial"/>
          <w:sz w:val="16"/>
          <w:szCs w:val="16"/>
          <w:color w:val="auto"/>
        </w:rPr>
        <w:t>A contract becomes a loss contract when its estimated total costs are expected to exceed its total revenue. The Company accrues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 loss expected in the period a loss contract is identified which is recorded in “Current liabilities — Accruals and provisions” and “Cost of goods and services” on the Company’s consolidated balance sheets and consolidated statements of operations and comprehensive loss,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Net</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Inventory consists of batteries and equipment, cases,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location and condition. The Company periodically reviews its inventory for potential obsolescence and write down of its inventory, as appropriate, to net realizable value based on its assessment of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evaluates the recoverability of its property and equipment, and intangible assets whenever events or changes in circumstances indicate that their carrying amount may not be recoverable. The assets are considered impaired when their future undiscounted cash flows are less than the carrying value and fair value is less than their carrying value. Impairment charges are calculated as the difference between the discounted expected future cash flows, or other accepted valuation techniques to determine fair value and the assets’ carrying amount at the date of the triggering event.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Intangible assets are stated at their historical cost and amortized on a straight-line basis over their expected useful lives. Intangible assets are reviewed for impairment whenever events or changes in circumstances indicate that the carrying amount of the asset may not be recoverable.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September 30, 2022, AES and Siemens issued guarantees of $50 million each, for a total of $100 million, to the SCF Bank on our behalf.</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three suppliers were actively participating in the supply chain financing program, and we had $37.4 million of payables outstanding subject to the program. All outstanding payments owed under the program are recorded within “Accounts payable” in our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Accruals and Provisions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Expenses are recognized on an accrual basis. Provisions are recognized when it is probable that a liability has been incurred and the amount of liability could be reasonably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Operating expenses include research and development, sales and marketing, general and administrative expenses, and depreciation and amortization. Research and development expenses represent personnel costs of the technology team, and costs of materials and services procured for research and development projects. Sales and marketing expenses represent personnel costs of the sales team and all marketing expenses. General and administrative expenses represent personnel costs, rent, IT expenses insurance, and external providers for payroll, accounting, consulting, and others. Depreciation and amortization are expenses associated with property and equipment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were $1.4 million, $0.8 million, and $0.7 million for the years ended September 30, 2022,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2022, the Company has three classes of common stock, Class A, Class B-1 and Class B-2. Loss per share is calculated and reported under the “two-class” method. The “two-class” method is an earnings allocation method under which earnings (loss) per share is calculated for each class of common stock considering both distributions declared or accumulated and participation rights in undistributed earnings as if all such loss had been distributed during the period.</w:t>
      </w:r>
    </w:p>
    <w:p>
      <w:pPr>
        <w:spacing w:after="0" w:line="10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86" w:name="page87"/>
    <w:bookmarkEnd w:id="86"/>
    <w:p>
      <w:pPr>
        <w:jc w:val="both"/>
        <w:spacing w:after="0" w:line="237" w:lineRule="auto"/>
        <w:rPr>
          <w:sz w:val="20"/>
          <w:szCs w:val="20"/>
          <w:color w:val="auto"/>
        </w:rPr>
      </w:pPr>
      <w:r>
        <w:rPr>
          <w:rFonts w:ascii="Arial" w:cs="Arial" w:eastAsia="Arial" w:hAnsi="Arial"/>
          <w:sz w:val="18"/>
          <w:szCs w:val="18"/>
          <w:color w:val="auto"/>
        </w:rPr>
        <w:t>stock are not entitled to receive any distributions or dividends. When a common unit of Fluence Energy, LLC is redeemed, at the Company’s election, for cash or Class A common stock by a Founder who holds shares of our Class B-1 or Class B-2 common stock,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potentially dilutive securities that were excluded consist of 58,586,695 shares of Class B-1 common stock, 8,923,121 outstanding stock options, 605,591 outstanding phantom units, and 2,156,893 outstanding restricted stock units as of September 30, 2022.</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October 2021, the existing limited liability company agreement of Fluence Energy, LLC was amended and restated which recapitalized all existing interests in the Company on the basis of a 14.79-for-1 split. All shares and per share information has been retroactively adjusted to give effect to the recapitalization for all periods presented, unless otherwise indicated.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earnings or loss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twelve months ended September 30, 2022. Basic and diluted net loss per share of Class A common stock for the three and twelve months ended September 30, 2022, respectively, have been computed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right"/>
              <w:ind w:right="270"/>
              <w:spacing w:after="0" w:line="189" w:lineRule="exact"/>
              <w:rPr>
                <w:sz w:val="20"/>
                <w:szCs w:val="20"/>
                <w:color w:val="auto"/>
              </w:rPr>
            </w:pPr>
            <w:r>
              <w:rPr>
                <w:rFonts w:ascii="Arial" w:cs="Arial" w:eastAsia="Arial" w:hAnsi="Arial"/>
                <w:sz w:val="18"/>
                <w:szCs w:val="18"/>
                <w:b w:val="1"/>
                <w:bCs w:val="1"/>
                <w:color w:val="auto"/>
                <w:w w:val="97"/>
              </w:rPr>
              <w:t>Twelve Months Ended</w:t>
            </w:r>
          </w:p>
        </w:tc>
      </w:tr>
      <w:tr>
        <w:trPr>
          <w:trHeight w:val="24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0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0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(289,177)</w:t>
            </w: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04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(184,692)</w:t>
            </w: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(104,485)</w:t>
            </w:r>
          </w:p>
        </w:tc>
      </w:tr>
      <w:tr>
        <w:trPr>
          <w:trHeight w:val="270"/>
        </w:trPr>
        <w:tc>
          <w:tcPr>
            <w:tcW w:w="69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04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 basic and diluted</w:t>
            </w:r>
          </w:p>
        </w:tc>
        <w:tc>
          <w:tcPr>
            <w:tcW w:w="204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69,714,054</w:t>
            </w: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per share of Class A common stock - basic and diluted</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Fluence Energy, LLC is treated as a partnership for U.S. federal income tax purposes. As such, the members are individually liable for their own distributable share of taxable income or loss. After our IPO, we are now subject to U.S. federal and state income taxes with respect to our allocable share of any taxable income or loss of Fluence Energy, LLC, and we will be taxed at the prevailing corporate tax rates.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We will continue to be subject to foreign income taxes with respect to our foreign subsidiaries and our expectations are valuation allowances will be needed in certain tax jurisdictions. Foreign subsidiaries of the Company account for income taxes and the related accounts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ASC 740, deferred tax assets and liabilities are determined based on differences between the financial reporting and tax bases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and are measured using the enacted tax rates and laws that will be in effect when the differences are expected to reverse.</w:t>
      </w:r>
    </w:p>
    <w:p>
      <w:pPr>
        <w:spacing w:after="0" w:line="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recognizes the tax benefits from uncertain tax positions if it is more likely than not that the position will be sustained on examination by the taxing authorities. The Company recognizes interest and penalties related to unrecognized tax benefits as a component of income tax expense.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income tax returns requires the use of management’s estimates and interpretations which may be subjected to review by the respective taxing authorities and may result in an assessment of additional taxes, penalties, and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spacing w:after="0" w:line="263" w:lineRule="auto"/>
        <w:rPr>
          <w:sz w:val="20"/>
          <w:szCs w:val="20"/>
          <w:color w:val="auto"/>
        </w:rPr>
      </w:pPr>
      <w:r>
        <w:rPr>
          <w:rFonts w:ascii="Arial" w:cs="Arial" w:eastAsia="Arial" w:hAnsi="Arial"/>
          <w:sz w:val="18"/>
          <w:szCs w:val="18"/>
          <w:color w:val="auto"/>
        </w:rPr>
        <w:t xml:space="preserve">liabilities, the Company seeks to maximize the use of observable inputs and to minimize the use of unobservable inputs. The following fair value hierarchy, defined by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is used to classify assets and liabilities based on the observable inputs and unobservable inputs used to value the assets and liabilities: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any recurring Level 3 fair value measurements.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equivalents include term deposits with original maturity of less than three months and are recorded at amortized cost. Fair value of cash equivalents approximates the carrying amount. The carrying amounts of trade receivables, accounts payable and short-term debt obligations approximate fair values due to their short maturities.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 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The Company recorded a gain of $0.2 million from short-term investments for the year ending September 30, 2022.</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5420" w:type="dxa"/>
            <w:vAlign w:val="bottom"/>
            <w:tcBorders>
              <w:top w:val="single" w:sz="8" w:color="auto"/>
            </w:tcBorders>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right"/>
              <w:ind w:right="130"/>
              <w:spacing w:after="0" w:line="189" w:lineRule="exact"/>
              <w:rPr>
                <w:sz w:val="20"/>
                <w:szCs w:val="20"/>
                <w:color w:val="auto"/>
              </w:rPr>
            </w:pPr>
            <w:r>
              <w:rPr>
                <w:rFonts w:ascii="Arial" w:cs="Arial" w:eastAsia="Arial" w:hAnsi="Arial"/>
                <w:sz w:val="18"/>
                <w:szCs w:val="18"/>
                <w:b w:val="1"/>
                <w:bCs w:val="1"/>
                <w:color w:val="auto"/>
                <w:w w:val="93"/>
              </w:rPr>
              <w:t>Twelve Months Ended</w:t>
            </w:r>
          </w:p>
        </w:tc>
      </w:tr>
      <w:tr>
        <w:trPr>
          <w:trHeight w:val="243"/>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4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8"/>
              </w:rPr>
              <w:t>September 30, 2022</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34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 (withdrawals)</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110,143</w:t>
            </w:r>
          </w:p>
        </w:tc>
      </w:tr>
      <w:tr>
        <w:trPr>
          <w:trHeight w:val="23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Changes in fair market value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48"/>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110,355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Certain prior year amounts have been reclassified to conform to current period presentation on the consolidated balance sheet and statement of cash flow. Sales and use taxes that are to be reimbursed to us by our customer of $10.8 million is now reflected within “Trade receivable”, as opposed to being presented within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Recent Accounting Standards Adopted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adopted in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6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Effect on the financial</w:t>
            </w:r>
          </w:p>
        </w:tc>
        <w:tc>
          <w:tcPr>
            <w:tcW w:w="0" w:type="dxa"/>
            <w:vAlign w:val="bottom"/>
          </w:tcPr>
          <w:p>
            <w:pPr>
              <w:spacing w:after="0"/>
              <w:rPr>
                <w:sz w:val="1"/>
                <w:szCs w:val="1"/>
                <w:color w:val="auto"/>
              </w:rPr>
            </w:pPr>
          </w:p>
        </w:tc>
      </w:tr>
      <w:tr>
        <w:trPr>
          <w:trHeight w:val="180"/>
        </w:trPr>
        <w:tc>
          <w:tcPr>
            <w:tcW w:w="2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Standard</w:t>
            </w:r>
          </w:p>
        </w:tc>
        <w:tc>
          <w:tcPr>
            <w:tcW w:w="4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Description</w:t>
            </w:r>
          </w:p>
        </w:tc>
        <w:tc>
          <w:tcPr>
            <w:tcW w:w="1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Date of adoption</w:t>
            </w:r>
          </w:p>
        </w:tc>
        <w:tc>
          <w:tcPr>
            <w:tcW w:w="2800" w:type="dxa"/>
            <w:vAlign w:val="bottom"/>
          </w:tcPr>
          <w:p>
            <w:pPr>
              <w:ind w:left="240"/>
              <w:spacing w:after="0" w:line="181" w:lineRule="exact"/>
              <w:rPr>
                <w:sz w:val="20"/>
                <w:szCs w:val="20"/>
                <w:color w:val="auto"/>
              </w:rPr>
            </w:pPr>
            <w:r>
              <w:rPr>
                <w:rFonts w:ascii="Arial" w:cs="Arial" w:eastAsia="Arial" w:hAnsi="Arial"/>
                <w:sz w:val="18"/>
                <w:szCs w:val="18"/>
                <w:b w:val="1"/>
                <w:bCs w:val="1"/>
                <w:color w:val="auto"/>
                <w:w w:val="91"/>
              </w:rPr>
              <w:t>statements and other significant</w:t>
            </w: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vMerge w:val="continue"/>
          </w:tcPr>
          <w:p>
            <w:pPr>
              <w:spacing w:after="0"/>
              <w:rPr>
                <w:sz w:val="19"/>
                <w:szCs w:val="19"/>
                <w:color w:val="auto"/>
              </w:rPr>
            </w:pPr>
          </w:p>
        </w:tc>
        <w:tc>
          <w:tcPr>
            <w:tcW w:w="434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182"/>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ASU 2016-02, Leases (Topic 842)</w:t>
            </w:r>
          </w:p>
        </w:tc>
        <w:tc>
          <w:tcPr>
            <w:tcW w:w="4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5"/>
              </w:rPr>
              <w:t>In February 2016, the FASB issued ASU 2016-02, which</w:t>
            </w:r>
          </w:p>
        </w:tc>
        <w:tc>
          <w:tcPr>
            <w:tcW w:w="1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October 1, 2021</w:t>
            </w:r>
          </w:p>
        </w:tc>
        <w:tc>
          <w:tcPr>
            <w:tcW w:w="2800" w:type="dxa"/>
            <w:vAlign w:val="bottom"/>
            <w:shd w:val="clear" w:color="auto" w:fill="CCEEFF"/>
          </w:tcPr>
          <w:p>
            <w:pPr>
              <w:ind w:left="240"/>
              <w:spacing w:after="0" w:line="182" w:lineRule="exact"/>
              <w:rPr>
                <w:sz w:val="20"/>
                <w:szCs w:val="20"/>
                <w:color w:val="auto"/>
              </w:rPr>
            </w:pPr>
            <w:r>
              <w:rPr>
                <w:rFonts w:ascii="Arial" w:cs="Arial" w:eastAsia="Arial" w:hAnsi="Arial"/>
                <w:sz w:val="18"/>
                <w:szCs w:val="18"/>
                <w:color w:val="auto"/>
              </w:rPr>
              <w:t>The Company adopted the new</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supersedes existing guidance on accounting for leases in</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leases standard utilizing the</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4"/>
              </w:rPr>
              <w:t>ASC 840, Leases. This standard requires all leases to be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modified retrospective transition</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recognized on the consolidated balance sheet. The FASB</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method, under which amounts in</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has issued several amendments to ASU 2016-02, including</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prior periods presented were not</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ASU 2018-11, Leases (Topic 842): Targeted Improvements</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restated. For contracts existing at</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that introduced an additional transition method permitting</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2"/>
              </w:rPr>
              <w:t>the time of adoption, the Company</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an entity to initially apply the new lease standard at the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elected to not reassess (i) prior</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89"/>
              </w:rPr>
              <w:t>adoption date and recognize a cumulative-effect adjustment</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conclusions on whether existing</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to the opening balance of retained earnings in the period of</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8"/>
              </w:rPr>
              <w:t>arrangements contained a lease</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adoption. ASU 2016-02 includes optional practical</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under ASC 840, (ii) lease</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4"/>
              </w:rPr>
              <w:t>expedients intended to reduce the cost and complexity to</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classification, and (iii) initial direct</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implement the new lease standard, such as an option to</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costs. Upon adoption at October 1,</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maintain the current lease classification for all existing</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2021, the Company recorded $3.2</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9"/>
              </w:rPr>
              <w:t>lease arrangements and the option to use hindsight in</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million of right-of-use (“ROU”)</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evaluating lessee options to extend or terminate a lease. In</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assets and $3.7 million of lease</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June 2020, the FASB issued ASU 2020-05 delaying the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liabilities on its Consolidated</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6"/>
              </w:rPr>
              <w:t>effective date for nonpublic entities that had not already</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Balance Sheet. The cumulative</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adopted the New Standard. Following this additional</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9"/>
              </w:rPr>
              <w:t>impact to retained earnings was</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1"/>
              </w:rPr>
              <w:t>guidance, the New Standard is effective for annual periods</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insignificant.</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in fiscal years beginning after December 15, 2021, and</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interim periods in fiscal years beginning after December</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spacing w:after="0"/>
              <w:rPr>
                <w:sz w:val="20"/>
                <w:szCs w:val="20"/>
                <w:color w:val="auto"/>
              </w:rPr>
            </w:pPr>
          </w:p>
        </w:tc>
        <w:tc>
          <w:tcPr>
            <w:tcW w:w="4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15, 2022.</w:t>
            </w:r>
          </w:p>
        </w:tc>
        <w:tc>
          <w:tcPr>
            <w:tcW w:w="154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4340" w:type="dxa"/>
            <w:vAlign w:val="bottom"/>
          </w:tcPr>
          <w:p>
            <w:pPr>
              <w:ind w:left="40"/>
              <w:spacing w:after="0" w:line="182" w:lineRule="exact"/>
              <w:rPr>
                <w:sz w:val="20"/>
                <w:szCs w:val="20"/>
                <w:color w:val="auto"/>
              </w:rPr>
            </w:pPr>
            <w:r>
              <w:rPr>
                <w:rFonts w:ascii="Arial" w:cs="Arial" w:eastAsia="Arial" w:hAnsi="Arial"/>
                <w:sz w:val="18"/>
                <w:szCs w:val="18"/>
                <w:color w:val="auto"/>
                <w:w w:val="95"/>
              </w:rPr>
              <w:t>In February 2016, the FASB issued ASU 2016-13, which</w:t>
            </w:r>
          </w:p>
        </w:tc>
        <w:tc>
          <w:tcPr>
            <w:tcW w:w="1540" w:type="dxa"/>
            <w:vAlign w:val="bottom"/>
          </w:tcPr>
          <w:p>
            <w:pPr>
              <w:ind w:left="20"/>
              <w:spacing w:after="0" w:line="182" w:lineRule="exact"/>
              <w:rPr>
                <w:sz w:val="20"/>
                <w:szCs w:val="20"/>
                <w:color w:val="auto"/>
              </w:rPr>
            </w:pPr>
            <w:r>
              <w:rPr>
                <w:rFonts w:ascii="Arial" w:cs="Arial" w:eastAsia="Arial" w:hAnsi="Arial"/>
                <w:sz w:val="18"/>
                <w:szCs w:val="18"/>
                <w:color w:val="auto"/>
              </w:rPr>
              <w:t>October 1, 2021</w:t>
            </w:r>
          </w:p>
        </w:tc>
        <w:tc>
          <w:tcPr>
            <w:tcW w:w="2800" w:type="dxa"/>
            <w:vAlign w:val="bottom"/>
          </w:tcPr>
          <w:p>
            <w:pPr>
              <w:ind w:left="240"/>
              <w:spacing w:after="0" w:line="182" w:lineRule="exact"/>
              <w:rPr>
                <w:sz w:val="20"/>
                <w:szCs w:val="20"/>
                <w:color w:val="auto"/>
              </w:rPr>
            </w:pPr>
            <w:r>
              <w:rPr>
                <w:rFonts w:ascii="Arial" w:cs="Arial" w:eastAsia="Arial" w:hAnsi="Arial"/>
                <w:sz w:val="18"/>
                <w:szCs w:val="18"/>
                <w:color w:val="auto"/>
                <w:w w:val="97"/>
              </w:rPr>
              <w:t>The adoption of the standard did</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i w:val="1"/>
                <w:iCs w:val="1"/>
                <w:color w:val="auto"/>
                <w:w w:val="90"/>
              </w:rPr>
              <w:t>Instruments—Credit Losses (Topic</w:t>
            </w: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updates the impairment model for financial assets</w:t>
            </w:r>
          </w:p>
        </w:tc>
        <w:tc>
          <w:tcPr>
            <w:tcW w:w="1540" w:type="dxa"/>
            <w:vAlign w:val="bottom"/>
          </w:tcPr>
          <w:p>
            <w:pPr>
              <w:spacing w:after="0"/>
              <w:rPr>
                <w:sz w:val="15"/>
                <w:szCs w:val="15"/>
                <w:color w:val="auto"/>
              </w:rPr>
            </w:pPr>
          </w:p>
        </w:tc>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w w:val="95"/>
              </w:rPr>
              <w:t>not have a material impact on our</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326)</w:t>
            </w: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measured at amortized cost, known as the Current</w:t>
            </w:r>
          </w:p>
        </w:tc>
        <w:tc>
          <w:tcPr>
            <w:tcW w:w="1540" w:type="dxa"/>
            <w:vAlign w:val="bottom"/>
          </w:tcPr>
          <w:p>
            <w:pPr>
              <w:spacing w:after="0"/>
              <w:rPr>
                <w:sz w:val="15"/>
                <w:szCs w:val="15"/>
                <w:color w:val="auto"/>
              </w:rPr>
            </w:pPr>
          </w:p>
        </w:tc>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188"/>
        </w:trPr>
        <w:tc>
          <w:tcPr>
            <w:tcW w:w="2560" w:type="dxa"/>
            <w:vAlign w:val="bottom"/>
          </w:tcPr>
          <w:p>
            <w:pPr>
              <w:spacing w:after="0"/>
              <w:rPr>
                <w:sz w:val="16"/>
                <w:szCs w:val="16"/>
                <w:color w:val="auto"/>
              </w:rPr>
            </w:pPr>
          </w:p>
        </w:tc>
        <w:tc>
          <w:tcPr>
            <w:tcW w:w="4340" w:type="dxa"/>
            <w:vAlign w:val="bottom"/>
          </w:tcPr>
          <w:p>
            <w:pPr>
              <w:ind w:left="40"/>
              <w:spacing w:after="0" w:line="189" w:lineRule="exact"/>
              <w:rPr>
                <w:sz w:val="20"/>
                <w:szCs w:val="20"/>
                <w:color w:val="auto"/>
              </w:rPr>
            </w:pPr>
            <w:r>
              <w:rPr>
                <w:rFonts w:ascii="Arial" w:cs="Arial" w:eastAsia="Arial" w:hAnsi="Arial"/>
                <w:sz w:val="18"/>
                <w:szCs w:val="18"/>
                <w:color w:val="auto"/>
                <w:w w:val="91"/>
              </w:rPr>
              <w:t>Expected Credit Loss (“CECL”) model. For trade and other</w:t>
            </w:r>
          </w:p>
        </w:tc>
        <w:tc>
          <w:tcPr>
            <w:tcW w:w="15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w w:val="98"/>
              </w:rPr>
              <w:t>receivables, held-to-maturity debt securities, loans and</w:t>
            </w: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w w:val="97"/>
              </w:rPr>
              <w:t>other instruments, entities will be required to use a new</w:t>
            </w: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tcPr>
          <w:p>
            <w:pPr>
              <w:spacing w:after="0"/>
              <w:rPr>
                <w:sz w:val="16"/>
                <w:szCs w:val="16"/>
                <w:color w:val="auto"/>
              </w:rPr>
            </w:pPr>
          </w:p>
        </w:tc>
        <w:tc>
          <w:tcPr>
            <w:tcW w:w="4340" w:type="dxa"/>
            <w:vAlign w:val="bottom"/>
          </w:tcPr>
          <w:p>
            <w:pPr>
              <w:ind w:left="40"/>
              <w:spacing w:after="0" w:line="189" w:lineRule="exact"/>
              <w:rPr>
                <w:sz w:val="20"/>
                <w:szCs w:val="20"/>
                <w:color w:val="auto"/>
              </w:rPr>
            </w:pPr>
            <w:r>
              <w:rPr>
                <w:rFonts w:ascii="Arial" w:cs="Arial" w:eastAsia="Arial" w:hAnsi="Arial"/>
                <w:sz w:val="18"/>
                <w:szCs w:val="18"/>
                <w:color w:val="auto"/>
                <w:w w:val="95"/>
              </w:rPr>
              <w:t>forward-looking “expected loss” model that generally will</w:t>
            </w:r>
          </w:p>
        </w:tc>
        <w:tc>
          <w:tcPr>
            <w:tcW w:w="15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w w:val="98"/>
              </w:rPr>
              <w:t>result in the earlier recognition of allowance for losses.</w:t>
            </w: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There are various transition methods available upon</w:t>
            </w: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adoption. Early adoption is permitted.</w:t>
            </w:r>
          </w:p>
        </w:tc>
        <w:tc>
          <w:tcPr>
            <w:tcW w:w="15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w:t>
            </w:r>
          </w:p>
        </w:tc>
        <w:tc>
          <w:tcPr>
            <w:tcW w:w="4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In December 2019, the FASB issued ASU 2019-12, which</w:t>
            </w:r>
          </w:p>
        </w:tc>
        <w:tc>
          <w:tcPr>
            <w:tcW w:w="15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July 1, 2022</w:t>
            </w:r>
          </w:p>
        </w:tc>
        <w:tc>
          <w:tcPr>
            <w:tcW w:w="2800" w:type="dxa"/>
            <w:vAlign w:val="bottom"/>
            <w:shd w:val="clear" w:color="auto" w:fill="CCEEFF"/>
          </w:tcPr>
          <w:p>
            <w:pPr>
              <w:ind w:left="240"/>
              <w:spacing w:after="0" w:line="182" w:lineRule="exact"/>
              <w:rPr>
                <w:sz w:val="20"/>
                <w:szCs w:val="20"/>
                <w:color w:val="auto"/>
              </w:rPr>
            </w:pPr>
            <w:r>
              <w:rPr>
                <w:rFonts w:ascii="Arial" w:cs="Arial" w:eastAsia="Arial" w:hAnsi="Arial"/>
                <w:sz w:val="18"/>
                <w:szCs w:val="18"/>
                <w:color w:val="auto"/>
                <w:w w:val="95"/>
              </w:rPr>
              <w:t>The adoption of the standard had</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(Topic 740)</w:t>
            </w:r>
            <w:r>
              <w:rPr>
                <w:rFonts w:ascii="Arial" w:cs="Arial" w:eastAsia="Arial" w:hAnsi="Arial"/>
                <w:sz w:val="18"/>
                <w:szCs w:val="18"/>
                <w:color w:val="auto"/>
              </w:rPr>
              <w:t>: Simplifying the</w:t>
            </w: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removes certain exceptions related to the approach for</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no impact on the Company’s</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Accounting for Income Taxes</w:t>
            </w: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2"/>
              </w:rPr>
              <w:t>intraperiod tax allocations, the methodology for calculating</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consolidated financial statements.</w:t>
            </w: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5"/>
              </w:rPr>
              <w:t>income taxes in an interim period, and the recognition of</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deferred tax liabilities for outside basis differences. The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5"/>
              </w:rPr>
              <w:t>guidance also clarifies and simplifies other areas of ASC</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89"/>
              </w:rPr>
              <w:t>740. Certain amendments must be applied on a prospective</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basis, certain amendments must be applied on a</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retrospective basis, and certain amendments must be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shd w:val="clear" w:color="auto" w:fill="CCEEFF"/>
          </w:tcPr>
          <w:p>
            <w:pPr>
              <w:spacing w:after="0"/>
              <w:rPr>
                <w:sz w:val="16"/>
                <w:szCs w:val="16"/>
                <w:color w:val="auto"/>
              </w:rPr>
            </w:pPr>
          </w:p>
        </w:tc>
        <w:tc>
          <w:tcPr>
            <w:tcW w:w="4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applied on a modified retrospective basis through a</w:t>
            </w:r>
          </w:p>
        </w:tc>
        <w:tc>
          <w:tcPr>
            <w:tcW w:w="154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43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cumulative-effect adjustment to retained earnings/(deficit)</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shd w:val="clear" w:color="auto" w:fill="CCEEFF"/>
          </w:tcPr>
          <w:p>
            <w:pPr>
              <w:spacing w:after="0"/>
              <w:rPr>
                <w:sz w:val="19"/>
                <w:szCs w:val="19"/>
                <w:color w:val="auto"/>
              </w:rPr>
            </w:pPr>
          </w:p>
        </w:tc>
        <w:tc>
          <w:tcPr>
            <w:tcW w:w="4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 the period of adoption. Early adoption is permitted.</w:t>
            </w:r>
          </w:p>
        </w:tc>
        <w:tc>
          <w:tcPr>
            <w:tcW w:w="154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20"/>
              <w:spacing w:after="0" w:line="182" w:lineRule="exact"/>
              <w:rPr>
                <w:sz w:val="20"/>
                <w:szCs w:val="20"/>
                <w:color w:val="auto"/>
              </w:rPr>
            </w:pPr>
            <w:r>
              <w:rPr>
                <w:rFonts w:ascii="Arial" w:cs="Arial" w:eastAsia="Arial" w:hAnsi="Arial"/>
                <w:sz w:val="18"/>
                <w:szCs w:val="18"/>
                <w:color w:val="auto"/>
              </w:rPr>
              <w:t>ASU 2020-01, Investments—</w:t>
            </w:r>
          </w:p>
        </w:tc>
        <w:tc>
          <w:tcPr>
            <w:tcW w:w="4340" w:type="dxa"/>
            <w:vAlign w:val="bottom"/>
          </w:tcPr>
          <w:p>
            <w:pPr>
              <w:ind w:left="40"/>
              <w:spacing w:after="0" w:line="182" w:lineRule="exact"/>
              <w:rPr>
                <w:sz w:val="20"/>
                <w:szCs w:val="20"/>
                <w:color w:val="auto"/>
              </w:rPr>
            </w:pPr>
            <w:r>
              <w:rPr>
                <w:rFonts w:ascii="Arial" w:cs="Arial" w:eastAsia="Arial" w:hAnsi="Arial"/>
                <w:sz w:val="18"/>
                <w:szCs w:val="18"/>
                <w:color w:val="auto"/>
              </w:rPr>
              <w:t>The amendments in this ASU clarify the interaction</w:t>
            </w:r>
          </w:p>
        </w:tc>
        <w:tc>
          <w:tcPr>
            <w:tcW w:w="1540" w:type="dxa"/>
            <w:vAlign w:val="bottom"/>
          </w:tcPr>
          <w:p>
            <w:pPr>
              <w:ind w:left="20"/>
              <w:spacing w:after="0" w:line="182" w:lineRule="exact"/>
              <w:rPr>
                <w:sz w:val="20"/>
                <w:szCs w:val="20"/>
                <w:color w:val="auto"/>
              </w:rPr>
            </w:pPr>
            <w:r>
              <w:rPr>
                <w:rFonts w:ascii="Arial" w:cs="Arial" w:eastAsia="Arial" w:hAnsi="Arial"/>
                <w:sz w:val="18"/>
                <w:szCs w:val="18"/>
                <w:color w:val="auto"/>
              </w:rPr>
              <w:t>October 1, 2021</w:t>
            </w:r>
          </w:p>
        </w:tc>
        <w:tc>
          <w:tcPr>
            <w:tcW w:w="2800" w:type="dxa"/>
            <w:vAlign w:val="bottom"/>
          </w:tcPr>
          <w:p>
            <w:pPr>
              <w:ind w:left="240"/>
              <w:spacing w:after="0" w:line="182" w:lineRule="exact"/>
              <w:rPr>
                <w:sz w:val="20"/>
                <w:szCs w:val="20"/>
                <w:color w:val="auto"/>
              </w:rPr>
            </w:pPr>
            <w:r>
              <w:rPr>
                <w:rFonts w:ascii="Arial" w:cs="Arial" w:eastAsia="Arial" w:hAnsi="Arial"/>
                <w:sz w:val="18"/>
                <w:szCs w:val="18"/>
                <w:color w:val="auto"/>
                <w:w w:val="91"/>
              </w:rPr>
              <w:t>The adoption had no impact on the</w:t>
            </w: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Equity Securities (Topic 321),</w:t>
            </w: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between the accounting for investments in equity</w:t>
            </w:r>
          </w:p>
        </w:tc>
        <w:tc>
          <w:tcPr>
            <w:tcW w:w="1540" w:type="dxa"/>
            <w:vAlign w:val="bottom"/>
          </w:tcPr>
          <w:p>
            <w:pPr>
              <w:spacing w:after="0"/>
              <w:rPr>
                <w:sz w:val="15"/>
                <w:szCs w:val="15"/>
                <w:color w:val="auto"/>
              </w:rPr>
            </w:pPr>
          </w:p>
        </w:tc>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w w:val="95"/>
              </w:rPr>
              <w:t>Company's consolidated financial</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w w:val="95"/>
              </w:rPr>
              <w:t>Investments—Equity Method and</w:t>
            </w: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securities, investment in equity method and certain</w:t>
            </w:r>
          </w:p>
        </w:tc>
        <w:tc>
          <w:tcPr>
            <w:tcW w:w="1540" w:type="dxa"/>
            <w:vAlign w:val="bottom"/>
          </w:tcPr>
          <w:p>
            <w:pPr>
              <w:spacing w:after="0"/>
              <w:rPr>
                <w:sz w:val="15"/>
                <w:szCs w:val="15"/>
                <w:color w:val="auto"/>
              </w:rPr>
            </w:pPr>
          </w:p>
        </w:tc>
        <w:tc>
          <w:tcPr>
            <w:tcW w:w="2800" w:type="dxa"/>
            <w:vAlign w:val="bottom"/>
          </w:tcPr>
          <w:p>
            <w:pPr>
              <w:ind w:left="240"/>
              <w:spacing w:after="0" w:line="176" w:lineRule="exact"/>
              <w:rPr>
                <w:sz w:val="20"/>
                <w:szCs w:val="20"/>
                <w:color w:val="auto"/>
              </w:rPr>
            </w:pPr>
            <w:r>
              <w:rPr>
                <w:rFonts w:ascii="Arial" w:cs="Arial" w:eastAsia="Arial" w:hAnsi="Arial"/>
                <w:sz w:val="18"/>
                <w:szCs w:val="18"/>
                <w:color w:val="auto"/>
              </w:rPr>
              <w:t>statements.</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line="189" w:lineRule="exact"/>
              <w:rPr>
                <w:sz w:val="20"/>
                <w:szCs w:val="20"/>
                <w:color w:val="auto"/>
              </w:rPr>
            </w:pPr>
            <w:r>
              <w:rPr>
                <w:rFonts w:ascii="Arial" w:cs="Arial" w:eastAsia="Arial" w:hAnsi="Arial"/>
                <w:sz w:val="18"/>
                <w:szCs w:val="18"/>
                <w:color w:val="auto"/>
              </w:rPr>
              <w:t>Joint Ventures (Topic 323), and</w:t>
            </w:r>
          </w:p>
        </w:tc>
        <w:tc>
          <w:tcPr>
            <w:tcW w:w="4340" w:type="dxa"/>
            <w:vAlign w:val="bottom"/>
          </w:tcPr>
          <w:p>
            <w:pPr>
              <w:ind w:left="40"/>
              <w:spacing w:after="0" w:line="189" w:lineRule="exact"/>
              <w:rPr>
                <w:sz w:val="20"/>
                <w:szCs w:val="20"/>
                <w:color w:val="auto"/>
              </w:rPr>
            </w:pPr>
            <w:r>
              <w:rPr>
                <w:rFonts w:ascii="Arial" w:cs="Arial" w:eastAsia="Arial" w:hAnsi="Arial"/>
                <w:sz w:val="18"/>
                <w:szCs w:val="18"/>
                <w:color w:val="auto"/>
                <w:w w:val="96"/>
              </w:rPr>
              <w:t>derivatives instruments. The ASU is expected to reduce</w:t>
            </w:r>
          </w:p>
        </w:tc>
        <w:tc>
          <w:tcPr>
            <w:tcW w:w="15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line="176" w:lineRule="exact"/>
              <w:rPr>
                <w:sz w:val="20"/>
                <w:szCs w:val="20"/>
                <w:color w:val="auto"/>
              </w:rPr>
            </w:pPr>
            <w:r>
              <w:rPr>
                <w:rFonts w:ascii="Arial" w:cs="Arial" w:eastAsia="Arial" w:hAnsi="Arial"/>
                <w:sz w:val="18"/>
                <w:szCs w:val="18"/>
                <w:color w:val="auto"/>
              </w:rPr>
              <w:t>Derivatives and Hedging (Topic</w:t>
            </w:r>
          </w:p>
        </w:tc>
        <w:tc>
          <w:tcPr>
            <w:tcW w:w="4340" w:type="dxa"/>
            <w:vAlign w:val="bottom"/>
          </w:tcPr>
          <w:p>
            <w:pPr>
              <w:ind w:left="40"/>
              <w:spacing w:after="0" w:line="176" w:lineRule="exact"/>
              <w:rPr>
                <w:sz w:val="20"/>
                <w:szCs w:val="20"/>
                <w:color w:val="auto"/>
              </w:rPr>
            </w:pPr>
            <w:r>
              <w:rPr>
                <w:rFonts w:ascii="Arial" w:cs="Arial" w:eastAsia="Arial" w:hAnsi="Arial"/>
                <w:sz w:val="18"/>
                <w:szCs w:val="18"/>
                <w:color w:val="auto"/>
              </w:rPr>
              <w:t>diversity in practice and increase comparability of the</w:t>
            </w: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815)</w:t>
            </w: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accounting for these interactions.</w:t>
            </w:r>
          </w:p>
        </w:tc>
        <w:tc>
          <w:tcPr>
            <w:tcW w:w="15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6"/>
        </w:trPr>
        <w:tc>
          <w:tcPr>
            <w:tcW w:w="2560" w:type="dxa"/>
            <w:vAlign w:val="bottom"/>
          </w:tcPr>
          <w:p>
            <w:pPr>
              <w:spacing w:after="0"/>
              <w:rPr>
                <w:sz w:val="24"/>
                <w:szCs w:val="24"/>
                <w:color w:val="auto"/>
              </w:rPr>
            </w:pPr>
          </w:p>
        </w:tc>
        <w:tc>
          <w:tcPr>
            <w:tcW w:w="4340" w:type="dxa"/>
            <w:vAlign w:val="bottom"/>
          </w:tcPr>
          <w:p>
            <w:pPr>
              <w:ind w:left="2980"/>
              <w:spacing w:after="0"/>
              <w:rPr>
                <w:sz w:val="20"/>
                <w:szCs w:val="20"/>
                <w:color w:val="auto"/>
              </w:rPr>
            </w:pPr>
            <w:r>
              <w:rPr>
                <w:rFonts w:ascii="Arial" w:cs="Arial" w:eastAsia="Arial" w:hAnsi="Arial"/>
                <w:sz w:val="18"/>
                <w:szCs w:val="18"/>
                <w:color w:val="auto"/>
              </w:rPr>
              <w:t>86</w:t>
            </w:r>
          </w:p>
        </w:tc>
        <w:tc>
          <w:tcPr>
            <w:tcW w:w="1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tabs>
          <w:tab w:leader="none" w:pos="2560" w:val="left"/>
          <w:tab w:leader="none" w:pos="6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612140</wp:posOffset>
            </wp:positionV>
            <wp:extent cx="7132320" cy="728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728980"/>
                    </a:xfrm>
                    <a:prstGeom prst="rect">
                      <a:avLst/>
                    </a:prstGeom>
                    <a:noFill/>
                  </pic:spPr>
                </pic:pic>
              </a:graphicData>
            </a:graphic>
          </wp:anchor>
        </w:drawing>
        <w:t>ASU 2020-10, Codification</w:t>
      </w:r>
      <w:r>
        <w:rPr>
          <w:sz w:val="20"/>
          <w:szCs w:val="20"/>
          <w:color w:val="auto"/>
        </w:rPr>
        <w:tab/>
      </w:r>
      <w:r>
        <w:rPr>
          <w:rFonts w:ascii="Arial" w:cs="Arial" w:eastAsia="Arial" w:hAnsi="Arial"/>
          <w:sz w:val="18"/>
          <w:szCs w:val="18"/>
          <w:color w:val="auto"/>
        </w:rPr>
        <w:t>This ASU improves consistency by amending the</w:t>
      </w:r>
      <w:r>
        <w:rPr>
          <w:sz w:val="20"/>
          <w:szCs w:val="20"/>
          <w:color w:val="auto"/>
        </w:rPr>
        <w:tab/>
      </w:r>
      <w:r>
        <w:rPr>
          <w:rFonts w:ascii="Arial" w:cs="Arial" w:eastAsia="Arial" w:hAnsi="Arial"/>
          <w:sz w:val="16"/>
          <w:szCs w:val="16"/>
          <w:color w:val="auto"/>
        </w:rPr>
        <w:t>October 1, 2021</w:t>
      </w:r>
    </w:p>
    <w:p>
      <w:pPr>
        <w:spacing w:after="0" w:line="203" w:lineRule="auto"/>
        <w:tabs>
          <w:tab w:leader="none" w:pos="2560" w:val="left"/>
        </w:tabs>
        <w:rPr>
          <w:sz w:val="20"/>
          <w:szCs w:val="20"/>
          <w:color w:val="auto"/>
        </w:rPr>
      </w:pPr>
      <w:r>
        <w:rPr>
          <w:rFonts w:ascii="Arial" w:cs="Arial" w:eastAsia="Arial" w:hAnsi="Arial"/>
          <w:sz w:val="18"/>
          <w:szCs w:val="18"/>
          <w:color w:val="auto"/>
        </w:rPr>
        <w:t>Improvements</w:t>
      </w:r>
      <w:r>
        <w:rPr>
          <w:sz w:val="20"/>
          <w:szCs w:val="20"/>
          <w:color w:val="auto"/>
        </w:rPr>
        <w:tab/>
      </w:r>
      <w:r>
        <w:rPr>
          <w:rFonts w:ascii="Arial" w:cs="Arial" w:eastAsia="Arial" w:hAnsi="Arial"/>
          <w:sz w:val="18"/>
          <w:szCs w:val="18"/>
          <w:color w:val="auto"/>
        </w:rPr>
        <w:t>Codification to include all disclosure guidance in the</w:t>
      </w:r>
    </w:p>
    <w:p>
      <w:pPr>
        <w:ind w:left="2580"/>
        <w:spacing w:after="0" w:line="219" w:lineRule="auto"/>
        <w:rPr>
          <w:sz w:val="20"/>
          <w:szCs w:val="20"/>
          <w:color w:val="auto"/>
        </w:rPr>
      </w:pPr>
      <w:r>
        <w:rPr>
          <w:rFonts w:ascii="Arial" w:cs="Arial" w:eastAsia="Arial" w:hAnsi="Arial"/>
          <w:sz w:val="18"/>
          <w:szCs w:val="18"/>
          <w:color w:val="auto"/>
        </w:rPr>
        <w:t>appropriate disclosure sections and clarifies application of</w:t>
      </w:r>
    </w:p>
    <w:p>
      <w:pPr>
        <w:ind w:left="2580"/>
        <w:spacing w:after="0" w:line="204" w:lineRule="auto"/>
        <w:rPr>
          <w:sz w:val="20"/>
          <w:szCs w:val="20"/>
          <w:color w:val="auto"/>
        </w:rPr>
      </w:pPr>
      <w:r>
        <w:rPr>
          <w:rFonts w:ascii="Arial" w:cs="Arial" w:eastAsia="Arial" w:hAnsi="Arial"/>
          <w:sz w:val="18"/>
          <w:szCs w:val="18"/>
          <w:color w:val="auto"/>
        </w:rPr>
        <w:t>various provisions in the Codification by amending and</w:t>
      </w:r>
    </w:p>
    <w:p>
      <w:pPr>
        <w:ind w:left="2580"/>
        <w:spacing w:after="0" w:line="203" w:lineRule="auto"/>
        <w:rPr>
          <w:sz w:val="20"/>
          <w:szCs w:val="20"/>
          <w:color w:val="auto"/>
        </w:rPr>
      </w:pPr>
      <w:r>
        <w:rPr>
          <w:rFonts w:ascii="Arial" w:cs="Arial" w:eastAsia="Arial" w:hAnsi="Arial"/>
          <w:sz w:val="18"/>
          <w:szCs w:val="18"/>
          <w:color w:val="auto"/>
        </w:rPr>
        <w:t>adding new headings, cross referencing to other guidance,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and refining or correcting terminology.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8"/>
          <w:szCs w:val="18"/>
          <w:color w:val="auto"/>
        </w:rPr>
        <w:t>The adoption of the standard did not have a material impact on our financial statements.</w:t>
      </w:r>
    </w:p>
    <w:p>
      <w:pPr>
        <w:spacing w:after="0" w:line="552" w:lineRule="exact"/>
        <w:rPr>
          <w:sz w:val="20"/>
          <w:szCs w:val="20"/>
          <w:color w:val="auto"/>
        </w:rPr>
      </w:pPr>
    </w:p>
    <w:p>
      <w:pPr>
        <w:sectPr>
          <w:pgSz w:w="11900" w:h="16838" w:orient="portrait"/>
          <w:cols w:equalWidth="0" w:num="2">
            <w:col w:w="8060" w:space="600"/>
            <w:col w:w="2420"/>
          </w:cols>
          <w:pgMar w:left="340" w:top="960" w:right="479" w:bottom="1440" w:gutter="0" w:footer="0" w:header="0"/>
        </w:sectPr>
      </w:pPr>
    </w:p>
    <w:p>
      <w:pPr>
        <w:spacing w:after="0" w:line="1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ASU 2021-08, Business Combinations (Topic 805): Accounting for Contract Assets</w:t>
      </w:r>
    </w:p>
    <w:p>
      <w:pPr>
        <w:spacing w:after="0" w:line="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and Contract Liabilities from Contracts with Customers</w:t>
      </w:r>
    </w:p>
    <w:p>
      <w:pPr>
        <w:spacing w:after="0" w:line="20" w:lineRule="exact"/>
        <w:rPr>
          <w:sz w:val="20"/>
          <w:szCs w:val="20"/>
          <w:color w:val="auto"/>
        </w:rPr>
      </w:pPr>
      <w:r>
        <w:rPr>
          <w:sz w:val="20"/>
          <w:szCs w:val="20"/>
          <w:color w:val="auto"/>
        </w:rPr>
        <w:br w:type="column"/>
      </w:r>
    </w:p>
    <w:p>
      <w:pPr>
        <w:spacing w:after="0"/>
        <w:tabs>
          <w:tab w:leader="none" w:pos="4300" w:val="left"/>
          <w:tab w:leader="none" w:pos="6060" w:val="left"/>
        </w:tabs>
        <w:rPr>
          <w:sz w:val="20"/>
          <w:szCs w:val="20"/>
          <w:color w:val="auto"/>
        </w:rPr>
      </w:pPr>
      <w:r>
        <w:rPr>
          <w:rFonts w:ascii="Arial" w:cs="Arial" w:eastAsia="Arial" w:hAnsi="Arial"/>
          <w:sz w:val="18"/>
          <w:szCs w:val="18"/>
          <w:color w:val="auto"/>
        </w:rPr>
        <w:t>The ASU requires contract assets and contract liabilities</w:t>
      </w:r>
      <w:r>
        <w:rPr>
          <w:sz w:val="20"/>
          <w:szCs w:val="20"/>
          <w:color w:val="auto"/>
        </w:rPr>
        <w:tab/>
      </w:r>
      <w:r>
        <w:rPr>
          <w:rFonts w:ascii="Arial" w:cs="Arial" w:eastAsia="Arial" w:hAnsi="Arial"/>
          <w:sz w:val="18"/>
          <w:szCs w:val="18"/>
          <w:color w:val="auto"/>
        </w:rPr>
        <w:t>October 1, 2021</w:t>
      </w:r>
      <w:r>
        <w:rPr>
          <w:sz w:val="20"/>
          <w:szCs w:val="20"/>
          <w:color w:val="auto"/>
        </w:rPr>
        <w:tab/>
      </w:r>
      <w:r>
        <w:rPr>
          <w:rFonts w:ascii="Arial" w:cs="Arial" w:eastAsia="Arial" w:hAnsi="Arial"/>
          <w:sz w:val="16"/>
          <w:szCs w:val="16"/>
          <w:color w:val="auto"/>
        </w:rPr>
        <w:t>The Company early adopted for</w:t>
      </w:r>
    </w:p>
    <w:p>
      <w:pPr>
        <w:spacing w:after="0" w:line="228" w:lineRule="auto"/>
        <w:tabs>
          <w:tab w:leader="none" w:pos="6060" w:val="left"/>
        </w:tabs>
        <w:rPr>
          <w:sz w:val="20"/>
          <w:szCs w:val="20"/>
          <w:color w:val="auto"/>
        </w:rPr>
      </w:pPr>
      <w:r>
        <w:rPr>
          <w:rFonts w:ascii="Arial" w:cs="Arial" w:eastAsia="Arial" w:hAnsi="Arial"/>
          <w:sz w:val="18"/>
          <w:szCs w:val="18"/>
          <w:color w:val="auto"/>
        </w:rPr>
        <w:t>acquired in a business combination to be recognized and</w:t>
      </w:r>
      <w:r>
        <w:rPr>
          <w:sz w:val="20"/>
          <w:szCs w:val="20"/>
          <w:color w:val="auto"/>
        </w:rPr>
        <w:tab/>
      </w:r>
      <w:r>
        <w:rPr>
          <w:rFonts w:ascii="Arial" w:cs="Arial" w:eastAsia="Arial" w:hAnsi="Arial"/>
          <w:sz w:val="16"/>
          <w:szCs w:val="16"/>
          <w:color w:val="auto"/>
        </w:rPr>
        <w:t>fiscal 2022. The adoption had an</w:t>
      </w:r>
    </w:p>
    <w:p>
      <w:pPr>
        <w:spacing w:after="0"/>
        <w:tabs>
          <w:tab w:leader="none" w:pos="6060" w:val="left"/>
        </w:tabs>
        <w:rPr>
          <w:sz w:val="20"/>
          <w:szCs w:val="20"/>
          <w:color w:val="auto"/>
        </w:rPr>
      </w:pPr>
      <w:r>
        <w:rPr>
          <w:rFonts w:ascii="Arial" w:cs="Arial" w:eastAsia="Arial" w:hAnsi="Arial"/>
          <w:sz w:val="18"/>
          <w:szCs w:val="18"/>
          <w:color w:val="auto"/>
        </w:rPr>
        <w:t>measured by the acquirer on the acquisition date in</w:t>
      </w:r>
      <w:r>
        <w:rPr>
          <w:sz w:val="20"/>
          <w:szCs w:val="20"/>
          <w:color w:val="auto"/>
        </w:rPr>
        <w:tab/>
      </w:r>
      <w:r>
        <w:rPr>
          <w:rFonts w:ascii="Arial" w:cs="Arial" w:eastAsia="Arial" w:hAnsi="Arial"/>
          <w:sz w:val="16"/>
          <w:szCs w:val="16"/>
          <w:color w:val="auto"/>
        </w:rPr>
        <w:t>immaterial impact to the Nispera</w:t>
      </w:r>
    </w:p>
    <w:p>
      <w:pPr>
        <w:spacing w:after="0" w:line="229" w:lineRule="auto"/>
        <w:tabs>
          <w:tab w:leader="none" w:pos="6060" w:val="left"/>
        </w:tabs>
        <w:rPr>
          <w:sz w:val="20"/>
          <w:szCs w:val="20"/>
          <w:color w:val="auto"/>
        </w:rPr>
      </w:pPr>
      <w:r>
        <w:rPr>
          <w:rFonts w:ascii="Arial" w:cs="Arial" w:eastAsia="Arial" w:hAnsi="Arial"/>
          <w:sz w:val="18"/>
          <w:szCs w:val="18"/>
          <w:color w:val="auto"/>
        </w:rPr>
        <w:t>accordance with ASC 606, Revenue from Contracts with</w:t>
      </w:r>
      <w:r>
        <w:rPr>
          <w:sz w:val="20"/>
          <w:szCs w:val="20"/>
          <w:color w:val="auto"/>
        </w:rPr>
        <w:tab/>
      </w:r>
      <w:r>
        <w:rPr>
          <w:rFonts w:ascii="Arial" w:cs="Arial" w:eastAsia="Arial" w:hAnsi="Arial"/>
          <w:sz w:val="16"/>
          <w:szCs w:val="16"/>
          <w:color w:val="auto"/>
        </w:rPr>
        <w:t>acquisition in April 2022.</w:t>
      </w:r>
    </w:p>
    <w:p>
      <w:pPr>
        <w:spacing w:after="0" w:line="203" w:lineRule="auto"/>
        <w:rPr>
          <w:sz w:val="20"/>
          <w:szCs w:val="20"/>
          <w:color w:val="auto"/>
        </w:rPr>
      </w:pPr>
      <w:r>
        <w:rPr>
          <w:rFonts w:ascii="Arial" w:cs="Arial" w:eastAsia="Arial" w:hAnsi="Arial"/>
          <w:sz w:val="18"/>
          <w:szCs w:val="18"/>
          <w:color w:val="auto"/>
        </w:rPr>
        <w:t>Customers, as if it had originated the contracts. The</w:t>
      </w:r>
    </w:p>
    <w:p>
      <w:pPr>
        <w:spacing w:after="0" w:line="219" w:lineRule="auto"/>
        <w:rPr>
          <w:sz w:val="20"/>
          <w:szCs w:val="20"/>
          <w:color w:val="auto"/>
        </w:rPr>
      </w:pPr>
      <w:r>
        <w:rPr>
          <w:rFonts w:ascii="Arial" w:cs="Arial" w:eastAsia="Arial" w:hAnsi="Arial"/>
          <w:sz w:val="18"/>
          <w:szCs w:val="18"/>
          <w:color w:val="auto"/>
        </w:rPr>
        <w:t>standard should be applied prospectively to business</w:t>
      </w:r>
    </w:p>
    <w:p>
      <w:pPr>
        <w:spacing w:after="0" w:line="204" w:lineRule="auto"/>
        <w:rPr>
          <w:sz w:val="20"/>
          <w:szCs w:val="20"/>
          <w:color w:val="auto"/>
        </w:rPr>
      </w:pPr>
      <w:r>
        <w:rPr>
          <w:rFonts w:ascii="Arial" w:cs="Arial" w:eastAsia="Arial" w:hAnsi="Arial"/>
          <w:sz w:val="18"/>
          <w:szCs w:val="18"/>
          <w:color w:val="auto"/>
        </w:rPr>
        <w:t>combinations occurring on or after the effective date. The</w:t>
      </w:r>
    </w:p>
    <w:p>
      <w:pPr>
        <w:spacing w:after="0" w:line="203" w:lineRule="auto"/>
        <w:rPr>
          <w:sz w:val="20"/>
          <w:szCs w:val="20"/>
          <w:color w:val="auto"/>
        </w:rPr>
      </w:pPr>
      <w:r>
        <w:rPr>
          <w:rFonts w:ascii="Arial" w:cs="Arial" w:eastAsia="Arial" w:hAnsi="Arial"/>
          <w:sz w:val="18"/>
          <w:szCs w:val="18"/>
          <w:color w:val="auto"/>
        </w:rPr>
        <w:t>standard is effective for fiscal years beginning after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2022, with early adoption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13335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300"/>
            <w:col w:w="8500"/>
          </w:cols>
          <w:pgMar w:left="340" w:top="96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960" w:right="47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Recent Accounting Standards Not Yet Adopted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accounting standards not yet adopted: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3"/>
          </w:tcPr>
          <w:p>
            <w:pPr>
              <w:ind w:left="20"/>
              <w:spacing w:after="0" w:line="189" w:lineRule="exact"/>
              <w:rPr>
                <w:sz w:val="20"/>
                <w:szCs w:val="20"/>
                <w:color w:val="auto"/>
              </w:rPr>
            </w:pPr>
            <w:r>
              <w:rPr>
                <w:rFonts w:ascii="Arial" w:cs="Arial" w:eastAsia="Arial" w:hAnsi="Arial"/>
                <w:sz w:val="18"/>
                <w:szCs w:val="18"/>
                <w:b w:val="1"/>
                <w:bCs w:val="1"/>
                <w:color w:val="auto"/>
                <w:w w:val="97"/>
              </w:rPr>
              <w:t>Effect on the financial</w:t>
            </w: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2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gridSpan w:val="5"/>
          </w:tcPr>
          <w:p>
            <w:pPr>
              <w:ind w:left="20"/>
              <w:spacing w:after="0" w:line="184" w:lineRule="exact"/>
              <w:rPr>
                <w:sz w:val="20"/>
                <w:szCs w:val="20"/>
                <w:color w:val="auto"/>
              </w:rPr>
            </w:pPr>
            <w:r>
              <w:rPr>
                <w:rFonts w:ascii="Arial" w:cs="Arial" w:eastAsia="Arial" w:hAnsi="Arial"/>
                <w:sz w:val="18"/>
                <w:szCs w:val="18"/>
                <w:b w:val="1"/>
                <w:bCs w:val="1"/>
                <w:color w:val="auto"/>
                <w:w w:val="96"/>
              </w:rPr>
              <w:t>statements and other significant</w:t>
            </w:r>
          </w:p>
        </w:tc>
      </w:tr>
      <w:tr>
        <w:trPr>
          <w:trHeight w:val="23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Standard</w:t>
            </w:r>
          </w:p>
        </w:tc>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c>
          <w:tcPr>
            <w:tcW w:w="26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Required date of adoption</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matters</w:t>
            </w: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69"/>
        </w:trPr>
        <w:tc>
          <w:tcPr>
            <w:tcW w:w="25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Accounting Standards Update</w:t>
            </w:r>
          </w:p>
        </w:tc>
        <w:tc>
          <w:tcPr>
            <w:tcW w:w="318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In September 2022, the Financial</w:t>
            </w:r>
          </w:p>
        </w:tc>
        <w:tc>
          <w:tcPr>
            <w:tcW w:w="2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8"/>
                <w:szCs w:val="18"/>
                <w:color w:val="auto"/>
              </w:rPr>
              <w:t>ASU 2022-04 is effective for the</w:t>
            </w:r>
          </w:p>
        </w:tc>
        <w:tc>
          <w:tcPr>
            <w:tcW w:w="258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color w:val="auto"/>
              </w:rPr>
              <w:t>The Company is evaluating the</w:t>
            </w:r>
          </w:p>
        </w:tc>
        <w:tc>
          <w:tcPr>
            <w:tcW w:w="140" w:type="dxa"/>
            <w:vAlign w:val="bottom"/>
          </w:tcPr>
          <w:p>
            <w:pPr>
              <w:spacing w:after="0"/>
              <w:rPr>
                <w:sz w:val="14"/>
                <w:szCs w:val="14"/>
                <w:color w:val="auto"/>
              </w:rPr>
            </w:pPr>
          </w:p>
        </w:tc>
      </w:tr>
      <w:tr>
        <w:trPr>
          <w:trHeight w:val="188"/>
        </w:trPr>
        <w:tc>
          <w:tcPr>
            <w:tcW w:w="2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(ASU) No. 2022-04: Liabilities-</w:t>
            </w: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9"/>
              </w:rPr>
              <w:t>Accounting Standards Board ("FASB")</w:t>
            </w:r>
          </w:p>
        </w:tc>
        <w:tc>
          <w:tcPr>
            <w:tcW w:w="266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Company beginning in its fiscal</w:t>
            </w:r>
          </w:p>
        </w:tc>
        <w:tc>
          <w:tcPr>
            <w:tcW w:w="258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impact that this guidance will have</w:t>
            </w:r>
          </w:p>
        </w:tc>
        <w:tc>
          <w:tcPr>
            <w:tcW w:w="140" w:type="dxa"/>
            <w:vAlign w:val="bottom"/>
          </w:tcPr>
          <w:p>
            <w:pPr>
              <w:spacing w:after="0"/>
              <w:rPr>
                <w:sz w:val="16"/>
                <w:szCs w:val="16"/>
                <w:color w:val="auto"/>
              </w:rPr>
            </w:pPr>
          </w:p>
        </w:tc>
      </w:tr>
      <w:tr>
        <w:trPr>
          <w:trHeight w:val="176"/>
        </w:trPr>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Supplier Finance Programs</w:t>
            </w: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issued Accounting Standards Update</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year ending, September 30, 2024</w:t>
            </w:r>
          </w:p>
        </w:tc>
        <w:tc>
          <w:tcPr>
            <w:tcW w:w="258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on disclosures related to its</w:t>
            </w:r>
          </w:p>
        </w:tc>
        <w:tc>
          <w:tcPr>
            <w:tcW w:w="140" w:type="dxa"/>
            <w:vAlign w:val="bottom"/>
          </w:tcPr>
          <w:p>
            <w:pPr>
              <w:spacing w:after="0"/>
              <w:rPr>
                <w:sz w:val="15"/>
                <w:szCs w:val="15"/>
                <w:color w:val="auto"/>
              </w:rPr>
            </w:pPr>
          </w:p>
        </w:tc>
      </w:tr>
      <w:tr>
        <w:trPr>
          <w:trHeight w:val="175"/>
        </w:trPr>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(Subtopic 405-50): Disclosure of</w:t>
            </w: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("ASU") No. 2022-04, "Disclosure of</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("Fiscal 2024") and is to be applied</w:t>
            </w:r>
          </w:p>
        </w:tc>
        <w:tc>
          <w:tcPr>
            <w:tcW w:w="1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supplier finance program</w:t>
            </w: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25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Supplier Finance Program</w:t>
            </w: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Supplier Finance Program Obligations"</w:t>
            </w:r>
          </w:p>
        </w:tc>
        <w:tc>
          <w:tcPr>
            <w:tcW w:w="266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retrospectively to all periods in</w:t>
            </w:r>
          </w:p>
        </w:tc>
        <w:tc>
          <w:tcPr>
            <w:tcW w:w="12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obligations.</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76"/>
        </w:trPr>
        <w:tc>
          <w:tcPr>
            <w:tcW w:w="2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Obligations</w:t>
            </w: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("ASU 2022-04"). ASU 2022-04 requires</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which a balance sheet is presented.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entities to disclose the key terms of</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1"/>
              </w:rPr>
              <w:t>The annual rollforward disclosure is</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2520" w:type="dxa"/>
            <w:vAlign w:val="bottom"/>
            <w:shd w:val="clear" w:color="auto" w:fill="CCEEFF"/>
          </w:tcPr>
          <w:p>
            <w:pPr>
              <w:spacing w:after="0"/>
              <w:rPr>
                <w:sz w:val="16"/>
                <w:szCs w:val="16"/>
                <w:color w:val="auto"/>
              </w:rPr>
            </w:pP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supplier finance programs they use in</w:t>
            </w:r>
          </w:p>
        </w:tc>
        <w:tc>
          <w:tcPr>
            <w:tcW w:w="266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not required to be made until 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76"/>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8"/>
              </w:rPr>
              <w:t>connection with the purchase of goods</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w w:val="98"/>
              </w:rPr>
              <w:t>fiscal year ending September 30,</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8"/>
              </w:rPr>
              <w:t>and services, along with the amount of</w:t>
            </w:r>
          </w:p>
        </w:tc>
        <w:tc>
          <w:tcPr>
            <w:tcW w:w="266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2025 ("Fiscal 2025") and is to be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2520" w:type="dxa"/>
            <w:vAlign w:val="bottom"/>
            <w:shd w:val="clear" w:color="auto" w:fill="CCEEFF"/>
          </w:tcPr>
          <w:p>
            <w:pPr>
              <w:spacing w:after="0"/>
              <w:rPr>
                <w:sz w:val="16"/>
                <w:szCs w:val="16"/>
                <w:color w:val="auto"/>
              </w:rPr>
            </w:pP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obligations outstanding at the end of each</w:t>
            </w:r>
          </w:p>
        </w:tc>
        <w:tc>
          <w:tcPr>
            <w:tcW w:w="266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applied prospectively. Early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76"/>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period and an annual rollforward of such</w:t>
            </w:r>
          </w:p>
        </w:tc>
        <w:tc>
          <w:tcPr>
            <w:tcW w:w="16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2"/>
              </w:rPr>
              <w:t>adoption is permitted.</w:t>
            </w: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obligations. This standard does not affect</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88"/>
        </w:trPr>
        <w:tc>
          <w:tcPr>
            <w:tcW w:w="2520" w:type="dxa"/>
            <w:vAlign w:val="bottom"/>
            <w:shd w:val="clear" w:color="auto" w:fill="CCEEFF"/>
          </w:tcPr>
          <w:p>
            <w:pPr>
              <w:spacing w:after="0"/>
              <w:rPr>
                <w:sz w:val="16"/>
                <w:szCs w:val="16"/>
                <w:color w:val="auto"/>
              </w:rPr>
            </w:pPr>
          </w:p>
        </w:tc>
        <w:tc>
          <w:tcPr>
            <w:tcW w:w="3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w w:val="90"/>
              </w:rPr>
              <w:t>the recognition, measurement, or financial</w:t>
            </w:r>
          </w:p>
        </w:tc>
        <w:tc>
          <w:tcPr>
            <w:tcW w:w="1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tcPr>
          <w:p>
            <w:pPr>
              <w:spacing w:after="0"/>
              <w:rPr>
                <w:sz w:val="16"/>
                <w:szCs w:val="16"/>
                <w:color w:val="auto"/>
              </w:rPr>
            </w:pPr>
          </w:p>
        </w:tc>
      </w:tr>
      <w:tr>
        <w:trPr>
          <w:trHeight w:val="176"/>
        </w:trPr>
        <w:tc>
          <w:tcPr>
            <w:tcW w:w="2520" w:type="dxa"/>
            <w:vAlign w:val="bottom"/>
            <w:shd w:val="clear" w:color="auto" w:fill="CCEEFF"/>
          </w:tcPr>
          <w:p>
            <w:pPr>
              <w:spacing w:after="0"/>
              <w:rPr>
                <w:sz w:val="15"/>
                <w:szCs w:val="15"/>
                <w:color w:val="auto"/>
              </w:rPr>
            </w:pPr>
          </w:p>
        </w:tc>
        <w:tc>
          <w:tcPr>
            <w:tcW w:w="31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statement presentation of supplier finance</w:t>
            </w: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252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program obligations.</w:t>
            </w:r>
          </w:p>
        </w:tc>
        <w:tc>
          <w:tcPr>
            <w:tcW w:w="1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52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3.  Revenue from Contracts with Customers</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52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3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1"/>
        </w:trPr>
        <w:tc>
          <w:tcPr>
            <w:tcW w:w="7360" w:type="dxa"/>
            <w:vAlign w:val="bottom"/>
            <w:gridSpan w:val="4"/>
          </w:tcPr>
          <w:p>
            <w:pPr>
              <w:ind w:left="340"/>
              <w:spacing w:after="0"/>
              <w:rPr>
                <w:sz w:val="20"/>
                <w:szCs w:val="20"/>
                <w:color w:val="auto"/>
              </w:rPr>
            </w:pPr>
            <w:r>
              <w:rPr>
                <w:rFonts w:ascii="Arial" w:cs="Arial" w:eastAsia="Arial" w:hAnsi="Arial"/>
                <w:sz w:val="18"/>
                <w:szCs w:val="18"/>
                <w:color w:val="auto"/>
              </w:rPr>
              <w:t>The following table presents the Company’s revenues disaggregated by contract type:</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5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189"/>
        </w:trPr>
        <w:tc>
          <w:tcPr>
            <w:tcW w:w="2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Fiscal Year Ended September 30,</w:t>
            </w: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203"/>
        </w:trPr>
        <w:tc>
          <w:tcPr>
            <w:tcW w:w="25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auto"/>
              </w:rPr>
              <w:t>in thousands</w:t>
            </w:r>
          </w:p>
        </w:tc>
        <w:tc>
          <w:tcPr>
            <w:tcW w:w="3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7"/>
                <w:szCs w:val="17"/>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sale of energy storage products</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1,180,093</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673,754</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556,681</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Revenue from services</w:t>
            </w:r>
          </w:p>
        </w:tc>
        <w:tc>
          <w:tcPr>
            <w:tcW w:w="3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15,912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5,706</w:t>
            </w:r>
          </w:p>
        </w:tc>
        <w:tc>
          <w:tcPr>
            <w:tcW w:w="5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3,773</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digital applications and solutions</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2,472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869</w:t>
            </w:r>
          </w:p>
        </w:tc>
      </w:tr>
      <w:tr>
        <w:trPr>
          <w:trHeight w:val="248"/>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1,198,603</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680,766</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561,323</w:t>
            </w:r>
          </w:p>
        </w:tc>
      </w:tr>
      <w:tr>
        <w:trPr>
          <w:trHeight w:val="20"/>
        </w:trPr>
        <w:tc>
          <w:tcPr>
            <w:tcW w:w="252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Company’s revenue disaggregated by geographical region. Revenues are attributed to regions based on location of customers: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Fiscal Year Ended September 30,</w:t>
            </w:r>
          </w:p>
        </w:tc>
        <w:tc>
          <w:tcPr>
            <w:tcW w:w="900" w:type="dxa"/>
            <w:vAlign w:val="bottom"/>
            <w:tcBorders>
              <w:top w:val="single" w:sz="8" w:color="auto"/>
              <w:bottom w:val="single" w:sz="8" w:color="auto"/>
            </w:tcBorders>
          </w:tcPr>
          <w:p>
            <w:pPr>
              <w:spacing w:after="0"/>
              <w:rPr>
                <w:sz w:val="18"/>
                <w:szCs w:val="18"/>
                <w:color w:val="auto"/>
              </w:rPr>
            </w:pPr>
          </w:p>
        </w:tc>
      </w:tr>
      <w:tr>
        <w:trPr>
          <w:trHeight w:val="203"/>
        </w:trPr>
        <w:tc>
          <w:tcPr>
            <w:tcW w:w="692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23"/>
        </w:trPr>
        <w:tc>
          <w:tcPr>
            <w:tcW w:w="6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Americas (North, Central and South America)</w:t>
            </w:r>
            <w:r>
              <w:rPr>
                <w:rFonts w:ascii="Arial" w:cs="Arial" w:eastAsia="Arial" w:hAnsi="Arial"/>
                <w:sz w:val="23"/>
                <w:szCs w:val="23"/>
                <w:i w:val="1"/>
                <w:iCs w:val="1"/>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837,935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336,610</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APAC (Asia Pacific)</w:t>
            </w:r>
          </w:p>
        </w:tc>
        <w:tc>
          <w:tcPr>
            <w:tcW w:w="320" w:type="dxa"/>
            <w:vAlign w:val="bottom"/>
          </w:tcPr>
          <w:p>
            <w:pPr>
              <w:spacing w:after="0"/>
              <w:rPr>
                <w:sz w:val="19"/>
                <w:szCs w:val="19"/>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178,233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134,874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192,679</w:t>
            </w:r>
          </w:p>
        </w:tc>
      </w:tr>
      <w:tr>
        <w:trPr>
          <w:trHeight w:val="23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EMEA (Europe, Middle-East and Africa)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182,435</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58,320</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32,034</w:t>
            </w: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1,198,603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680,766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561,323</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Revenue from United states of America was $582.3 million, $468.4 million and $318.9 million for 2022, 2021 and 2020, respectively.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Customer and Supplier Concentration</w:t>
      </w:r>
    </w:p>
    <w:p>
      <w:pPr>
        <w:spacing w:after="0" w:line="16" w:lineRule="exact"/>
        <w:rPr>
          <w:sz w:val="20"/>
          <w:szCs w:val="20"/>
          <w:color w:val="auto"/>
        </w:rPr>
      </w:pPr>
    </w:p>
    <w:p>
      <w:pPr>
        <w:ind w:right="500" w:firstLine="324"/>
        <w:spacing w:after="0" w:line="243" w:lineRule="auto"/>
        <w:rPr>
          <w:sz w:val="20"/>
          <w:szCs w:val="20"/>
          <w:color w:val="auto"/>
        </w:rPr>
      </w:pPr>
      <w:r>
        <w:rPr>
          <w:rFonts w:ascii="Arial" w:cs="Arial" w:eastAsia="Arial" w:hAnsi="Arial"/>
          <w:sz w:val="18"/>
          <w:szCs w:val="18"/>
          <w:color w:val="auto"/>
        </w:rPr>
        <w:t>For each of the fiscal years ended September 30, 2021 and 2020, the Company had three customers that each accounted for 10% or more of total revenue. For the fiscal year ended September 30, 2022, two customers accounted for 10% or more of total revenue.</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fiscal year ended September 30, 2022, our top five customers, in the aggregate, accounted for approximately 77% of our revenue, and related parties accounted for approximately 54% of our revenue. For the fiscal year ended September 30, 2022, our top five customers, in the aggregate, accounted for approximately 61% of our remaining backlog.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three suppliers of battery modules, which is a major component of energy storage products, accounting for approximately 64%, 28% and 8% of battery module purchases in the fiscal year ended September 30, 2022,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primarily relied on one contract manufacturer in Asia to assemble our cube sub-assemblies for the year ended September 30,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represents the excess billings over the amount of revenue recognized to date. Deferred revenue from related parties is included in payables and deferred revenue with related parties on the Company’s consolidated balance sheets. The following table provides information about deferred revenue from contracts with customers: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Fiscal Year Ended September 30,</w:t>
            </w:r>
          </w:p>
        </w:tc>
        <w:tc>
          <w:tcPr>
            <w:tcW w:w="8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beginning of period</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71,365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123,841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269,883</w:t>
            </w:r>
          </w:p>
        </w:tc>
        <w:tc>
          <w:tcPr>
            <w:tcW w:w="36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69,289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Revenue recognized related to amounts that were included in beginning balance of deferred</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(68,175)</w:t>
            </w:r>
          </w:p>
        </w:tc>
        <w:tc>
          <w:tcPr>
            <w:tcW w:w="3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(121,765)</w:t>
            </w: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end of period</w:t>
            </w: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273,073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71,365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from related parties beginning of period</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196"/>
              <w:spacing w:after="0"/>
              <w:rPr>
                <w:sz w:val="20"/>
                <w:szCs w:val="20"/>
                <w:color w:val="auto"/>
              </w:rPr>
            </w:pPr>
            <w:r>
              <w:rPr>
                <w:rFonts w:ascii="Arial" w:cs="Arial" w:eastAsia="Arial" w:hAnsi="Arial"/>
                <w:sz w:val="18"/>
                <w:szCs w:val="18"/>
                <w:color w:val="auto"/>
                <w:w w:val="89"/>
              </w:rPr>
              <w:t>220,122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87"/>
              </w:rPr>
              <w:t>60,968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left="196"/>
              <w:spacing w:after="0"/>
              <w:rPr>
                <w:sz w:val="20"/>
                <w:szCs w:val="20"/>
                <w:color w:val="auto"/>
              </w:rPr>
            </w:pPr>
            <w:r>
              <w:rPr>
                <w:rFonts w:ascii="Arial" w:cs="Arial" w:eastAsia="Arial" w:hAnsi="Arial"/>
                <w:sz w:val="18"/>
                <w:szCs w:val="18"/>
                <w:color w:val="auto"/>
                <w:w w:val="89"/>
              </w:rPr>
              <w:t>300,577</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212,344</w:t>
            </w:r>
          </w:p>
        </w:tc>
        <w:tc>
          <w:tcPr>
            <w:tcW w:w="440" w:type="dxa"/>
            <w:vAlign w:val="bottom"/>
          </w:tcPr>
          <w:p>
            <w:pPr>
              <w:spacing w:after="0"/>
              <w:rPr>
                <w:sz w:val="19"/>
                <w:szCs w:val="19"/>
                <w:color w:val="auto"/>
              </w:rPr>
            </w:pPr>
          </w:p>
        </w:tc>
        <w:tc>
          <w:tcPr>
            <w:tcW w:w="840" w:type="dxa"/>
            <w:vAlign w:val="bottom"/>
          </w:tcPr>
          <w:p>
            <w:pPr>
              <w:jc w:val="center"/>
              <w:ind w:left="234"/>
              <w:spacing w:after="0"/>
              <w:rPr>
                <w:sz w:val="20"/>
                <w:szCs w:val="20"/>
                <w:color w:val="auto"/>
              </w:rPr>
            </w:pPr>
            <w:r>
              <w:rPr>
                <w:rFonts w:ascii="Arial" w:cs="Arial" w:eastAsia="Arial" w:hAnsi="Arial"/>
                <w:sz w:val="18"/>
                <w:szCs w:val="18"/>
                <w:color w:val="auto"/>
                <w:w w:val="87"/>
              </w:rPr>
              <w:t>10,464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Revenue recognized related to amounts that were included in beginning balance of deferred revenue</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8"/>
                <w:szCs w:val="18"/>
                <w:color w:val="auto"/>
                <w:w w:val="90"/>
              </w:rPr>
              <w:t>(220,002)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2"/>
              </w:rPr>
              <w:t>(60,007)</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revenue from related parties end of period</w:t>
            </w: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left="196"/>
              <w:spacing w:after="0"/>
              <w:rPr>
                <w:sz w:val="20"/>
                <w:szCs w:val="20"/>
                <w:color w:val="auto"/>
              </w:rPr>
            </w:pPr>
            <w:r>
              <w:rPr>
                <w:rFonts w:ascii="Arial" w:cs="Arial" w:eastAsia="Arial" w:hAnsi="Arial"/>
                <w:sz w:val="18"/>
                <w:szCs w:val="18"/>
                <w:color w:val="auto"/>
                <w:w w:val="89"/>
              </w:rPr>
              <w:t>300,697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220,122</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color w:val="auto"/>
                <w:w w:val="87"/>
              </w:rPr>
              <w:t>11,425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2022, the Company had $2,203.9 million of remaining performance obligations related to our contractual commitments, of which we expect to recognize 92% in revenue in the next five years and the remainder after five years.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remaining performance obligations related to our contractual commitments as of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in millions</w:t>
            </w:r>
          </w:p>
        </w:tc>
        <w:tc>
          <w:tcPr>
            <w:tcW w:w="296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7"/>
              </w:rPr>
              <w:t>As of September 30, 2022</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2023-2027</w:t>
            </w:r>
          </w:p>
        </w:tc>
        <w:tc>
          <w:tcPr>
            <w:tcW w:w="2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2,029.3</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9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r>
      <w:tr>
        <w:trPr>
          <w:trHeight w:val="248"/>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remaining performance obligations</w:t>
            </w:r>
          </w:p>
        </w:tc>
        <w:tc>
          <w:tcPr>
            <w:tcW w:w="2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a contract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recognizes the incremental costs incurred to obtain or fulfill a contract with a customer as an asset when these costs are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consist primarily of sales commissions. The amount was insignificant for fiscal year ended September 30, 2022 and 2021.</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Variable consideration</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2022 and 2021, our transaction prices have been reduced to reflect variable consideration of $75.5 million and $52.8 million, respectively. Variable consideration primarily relates to our customers’ rights to liquidated damages in the event a specified milestone has not been met or equipment is not delivered to contract specifications. Variable consideration is estimated using the expected-value method which computes a weighted average amount based on a range of potential outcomes. In contracts in which a significant reversal may occur, we use constraint in recognizing revenue on variable consideration.</w:t>
      </w:r>
    </w:p>
    <w:p>
      <w:pPr>
        <w:spacing w:after="0" w:line="18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During April 2022, the Company entered into a share sale purchase agreement and acquired all outstanding shares, the assets and assumed the liabilities of Nispera AG (“Nispera”), a Zurich based provider of artificial intelligence (AI) and machine learning-enabled software-as-a-service (SaaS) targeting the renewable energy sector. Nispera’s advanced technology helps customers monitor, analyze, forecast, and optimize the performance and value of renewable energy assets. The preliminary base purchase price for the acquisition was $33.4 million, of which $27.1 million was paid in cash to investors, $2.6 million was paid to debt holders at the purchase date, and $3.7 million will be paid to investors 18 months from date of purchase. In addition, Fluence issued 0.5 million shares of restricted stock to Nispera’s management team that vest ratably over three years for retention purposes and is accounted for as stock compensation The acquisition represents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Company has included the financial results of the acquisition in its consolidated financial statements from the date of acquisition. Transaction costs associated with the acquisition were not significant and were expensed as incurred. The following table summarizes the preliminary aggregate fair values and estimated useful lives of the assets acquired and liabilities assumed, as of the date of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Fair Value of consideration transferred</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33,445</w:t>
            </w:r>
          </w:p>
        </w:tc>
        <w:tc>
          <w:tcPr>
            <w:tcW w:w="0" w:type="dxa"/>
            <w:vAlign w:val="bottom"/>
          </w:tcPr>
          <w:p>
            <w:pPr>
              <w:spacing w:after="0"/>
              <w:rPr>
                <w:sz w:val="1"/>
                <w:szCs w:val="1"/>
                <w:color w:val="auto"/>
              </w:rPr>
            </w:pPr>
          </w:p>
        </w:tc>
      </w:tr>
      <w:tr>
        <w:trPr>
          <w:trHeight w:val="20"/>
        </w:trPr>
        <w:tc>
          <w:tcPr>
            <w:tcW w:w="9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Recognized amounts of identifiable assets and liabilities assumed:</w:t>
            </w:r>
          </w:p>
        </w:tc>
        <w:tc>
          <w:tcPr>
            <w:tcW w:w="8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140" w:type="dxa"/>
            <w:vAlign w:val="bottom"/>
          </w:tcPr>
          <w:p>
            <w:pPr>
              <w:ind w:left="140"/>
              <w:spacing w:after="0"/>
              <w:rPr>
                <w:sz w:val="20"/>
                <w:szCs w:val="20"/>
                <w:color w:val="auto"/>
              </w:rPr>
            </w:pPr>
            <w:r>
              <w:rPr>
                <w:rFonts w:ascii="Arial" w:cs="Arial" w:eastAsia="Arial" w:hAnsi="Arial"/>
                <w:sz w:val="18"/>
                <w:szCs w:val="18"/>
                <w:color w:val="auto"/>
              </w:rPr>
              <w:t>Cash</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receivables and other assets</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Trademark (11 years life)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Developed technology (12 years life)</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Customer relationships (6 years life)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4"/>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8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rPr>
              <w:t>Total net identifiable assets acquired and liabilities assumed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16,909</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goodwill is primarily attributed to the expanded market opportunities when integrating the acquired entity’s technology with the Company’s technology and the assembled workforce. The excess of the acquisition price over the fair value of assets acquired and liabilities assumed was recorded to goodwill. The goodwill is not deductible for income tax purposes.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valuation was complex due to the significant estimation uncertainty in certain assumptions used to determine the fair value of intangible assets acquired.</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allocation of fair value of purchase consideration was finalized in the fourth quarter of 2022, and there were no material changes to the fair value of assets acquired and liabilities assumed, as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3" w:name="page94"/>
    <w:bookmarkEnd w:id="93"/>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Inventory, Net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3"/>
              </w:rPr>
              <w:t>September 30, 2022</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1"/>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8"/>
                <w:szCs w:val="18"/>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Arial" w:cs="Arial" w:eastAsia="Arial" w:hAnsi="Arial"/>
                <w:sz w:val="14"/>
                <w:szCs w:val="14"/>
                <w:b w:val="1"/>
                <w:bCs w:val="1"/>
                <w:color w:val="auto"/>
              </w:rPr>
              <w:t>Provision</w:t>
            </w:r>
          </w:p>
        </w:tc>
        <w:tc>
          <w:tcPr>
            <w:tcW w:w="320" w:type="dxa"/>
            <w:vAlign w:val="bottom"/>
          </w:tcPr>
          <w:p>
            <w:pPr>
              <w:spacing w:after="0"/>
              <w:rPr>
                <w:sz w:val="18"/>
                <w:szCs w:val="18"/>
                <w:color w:val="auto"/>
              </w:rPr>
            </w:pPr>
          </w:p>
        </w:tc>
        <w:tc>
          <w:tcPr>
            <w:tcW w:w="860" w:type="dxa"/>
            <w:vAlign w:val="bottom"/>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8"/>
                <w:szCs w:val="18"/>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8"/>
                <w:szCs w:val="18"/>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Provision</w:t>
            </w:r>
          </w:p>
        </w:tc>
        <w:tc>
          <w:tcPr>
            <w:tcW w:w="300" w:type="dxa"/>
            <w:vAlign w:val="bottom"/>
          </w:tcPr>
          <w:p>
            <w:pPr>
              <w:spacing w:after="0"/>
              <w:rPr>
                <w:sz w:val="18"/>
                <w:szCs w:val="18"/>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Net</w:t>
            </w:r>
          </w:p>
        </w:tc>
      </w:tr>
      <w:tr>
        <w:trPr>
          <w:trHeight w:val="26"/>
        </w:trPr>
        <w:tc>
          <w:tcPr>
            <w:tcW w:w="3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Cubes, batteries, and other equipment </w:t>
            </w:r>
            <w:r>
              <w:rPr>
                <w:rFonts w:ascii="Arial" w:cs="Arial" w:eastAsia="Arial" w:hAnsi="Arial"/>
                <w:sz w:val="23"/>
                <w:szCs w:val="23"/>
                <w:i w:val="1"/>
                <w:iCs w:val="1"/>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653,059</w:t>
            </w:r>
          </w:p>
        </w:tc>
        <w:tc>
          <w:tcPr>
            <w:tcW w:w="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651,765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402,157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(12,980)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389,177</w:t>
            </w:r>
          </w:p>
        </w:tc>
      </w:tr>
      <w:tr>
        <w:trPr>
          <w:trHeight w:val="23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Shipping containers and spare parts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(1,247)</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48"/>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654,041</w:t>
            </w:r>
          </w:p>
        </w:tc>
        <w:tc>
          <w:tcPr>
            <w:tcW w:w="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652,735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404,014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(14,227)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389,787</w:t>
            </w: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380" w:firstLine="8"/>
        <w:spacing w:after="0" w:line="273" w:lineRule="auto"/>
        <w:tabs>
          <w:tab w:leader="none" w:pos="204"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Provision as of September 30, 2021 included $13.0 million loss recognized for inventory damaged in transit related to the 2021 cargo loss incident. Refer to Note 14 - Commitments and Contingencies for a detail discussion of the 2021 cargo loss incident.</w:t>
      </w:r>
    </w:p>
    <w:p>
      <w:pPr>
        <w:spacing w:after="0" w:line="18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r>
      <w:tr>
        <w:trPr>
          <w:trHeight w:val="26"/>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1"/>
        </w:trPr>
        <w:tc>
          <w:tcPr>
            <w:tcW w:w="8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8"/>
                <w:szCs w:val="18"/>
                <w:color w:val="auto"/>
              </w:rPr>
            </w:pPr>
          </w:p>
        </w:tc>
        <w:tc>
          <w:tcPr>
            <w:tcW w:w="7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r>
      <w:tr>
        <w:trPr>
          <w:trHeight w:val="26"/>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recoverable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14,378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9"/>
        </w:trPr>
        <w:tc>
          <w:tcPr>
            <w:tcW w:w="8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Receivable from insurance </w:t>
            </w:r>
            <w:r>
              <w:rPr>
                <w:rFonts w:ascii="Arial" w:cs="Arial" w:eastAsia="Arial" w:hAnsi="Arial"/>
                <w:sz w:val="23"/>
                <w:szCs w:val="23"/>
                <w:i w:val="1"/>
                <w:iCs w:val="1"/>
                <w:color w:val="auto"/>
                <w:vertAlign w:val="superscript"/>
              </w:rPr>
              <w:t>(a)</w:t>
            </w:r>
          </w:p>
        </w:tc>
        <w:tc>
          <w:tcPr>
            <w:tcW w:w="2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equity issuance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Advance payments</w:t>
            </w:r>
          </w:p>
        </w:tc>
        <w:tc>
          <w:tcPr>
            <w:tcW w:w="2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1,813</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2,095</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1,549</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5,574</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1,226</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26,635</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31,162</w:t>
            </w: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60" w:firstLine="8"/>
        <w:spacing w:after="0" w:line="256" w:lineRule="auto"/>
        <w:tabs>
          <w:tab w:leader="none" w:pos="204"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Receivable from insurance of $10.0 million as of September 30, 2021 represents insurance recoveries that are probable of collection related to the 2021 cargo loss incident. Refer to Note 14 - Commitments and Contingencies for a detail discussion of the 2021 cargo loss incident.</w:t>
      </w:r>
    </w:p>
    <w:p>
      <w:pPr>
        <w:ind w:right="200" w:firstLine="8"/>
        <w:spacing w:after="0" w:line="283" w:lineRule="auto"/>
        <w:tabs>
          <w:tab w:leader="none" w:pos="204"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Derivative Assets relate to forward contracts used to mitigate foreign exchange risk exposure on customer projects, gains and losses on forward contracts are recorded to cost of goods and services.</w:t>
      </w: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amortized cost and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2022</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6"/>
              </w:rPr>
              <w:t>September 30, 2021</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960" w:type="dxa"/>
            <w:vAlign w:val="bottom"/>
            <w:vMerge w:val="restart"/>
          </w:tcPr>
          <w:p>
            <w:pPr>
              <w:jc w:val="right"/>
              <w:ind w:right="432"/>
              <w:spacing w:after="0"/>
              <w:rPr>
                <w:sz w:val="20"/>
                <w:szCs w:val="20"/>
                <w:color w:val="auto"/>
              </w:rPr>
            </w:pPr>
            <w:r>
              <w:rPr>
                <w:rFonts w:ascii="Arial" w:cs="Arial" w:eastAsia="Arial" w:hAnsi="Arial"/>
                <w:sz w:val="14"/>
                <w:szCs w:val="14"/>
                <w:color w:val="auto"/>
              </w:rPr>
              <w:t>Cost</w:t>
            </w:r>
          </w:p>
        </w:tc>
        <w:tc>
          <w:tcPr>
            <w:tcW w:w="240" w:type="dxa"/>
            <w:vAlign w:val="bottom"/>
          </w:tcPr>
          <w:p>
            <w:pPr>
              <w:spacing w:after="0"/>
              <w:rPr>
                <w:sz w:val="12"/>
                <w:szCs w:val="12"/>
                <w:color w:val="auto"/>
              </w:rPr>
            </w:pPr>
          </w:p>
        </w:tc>
        <w:tc>
          <w:tcPr>
            <w:tcW w:w="112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Accumulated</w:t>
            </w:r>
          </w:p>
        </w:tc>
        <w:tc>
          <w:tcPr>
            <w:tcW w:w="34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color w:val="auto"/>
              </w:rPr>
              <w:t>Cost</w:t>
            </w:r>
          </w:p>
        </w:tc>
        <w:tc>
          <w:tcPr>
            <w:tcW w:w="240" w:type="dxa"/>
            <w:vAlign w:val="bottom"/>
          </w:tcPr>
          <w:p>
            <w:pPr>
              <w:spacing w:after="0"/>
              <w:rPr>
                <w:sz w:val="12"/>
                <w:szCs w:val="12"/>
                <w:color w:val="auto"/>
              </w:rPr>
            </w:pPr>
          </w:p>
        </w:tc>
        <w:tc>
          <w:tcPr>
            <w:tcW w:w="112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Accumulated</w:t>
            </w:r>
          </w:p>
        </w:tc>
        <w:tc>
          <w:tcPr>
            <w:tcW w:w="360" w:type="dxa"/>
            <w:vAlign w:val="bottom"/>
          </w:tcPr>
          <w:p>
            <w:pPr>
              <w:spacing w:after="0"/>
              <w:rPr>
                <w:sz w:val="12"/>
                <w:szCs w:val="12"/>
                <w:color w:val="auto"/>
              </w:rPr>
            </w:pPr>
          </w:p>
        </w:tc>
        <w:tc>
          <w:tcPr>
            <w:tcW w:w="920" w:type="dxa"/>
            <w:vAlign w:val="bottom"/>
            <w:vMerge w:val="restart"/>
          </w:tcPr>
          <w:p>
            <w:pPr>
              <w:jc w:val="right"/>
              <w:ind w:right="43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2"/>
        </w:trPr>
        <w:tc>
          <w:tcPr>
            <w:tcW w:w="3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4,642</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6,808</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2,568</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18,650</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13,755</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10,715</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depreciation expense was $2.4 million, $1.4 million and $0.5 million for the fiscal year ended September 30, 2022, 2021 and 2020, respectively.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and equipment are depreciated over the estimated useful lives of the respective assets on a straight-line basis. The range of estimated lives for the respective assets is as follows: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3"/>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5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years</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584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840" w:type="dxa"/>
            <w:vAlign w:val="bottom"/>
          </w:tcPr>
          <w:p>
            <w:pPr>
              <w:jc w:val="right"/>
              <w:spacing w:after="0"/>
              <w:rPr>
                <w:sz w:val="20"/>
                <w:szCs w:val="20"/>
                <w:color w:val="auto"/>
              </w:rPr>
            </w:pPr>
            <w:r>
              <w:rPr>
                <w:rFonts w:ascii="Arial" w:cs="Arial" w:eastAsia="Arial" w:hAnsi="Arial"/>
                <w:sz w:val="18"/>
                <w:szCs w:val="18"/>
                <w:color w:val="auto"/>
              </w:rPr>
              <w:t>10 years, or lease term if shorter</w:t>
            </w:r>
          </w:p>
        </w:tc>
      </w:tr>
      <w:tr>
        <w:trPr>
          <w:trHeight w:val="230"/>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years</w:t>
            </w:r>
          </w:p>
        </w:tc>
      </w:tr>
    </w:tbl>
    <w:p>
      <w:pPr>
        <w:spacing w:after="0" w:line="292"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1, 2021 the Company adopted ASU 2016-02, Leases ("ASC 842") including the subsequent ASU's that amended and clarified the related guidance. ASC 842 requires lessees to recognize assets and liabilities for most leases. The Company determines if an arrangement is a lease at contract inception. A lease exists when a contract conveys to the customer the right to control the use of an identified asset for a period of time in exchange for consideration. The definition of a lease embodies two conditions: (1) there is an identified asset in the contract, and (2) the customer has the right to control the use of the identified asset. Lessees are required to classify leases as either finance or operating leases. This classification will determine whether lease expense is recognized based on an effective interest method or on a straight-line basis over the term of the lease.</w:t>
      </w:r>
    </w:p>
    <w:p>
      <w:pPr>
        <w:spacing w:after="0" w:line="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ASC 842 provided several optional practical expedients for use in transition to and ongoing application of ASC 842. The Company elected to utilize the package of practical expedients in ASC 842-10-65-1(f) that, upon adoption of ASC 842, allows entities to (1) not reassess whether any expired or existing contracts are or contain leases, (2) retain the classification of leases (e.g., operating or finance lease) existing as of the date of adoption and (3) not reassess initial direct costs for any existing leases. The Company did not elect the practical expedient pertaining to the use of hindsight. For all asset classes which the Company currently has leases, the Company elected to utilize the practical expedient in ASC 842-10-15-37 in which the Company has chosen to account for each separate lease component of a contract and its associated non-lease components as a single lease component.</w:t>
      </w:r>
    </w:p>
    <w:p>
      <w:pPr>
        <w:spacing w:after="0" w:line="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right-of-use assets and lease liabilities primarily relate to offices, land, warehouses, and equipment. The Company’s leases have remaining lease terms of one year to three years .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spacing w:after="0" w:line="1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Leases (with terms greater than twelve months) are recorded on the consolidated balance sheet at the present value of the minimum lease payments not yet paid. As the Company's leases do not provide an implicit rate, the Company generally uses its incremental borrowing rate based on the estimated rate of interest for collateralized borrowing over a similar term of the lease payments at commencement date to calculate the present value of future lease payments. Certain leases include payments that are based solely on an index or rate. These variable lease payments are included in the calculation of the ROU asset and lease liability and are initially measured using the index or rate at the lease commencement date. Other variable lease payments, such as payments based on use and for property taxes, insurance, or common area maintenance that are based on actual assessments are excluded from the ROU asset and lease liability and are expensed as incurred. In addition to the present value of the future lease payments, the calculation of the ROU asset also includes adjustments for lease incentives, deferred rent, lease prepayments and initial direct costs of obtaining the lease, such as commissions.</w:t>
      </w:r>
    </w:p>
    <w:p>
      <w:pPr>
        <w:spacing w:after="0" w:line="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lease contracts contain nonlease components such as maintenance and utilities. As discussed above, the Company has made an accounting policy election, as allowed under ASC 842-10-15-37, to capitalize both the lease component and nonlease components of its contracts as a single lease component for its right-of-use assets. This election applies at the asset class level.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subleased a portion of an office to third party where the Company remains primarily liable to the landlord for the performance of all obligations in the event that the sub-lessee does not perform its obligations under the lease. As a result of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5" w:name="page96"/>
    <w:bookmarkEnd w:id="95"/>
    <w:p>
      <w:pPr>
        <w:spacing w:after="0" w:line="277" w:lineRule="auto"/>
        <w:rPr>
          <w:sz w:val="20"/>
          <w:szCs w:val="20"/>
          <w:color w:val="auto"/>
        </w:rPr>
      </w:pPr>
      <w:r>
        <w:rPr>
          <w:rFonts w:ascii="Arial" w:cs="Arial" w:eastAsia="Arial" w:hAnsi="Arial"/>
          <w:sz w:val="18"/>
          <w:szCs w:val="18"/>
          <w:color w:val="auto"/>
        </w:rPr>
        <w:t>sublease arrangements, future rental commitments under the operating lease will be offset by sublease amounts to be paid by the sub-lessee. In general, the terms of the sublease are similar to the terms of the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800" w:type="dxa"/>
            <w:vAlign w:val="bottom"/>
          </w:tcPr>
          <w:p>
            <w:pPr>
              <w:jc w:val="right"/>
              <w:ind w:right="576"/>
              <w:spacing w:after="0"/>
              <w:rPr>
                <w:sz w:val="20"/>
                <w:szCs w:val="20"/>
                <w:color w:val="auto"/>
              </w:rPr>
            </w:pPr>
            <w:r>
              <w:rPr>
                <w:rFonts w:ascii="Arial" w:cs="Arial" w:eastAsia="Arial" w:hAnsi="Arial"/>
                <w:sz w:val="14"/>
                <w:szCs w:val="14"/>
                <w:b w:val="1"/>
                <w:bCs w:val="1"/>
                <w:color w:val="auto"/>
              </w:rPr>
              <w:t>Year Ended</w:t>
            </w:r>
          </w:p>
        </w:tc>
      </w:tr>
      <w:tr>
        <w:trPr>
          <w:trHeight w:val="257"/>
        </w:trPr>
        <w:tc>
          <w:tcPr>
            <w:tcW w:w="5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980" w:type="dxa"/>
            <w:vAlign w:val="bottom"/>
          </w:tcPr>
          <w:p>
            <w:pPr>
              <w:spacing w:after="0"/>
              <w:rPr>
                <w:sz w:val="22"/>
                <w:szCs w:val="22"/>
                <w:color w:val="auto"/>
              </w:rPr>
            </w:pPr>
          </w:p>
        </w:tc>
        <w:tc>
          <w:tcPr>
            <w:tcW w:w="180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5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39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1,713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9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39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the Company's leases for the year ended September 30,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6960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80" w:type="dxa"/>
            <w:vAlign w:val="bottom"/>
          </w:tcPr>
          <w:p>
            <w:pPr>
              <w:jc w:val="right"/>
              <w:ind w:right="636"/>
              <w:spacing w:after="0"/>
              <w:rPr>
                <w:sz w:val="20"/>
                <w:szCs w:val="20"/>
                <w:color w:val="auto"/>
              </w:rPr>
            </w:pPr>
            <w:r>
              <w:rPr>
                <w:rFonts w:ascii="Arial" w:cs="Arial" w:eastAsia="Arial" w:hAnsi="Arial"/>
                <w:sz w:val="14"/>
                <w:szCs w:val="14"/>
                <w:b w:val="1"/>
                <w:bCs w:val="1"/>
                <w:color w:val="auto"/>
              </w:rPr>
              <w:t>Year Ended</w:t>
            </w:r>
          </w:p>
        </w:tc>
      </w:tr>
      <w:tr>
        <w:trPr>
          <w:trHeight w:val="257"/>
        </w:trPr>
        <w:tc>
          <w:tcPr>
            <w:tcW w:w="7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80" w:type="dxa"/>
            <w:vAlign w:val="bottom"/>
          </w:tcPr>
          <w:p>
            <w:pPr>
              <w:spacing w:after="0"/>
              <w:rPr>
                <w:sz w:val="22"/>
                <w:szCs w:val="22"/>
                <w:color w:val="auto"/>
              </w:rPr>
            </w:pPr>
          </w:p>
        </w:tc>
        <w:tc>
          <w:tcPr>
            <w:tcW w:w="1880" w:type="dxa"/>
            <w:vAlign w:val="bottom"/>
          </w:tcPr>
          <w:p>
            <w:pPr>
              <w:jc w:val="right"/>
              <w:ind w:right="396"/>
              <w:spacing w:after="0"/>
              <w:rPr>
                <w:sz w:val="20"/>
                <w:szCs w:val="20"/>
                <w:color w:val="auto"/>
              </w:rPr>
            </w:pPr>
            <w:r>
              <w:rPr>
                <w:rFonts w:ascii="Arial" w:cs="Arial" w:eastAsia="Arial" w:hAnsi="Arial"/>
                <w:sz w:val="14"/>
                <w:szCs w:val="14"/>
                <w:b w:val="1"/>
                <w:bCs w:val="1"/>
                <w:color w:val="auto"/>
              </w:rPr>
              <w:t>September 30, 2022</w:t>
            </w:r>
          </w:p>
        </w:tc>
      </w:tr>
      <w:tr>
        <w:trPr>
          <w:trHeight w:val="26"/>
        </w:trPr>
        <w:tc>
          <w:tcPr>
            <w:tcW w:w="7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measurements of lease liabilities</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9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years</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9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3.17 %</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remaining lease payments under the Company's leases for each of the succeeding years is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September 30,</w:t>
            </w:r>
          </w:p>
        </w:tc>
        <w:tc>
          <w:tcPr>
            <w:tcW w:w="35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Operating Leases</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2024</w:t>
            </w:r>
          </w:p>
        </w:tc>
        <w:tc>
          <w:tcPr>
            <w:tcW w:w="3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2026</w:t>
            </w:r>
          </w:p>
        </w:tc>
        <w:tc>
          <w:tcPr>
            <w:tcW w:w="35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5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3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are stated at amortized cost and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4"/>
              </w:rPr>
              <w:t>September 30, 2022</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0" w:type="dxa"/>
            <w:vAlign w:val="bottom"/>
          </w:tcPr>
          <w:p>
            <w:pPr>
              <w:jc w:val="right"/>
              <w:ind w:right="175"/>
              <w:spacing w:after="0"/>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7"/>
                <w:szCs w:val="17"/>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Accumulated</w:t>
            </w:r>
          </w:p>
        </w:tc>
        <w:tc>
          <w:tcPr>
            <w:tcW w:w="280" w:type="dxa"/>
            <w:vAlign w:val="bottom"/>
          </w:tcPr>
          <w:p>
            <w:pPr>
              <w:spacing w:after="0"/>
              <w:rPr>
                <w:sz w:val="17"/>
                <w:szCs w:val="17"/>
                <w:color w:val="auto"/>
              </w:rPr>
            </w:pPr>
          </w:p>
        </w:tc>
        <w:tc>
          <w:tcPr>
            <w:tcW w:w="7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7"/>
                <w:szCs w:val="17"/>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7"/>
                <w:szCs w:val="17"/>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auto"/>
            </w:tcBorders>
            <w:vMerge w:val="continue"/>
          </w:tcPr>
          <w:p>
            <w:pPr>
              <w:spacing w:after="0"/>
              <w:rPr>
                <w:sz w:val="17"/>
                <w:szCs w:val="17"/>
                <w:color w:val="auto"/>
              </w:rPr>
            </w:pPr>
          </w:p>
        </w:tc>
        <w:tc>
          <w:tcPr>
            <w:tcW w:w="20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Estimated Useful Lives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licenses</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years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(9,207)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3"/>
                <w:szCs w:val="23"/>
                <w:i w:val="1"/>
                <w:iCs w:val="1"/>
                <w:color w:val="auto"/>
                <w:vertAlign w:val="superscript"/>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12 years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28,347</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(1,050)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11,550</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Customer relationship </w:t>
            </w:r>
            <w:r>
              <w:rPr>
                <w:rFonts w:ascii="Arial" w:cs="Arial" w:eastAsia="Arial" w:hAnsi="Arial"/>
                <w:sz w:val="23"/>
                <w:szCs w:val="23"/>
                <w:i w:val="1"/>
                <w:iCs w:val="1"/>
                <w:color w:val="auto"/>
                <w:vertAlign w:val="superscript"/>
              </w:rPr>
              <w: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Tradenames/Trademarks </w:t>
            </w:r>
            <w:r>
              <w:rPr>
                <w:rFonts w:ascii="Arial" w:cs="Arial" w:eastAsia="Arial" w:hAnsi="Arial"/>
                <w:sz w:val="23"/>
                <w:szCs w:val="23"/>
                <w:i w:val="1"/>
                <w:iCs w:val="1"/>
                <w:color w:val="auto"/>
                <w:vertAlign w:val="superscript"/>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11 years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(10,419)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36,057</w:t>
            </w: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560" w:firstLine="8"/>
        <w:spacing w:after="0" w:line="273" w:lineRule="auto"/>
        <w:tabs>
          <w:tab w:leader="none" w:pos="204"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intangible assets as of September 30, 2022 included $16.5 million, $3.5 million and $0.8 million, respectively, related to the acquisition of Nispera discussed in Note 4 - Business Combinations.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6" w:name="page97"/>
    <w:bookmarkEnd w:id="96"/>
    <w:p>
      <w:pPr>
        <w:ind w:right="20" w:firstLine="324"/>
        <w:spacing w:after="0" w:line="277" w:lineRule="auto"/>
        <w:rPr>
          <w:sz w:val="20"/>
          <w:szCs w:val="20"/>
          <w:color w:val="auto"/>
        </w:rPr>
      </w:pPr>
      <w:r>
        <w:rPr>
          <w:rFonts w:ascii="Arial" w:cs="Arial" w:eastAsia="Arial" w:hAnsi="Arial"/>
          <w:sz w:val="18"/>
          <w:szCs w:val="18"/>
          <w:color w:val="auto"/>
        </w:rPr>
        <w:t>Intangible assets are amortized over the estimated useful lives of the respective assets on a straight-line basis. Total amortization expense was $4.6 million, $3.6 million, and $2.5 million for the fiscal year ended September 30, 2022, 2021 and 2020, respectively.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future amortization expense for finite-lived intangible assets was estimated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In thousands</w:t>
            </w:r>
          </w:p>
        </w:tc>
        <w:tc>
          <w:tcPr>
            <w:tcW w:w="3980" w:type="dxa"/>
            <w:vAlign w:val="bottom"/>
            <w:tcBorders>
              <w:top w:val="single" w:sz="8" w:color="auto"/>
              <w:bottom w:val="single" w:sz="8" w:color="auto"/>
            </w:tcBorders>
            <w:shd w:val="clear" w:color="auto" w:fill="CCEEFF"/>
          </w:tcPr>
          <w:p>
            <w:pPr>
              <w:spacing w:after="0"/>
              <w:rPr>
                <w:sz w:val="18"/>
                <w:szCs w:val="18"/>
                <w:color w:val="auto"/>
              </w:rPr>
            </w:pPr>
          </w:p>
        </w:tc>
        <w:tc>
          <w:tcPr>
            <w:tcW w:w="274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Future Amortization Expenses</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2023</w:t>
            </w:r>
          </w:p>
        </w:tc>
        <w:tc>
          <w:tcPr>
            <w:tcW w:w="3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5,677</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8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2025</w:t>
            </w:r>
          </w:p>
        </w:tc>
        <w:tc>
          <w:tcPr>
            <w:tcW w:w="398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98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2027</w:t>
            </w:r>
          </w:p>
        </w:tc>
        <w:tc>
          <w:tcPr>
            <w:tcW w:w="398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29"/>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24,553</w:t>
            </w:r>
          </w:p>
        </w:tc>
      </w:tr>
      <w:tr>
        <w:trPr>
          <w:trHeight w:val="223"/>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51,696</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Goodwill is assessed for impairment annually each year during on the first day of the Company’s fourth quarter, or when impairment indicators exist.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impairment was recognized for the fiscal year ended September 30, 2022 or 2021.</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goodwill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Fiscal Year Ended September 30,</w:t>
            </w:r>
          </w:p>
        </w:tc>
      </w:tr>
      <w:tr>
        <w:trPr>
          <w:trHeight w:val="196"/>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the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9,176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rPr>
              <w:t>Foreign currency adjustment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(861)</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Borders>
              <w:bottom w:val="single" w:sz="8" w:color="auto"/>
            </w:tcBorders>
            <w:shd w:val="clear" w:color="auto" w:fill="CCEEFF"/>
          </w:tcPr>
          <w:p>
            <w:pPr>
              <w:ind w:left="160"/>
              <w:spacing w:after="0" w:line="243" w:lineRule="exact"/>
              <w:rPr>
                <w:sz w:val="20"/>
                <w:szCs w:val="20"/>
                <w:color w:val="auto"/>
              </w:rPr>
            </w:pPr>
            <w:r>
              <w:rPr>
                <w:rFonts w:ascii="Arial" w:cs="Arial" w:eastAsia="Arial" w:hAnsi="Arial"/>
                <w:sz w:val="18"/>
                <w:szCs w:val="18"/>
                <w:color w:val="auto"/>
              </w:rPr>
              <w:t xml:space="preserve">Acquisition related goodwill </w:t>
            </w:r>
            <w:r>
              <w:rPr>
                <w:rFonts w:ascii="Arial" w:cs="Arial" w:eastAsia="Arial" w:hAnsi="Arial"/>
                <w:sz w:val="23"/>
                <w:szCs w:val="23"/>
                <w:i w:val="1"/>
                <w:iCs w:val="1"/>
                <w:color w:val="auto"/>
                <w:vertAlign w:val="superscript"/>
              </w:rPr>
              <w:t>(a)</w:t>
            </w: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16,536</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End of the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24,851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00634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006340" cy="154305"/>
                    </a:xfrm>
                    <a:prstGeom prst="rect">
                      <a:avLst/>
                    </a:prstGeom>
                    <a:noFill/>
                  </pic:spPr>
                </pic:pic>
              </a:graphicData>
            </a:graphic>
          </wp:anchor>
        </w:drawing>
      </w:r>
    </w:p>
    <w:p>
      <w:pPr>
        <w:spacing w:after="0" w:line="88" w:lineRule="exact"/>
        <w:rPr>
          <w:sz w:val="20"/>
          <w:szCs w:val="20"/>
          <w:color w:val="auto"/>
        </w:rPr>
      </w:pPr>
    </w:p>
    <w:p>
      <w:pPr>
        <w:ind w:left="220" w:hanging="212"/>
        <w:spacing w:after="0"/>
        <w:tabs>
          <w:tab w:leader="none" w:pos="220" w:val="left"/>
        </w:tabs>
        <w:numPr>
          <w:ilvl w:val="0"/>
          <w:numId w:val="50"/>
        </w:numPr>
        <w:rPr>
          <w:rFonts w:ascii="Arial" w:cs="Arial" w:eastAsia="Arial" w:hAnsi="Arial"/>
          <w:sz w:val="14"/>
          <w:szCs w:val="14"/>
          <w:i w:val="1"/>
          <w:iCs w:val="1"/>
          <w:color w:val="auto"/>
        </w:rPr>
      </w:pPr>
      <w:r>
        <w:rPr>
          <w:rFonts w:ascii="Arial" w:cs="Arial" w:eastAsia="Arial" w:hAnsi="Arial"/>
          <w:sz w:val="15"/>
          <w:szCs w:val="15"/>
          <w:i w:val="1"/>
          <w:iCs w:val="1"/>
          <w:color w:val="auto"/>
        </w:rPr>
        <w:t>Refer to Note 4 - Business Combination for a further discussion of acquisition related goodwill.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Accruals and Provisions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Accruals mainly represent not yet invoiced milestones for inventory such as batteries, enclosures,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Accruals and provisions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top w:val="single" w:sz="8" w:color="auto"/>
              <w:bottom w:val="single" w:sz="8" w:color="auto"/>
            </w:tcBorders>
          </w:tcPr>
          <w:p>
            <w:pPr>
              <w:spacing w:after="0"/>
              <w:rPr>
                <w:sz w:val="18"/>
                <w:szCs w:val="18"/>
                <w:color w:val="auto"/>
              </w:rPr>
            </w:pPr>
          </w:p>
        </w:tc>
      </w:tr>
      <w:tr>
        <w:trPr>
          <w:trHeight w:val="24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w:t>
            </w:r>
          </w:p>
        </w:tc>
        <w:tc>
          <w:tcPr>
            <w:tcW w:w="4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152,996</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155,963</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Provisions for expected project losses</w:t>
            </w:r>
          </w:p>
        </w:tc>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30,032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30,180</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project related provisions</w:t>
            </w:r>
          </w:p>
        </w:tc>
        <w:tc>
          <w:tcPr>
            <w:tcW w:w="4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1,625</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184,653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186,400</w:t>
            </w: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non-current portion</w:t>
            </w:r>
          </w:p>
        </w:tc>
        <w:tc>
          <w:tcPr>
            <w:tcW w:w="4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w:t>
            </w:r>
          </w:p>
        </w:tc>
        <w:tc>
          <w:tcPr>
            <w:tcW w:w="4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183,814</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186,143</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36"/>
        </w:trPr>
        <w:tc>
          <w:tcPr>
            <w:tcW w:w="4140" w:type="dxa"/>
            <w:vAlign w:val="bottom"/>
          </w:tcPr>
          <w:p>
            <w:pPr>
              <w:spacing w:after="0"/>
              <w:rPr>
                <w:sz w:val="24"/>
                <w:szCs w:val="24"/>
                <w:color w:val="auto"/>
              </w:rPr>
            </w:pPr>
          </w:p>
        </w:tc>
        <w:tc>
          <w:tcPr>
            <w:tcW w:w="4380" w:type="dxa"/>
            <w:vAlign w:val="bottom"/>
          </w:tcPr>
          <w:p>
            <w:pPr>
              <w:jc w:val="right"/>
              <w:ind w:right="271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7" w:name="page98"/>
    <w:bookmarkEnd w:id="97"/>
    <w:p>
      <w:pPr>
        <w:ind w:left="320" w:hanging="312"/>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1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w:t>
      </w:r>
    </w:p>
    <w:p>
      <w:pPr>
        <w:spacing w:after="0" w:line="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Revolver bears interest at either (i) the Adjusted LIBOR or Adjusted EURIBO Rate (each as defined in the Credit Agreement) plus 3.0% or (ii) the Alternate Base Rate (as defined in the Credit Agreement)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The Revolver also provides for up to $200.0 million in letter of credit issuances, which will require customary issuance and administration fees, as well as a fronting fee payable to each issuer thereof and a letter of credit participation fee of 2.75% per annum payable to the lenders.</w:t>
      </w:r>
    </w:p>
    <w:p>
      <w:pPr>
        <w:spacing w:after="0" w:line="19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Credit Agreement limits our ability to make certain payments, including dividends and distributions on Fluence Energy, LLC’s equity, Fluence Energy, Inc.’s equity and other restricted payments. Under the terms of the Revolving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w:t>
      </w:r>
    </w:p>
    <w:p>
      <w:pPr>
        <w:spacing w:after="0" w:line="4" w:lineRule="exact"/>
        <w:rPr>
          <w:sz w:val="20"/>
          <w:szCs w:val="20"/>
          <w:color w:val="auto"/>
        </w:rPr>
      </w:pPr>
    </w:p>
    <w:p>
      <w:pPr>
        <w:jc w:val="both"/>
        <w:ind w:firstLine="8"/>
        <w:spacing w:after="0" w:line="268" w:lineRule="auto"/>
        <w:tabs>
          <w:tab w:leader="none" w:pos="263" w:val="left"/>
        </w:tabs>
        <w:numPr>
          <w:ilvl w:val="0"/>
          <w:numId w:val="52"/>
        </w:numPr>
        <w:rPr>
          <w:rFonts w:ascii="Arial" w:cs="Arial" w:eastAsia="Arial" w:hAnsi="Arial"/>
          <w:sz w:val="17"/>
          <w:szCs w:val="17"/>
          <w:color w:val="auto"/>
        </w:rPr>
      </w:pPr>
      <w:r>
        <w:rPr>
          <w:rFonts w:ascii="Arial" w:cs="Arial" w:eastAsia="Arial" w:hAnsi="Arial"/>
          <w:sz w:val="17"/>
          <w:szCs w:val="17"/>
          <w:color w:val="auto"/>
        </w:rPr>
        <w:t>1.5% of the consolidated assets of Fluence Energy, Inc. and its subsidiaries, and (ii) the ability to issue dividends and make other Restricted Payments (as defined in the Revolving Credit Agreement) (a) if after giving pro forma effect to such dividend or other Restricted Payment the Total Liquidity (as defined in the Revolving Credit Agreement) of Fluence Energy, Inc. and its subsidiaries party to the Revolving Credit Agreement is at least $600,000,000, and (b) such dividend or other Restricted Payment is made to reimburse Fluence Energy, Inc. for certain tax distributions under the Fluence Energy LLC Agreement and certain payments under the Tax Receivable Agreement and certain operational expenses incurred in connection with the ownership and management of Fluence Energy, LLC. In addition, we are required to maintain (i) minimum liquidity and gross revenue requirements, in each case, until consolidated EBITDA reaches $150 million for the most recent four fiscal quarters and we make an election, and (ii) thereafter, a maximum total leverage ratio and a minimum interest coverage ratio. Such covenants will be tested on a quarterly basis. As of September 30, 2022, we were in compliance with all such covenants or maintained availability above such covenant triggers.</w:t>
      </w:r>
    </w:p>
    <w:p>
      <w:pPr>
        <w:spacing w:after="0" w:line="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2022, we had no borrowings under the Revolver and $27.1 million of letters of credit outstanding, and availability under the facility was $172.9 million net of letters of credit issued.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Line of Credit</w:t>
      </w:r>
    </w:p>
    <w:p>
      <w:pPr>
        <w:spacing w:after="0" w:line="10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the IPO, the Company had an Uncommitted Line of Credit Agreement (“Line of Credit’) with Citibank, N.A. (“Citibank”) which allowed us to borrow an amount in aggregate not to exceed $50 million, with the expiration date on March 31, 2023. Outstanding borrowings from the Line of Credit were $50 million as of September 30, 2021. The weighted average annual interest rate of the borrowing was 2.83%. On November 1, 2021, the $50 million outstanding borrowings from the Line of Credit was paid off using the proceeds from our IPO and the Line of Credit was canceled shortly thereafter.</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15 -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for borrowing from related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ind w:left="320" w:hanging="312"/>
        <w:spacing w:after="0"/>
        <w:tabs>
          <w:tab w:leader="none" w:pos="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loss before income tax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Borders>
              <w:top w:val="single" w:sz="8" w:color="auto"/>
              <w:bottom w:val="single" w:sz="8" w:color="auto"/>
            </w:tcBorders>
          </w:tcPr>
          <w:p>
            <w:pPr>
              <w:spacing w:after="0"/>
              <w:rPr>
                <w:sz w:val="18"/>
                <w:szCs w:val="18"/>
                <w:color w:val="auto"/>
              </w:rPr>
            </w:pPr>
          </w:p>
        </w:tc>
      </w:tr>
      <w:tr>
        <w:trPr>
          <w:trHeight w:val="24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(34,929)</w:t>
            </w:r>
          </w:p>
        </w:tc>
      </w:tr>
      <w:tr>
        <w:trPr>
          <w:trHeight w:val="229"/>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w:t>
            </w:r>
          </w:p>
        </w:tc>
      </w:tr>
      <w:tr>
        <w:trPr>
          <w:trHeight w:val="248"/>
        </w:trPr>
        <w:tc>
          <w:tcPr>
            <w:tcW w:w="7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(287,820)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(40,289)</w:t>
            </w:r>
          </w:p>
        </w:tc>
      </w:tr>
      <w:tr>
        <w:trPr>
          <w:trHeight w:val="20"/>
        </w:trPr>
        <w:tc>
          <w:tcPr>
            <w:tcW w:w="7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7260" w:type="dxa"/>
            <w:vAlign w:val="bottom"/>
          </w:tcPr>
          <w:p>
            <w:pPr>
              <w:ind w:left="340"/>
              <w:spacing w:after="0"/>
              <w:rPr>
                <w:sz w:val="20"/>
                <w:szCs w:val="20"/>
                <w:color w:val="auto"/>
              </w:rPr>
            </w:pPr>
            <w:r>
              <w:rPr>
                <w:rFonts w:ascii="Arial" w:cs="Arial" w:eastAsia="Arial" w:hAnsi="Arial"/>
                <w:sz w:val="18"/>
                <w:szCs w:val="18"/>
                <w:color w:val="auto"/>
              </w:rPr>
              <w:t>The major components of income tax expense/(benefit) were as follows: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7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0"/>
        </w:trPr>
        <w:tc>
          <w:tcPr>
            <w:tcW w:w="7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Borders>
              <w:bottom w:val="single" w:sz="8" w:color="auto"/>
            </w:tcBorders>
          </w:tcPr>
          <w:p>
            <w:pPr>
              <w:spacing w:after="0"/>
              <w:rPr>
                <w:sz w:val="16"/>
                <w:szCs w:val="16"/>
                <w:color w:val="auto"/>
              </w:rPr>
            </w:pPr>
          </w:p>
        </w:tc>
      </w:tr>
      <w:tr>
        <w:trPr>
          <w:trHeight w:val="24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2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1,234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3,079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(1,346)</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income tax expense:</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2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366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96</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r>
      <w:tr>
        <w:trPr>
          <w:trHeight w:val="223"/>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1,357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1,829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 reconciliation of the U.S. statutory federal income tax rate to the Company’s effective tax rate.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Fiscal Year Ended September 30,</w:t>
            </w:r>
          </w:p>
        </w:tc>
        <w:tc>
          <w:tcPr>
            <w:tcW w:w="980" w:type="dxa"/>
            <w:vAlign w:val="bottom"/>
            <w:tcBorders>
              <w:top w:val="single" w:sz="8" w:color="auto"/>
              <w:bottom w:val="single" w:sz="8" w:color="auto"/>
            </w:tcBorders>
          </w:tcPr>
          <w:p>
            <w:pPr>
              <w:spacing w:after="0"/>
              <w:rPr>
                <w:sz w:val="18"/>
                <w:szCs w:val="18"/>
                <w:color w:val="auto"/>
              </w:rPr>
            </w:pPr>
          </w:p>
        </w:tc>
      </w:tr>
      <w:tr>
        <w:trPr>
          <w:trHeight w:val="24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960" w:type="dxa"/>
            <w:vAlign w:val="bottom"/>
            <w:tcBorders>
              <w:bottom w:val="single" w:sz="8" w:color="auto"/>
            </w:tcBorders>
            <w:gridSpan w:val="2"/>
          </w:tcPr>
          <w:p>
            <w:pPr>
              <w:jc w:val="right"/>
              <w:ind w:right="768"/>
              <w:spacing w:after="0"/>
              <w:rPr>
                <w:sz w:val="20"/>
                <w:szCs w:val="20"/>
                <w:color w:val="auto"/>
              </w:rPr>
            </w:pPr>
            <w:r>
              <w:rPr>
                <w:rFonts w:ascii="Arial" w:cs="Arial" w:eastAsia="Arial" w:hAnsi="Arial"/>
                <w:sz w:val="14"/>
                <w:szCs w:val="14"/>
                <w:b w:val="1"/>
                <w:bCs w:val="1"/>
                <w:color w:val="auto"/>
              </w:rPr>
              <w:t>2022</w:t>
            </w:r>
          </w:p>
        </w:tc>
        <w:tc>
          <w:tcPr>
            <w:tcW w:w="166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4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21.0 %</w:t>
            </w:r>
          </w:p>
        </w:tc>
        <w:tc>
          <w:tcPr>
            <w:tcW w:w="1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21.0 %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4960" w:type="dxa"/>
            <w:vAlign w:val="bottom"/>
            <w:gridSpan w:val="2"/>
          </w:tcPr>
          <w:p>
            <w:pPr>
              <w:jc w:val="right"/>
              <w:ind w:right="248"/>
              <w:spacing w:after="0"/>
              <w:rPr>
                <w:sz w:val="20"/>
                <w:szCs w:val="20"/>
                <w:color w:val="auto"/>
              </w:rPr>
            </w:pPr>
            <w:r>
              <w:rPr>
                <w:rFonts w:ascii="Arial" w:cs="Arial" w:eastAsia="Arial" w:hAnsi="Arial"/>
                <w:sz w:val="18"/>
                <w:szCs w:val="18"/>
                <w:color w:val="auto"/>
              </w:rPr>
              <w:t>1.7 %</w:t>
            </w: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Flow-through losses</w:t>
            </w:r>
          </w:p>
        </w:tc>
        <w:tc>
          <w:tcPr>
            <w:tcW w:w="4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(9.5)%</w:t>
            </w:r>
          </w:p>
        </w:tc>
        <w:tc>
          <w:tcPr>
            <w:tcW w:w="1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4960" w:type="dxa"/>
            <w:vAlign w:val="bottom"/>
            <w:gridSpan w:val="2"/>
          </w:tcPr>
          <w:p>
            <w:pPr>
              <w:jc w:val="right"/>
              <w:ind w:right="248"/>
              <w:spacing w:after="0"/>
              <w:rPr>
                <w:sz w:val="20"/>
                <w:szCs w:val="20"/>
                <w:color w:val="auto"/>
              </w:rPr>
            </w:pPr>
            <w:r>
              <w:rPr>
                <w:rFonts w:ascii="Arial" w:cs="Arial" w:eastAsia="Arial" w:hAnsi="Arial"/>
                <w:sz w:val="18"/>
                <w:szCs w:val="18"/>
                <w:color w:val="auto"/>
              </w:rPr>
              <w:t>1.0 %</w:t>
            </w: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0.5 %</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taxes</w:t>
            </w:r>
          </w:p>
        </w:tc>
        <w:tc>
          <w:tcPr>
            <w:tcW w:w="4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1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4960" w:type="dxa"/>
            <w:vAlign w:val="bottom"/>
            <w:gridSpan w:val="2"/>
          </w:tcPr>
          <w:p>
            <w:pPr>
              <w:jc w:val="right"/>
              <w:ind w:right="248"/>
              <w:spacing w:after="0"/>
              <w:rPr>
                <w:sz w:val="20"/>
                <w:szCs w:val="20"/>
                <w:color w:val="auto"/>
              </w:rPr>
            </w:pPr>
            <w:r>
              <w:rPr>
                <w:rFonts w:ascii="Arial" w:cs="Arial" w:eastAsia="Arial" w:hAnsi="Arial"/>
                <w:sz w:val="18"/>
                <w:szCs w:val="18"/>
                <w:color w:val="auto"/>
              </w:rPr>
              <w:t>(15.2)%</w:t>
            </w:r>
          </w:p>
        </w:tc>
        <w:tc>
          <w:tcPr>
            <w:tcW w:w="1660" w:type="dxa"/>
            <w:vAlign w:val="bottom"/>
          </w:tcPr>
          <w:p>
            <w:pPr>
              <w:jc w:val="right"/>
              <w:ind w:right="452"/>
              <w:spacing w:after="0"/>
              <w:rPr>
                <w:sz w:val="20"/>
                <w:szCs w:val="20"/>
                <w:color w:val="auto"/>
              </w:rPr>
            </w:pPr>
            <w:r>
              <w:rPr>
                <w:rFonts w:ascii="Arial" w:cs="Arial" w:eastAsia="Arial" w:hAnsi="Arial"/>
                <w:sz w:val="18"/>
                <w:szCs w:val="18"/>
                <w:color w:val="auto"/>
              </w:rPr>
              <w:t>(2.4)%</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49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1.2 %</w:t>
            </w:r>
          </w:p>
        </w:tc>
        <w:tc>
          <w:tcPr>
            <w:tcW w:w="1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0.8 %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49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8"/>
                <w:szCs w:val="18"/>
                <w:color w:val="auto"/>
              </w:rPr>
              <w:t>(0.6)%</w:t>
            </w:r>
          </w:p>
        </w:tc>
        <w:tc>
          <w:tcPr>
            <w:tcW w:w="16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96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(0.5)%</w:t>
            </w:r>
          </w:p>
        </w:tc>
        <w:tc>
          <w:tcPr>
            <w:tcW w:w="16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3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7"/>
        </w:trPr>
        <w:tc>
          <w:tcPr>
            <w:tcW w:w="3640" w:type="dxa"/>
            <w:vAlign w:val="bottom"/>
          </w:tcPr>
          <w:p>
            <w:pPr>
              <w:spacing w:after="0"/>
              <w:rPr>
                <w:sz w:val="24"/>
                <w:szCs w:val="24"/>
                <w:color w:val="auto"/>
              </w:rPr>
            </w:pPr>
          </w:p>
        </w:tc>
        <w:tc>
          <w:tcPr>
            <w:tcW w:w="3300" w:type="dxa"/>
            <w:vAlign w:val="bottom"/>
          </w:tcPr>
          <w:p>
            <w:pPr>
              <w:jc w:val="right"/>
              <w:ind w:right="1132"/>
              <w:spacing w:after="0"/>
              <w:rPr>
                <w:sz w:val="20"/>
                <w:szCs w:val="20"/>
                <w:color w:val="auto"/>
              </w:rPr>
            </w:pPr>
            <w:r>
              <w:rPr>
                <w:rFonts w:ascii="Arial" w:cs="Arial" w:eastAsia="Arial" w:hAnsi="Arial"/>
                <w:sz w:val="18"/>
                <w:szCs w:val="18"/>
                <w:color w:val="auto"/>
              </w:rPr>
              <w:t>96</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color w:val="auto"/>
        </w:rPr>
        <w:t>Deferred income tax is generated by Fluence Energy, Inc. and its foreign subsidiaries and is comprised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bottom w:val="single" w:sz="8" w:color="auto"/>
            </w:tcBorders>
          </w:tcPr>
          <w:p>
            <w:pPr>
              <w:spacing w:after="0"/>
              <w:rPr>
                <w:sz w:val="18"/>
                <w:szCs w:val="18"/>
                <w:color w:val="auto"/>
              </w:rPr>
            </w:pPr>
          </w:p>
        </w:tc>
      </w:tr>
      <w:tr>
        <w:trPr>
          <w:trHeight w:val="24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35,756</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2,687</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Fluence Energy, LLC</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293,732</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10,465</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9,081</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loss carryforwards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55,859</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3,517</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4,436</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403,988</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24,382</w:t>
            </w:r>
          </w:p>
        </w:tc>
      </w:tr>
      <w:tr>
        <w:trPr>
          <w:trHeight w:val="223"/>
        </w:trPr>
        <w:tc>
          <w:tcPr>
            <w:tcW w:w="8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(354,404)</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2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49,584</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(16,330)</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(5,240)</w:t>
            </w: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8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(29,932)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(6,176)</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deferred tax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(51,432)</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r>
      <w:tr>
        <w:trPr>
          <w:trHeight w:val="223"/>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1"/>
        </w:trPr>
        <w:tc>
          <w:tcPr>
            <w:tcW w:w="8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2022, the Company did not have material undistributed foreign earnings. The Company has not recorded a deferred tax liability on the undistributed earnings from its foreign subsidiaries, as such earnings are considered to be indefinitely reinvested.</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foreign net operating loss carryforwards as of September 30, 2022 and September 30, 2021 are approximately $153.7 million and $66.9 million, respectively. The majority of the net operating loss carryforwards are attributable to the Company’s German and Australian subsidiaries that have an unlimited carryforward period. Approximately $6.1 million of the foreign net operating losses will expire between FY23 and FY30. The federal and state net operating loss carryforwards as of September 30, 2022 are approximately $184.4 million ($105.8 million federal and $78.6 million state). The federal and state net operating loss carryforwards are attributable to Fluence Energy, Inc. a corporate entity which, upon IPO on November 1, 2021, became a holding company of Fluence Energy, LLC. The federal net operating losses have an unlimited carryforward period. Approximately $66.8 million of state net operating losses will expire between FY32 and FY42.</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September 30, 2022 and 2021, the Company had recorded a valuation allowance of $354.4 million and $11.6 million, respectively. In 2021, the valuation allowances were recorded against deferred tax assets of the Company’s German and Australian subsidiaries. In 2022, the valuation allowances were recorded against deferred tax assets of the Company’s German and Australian subsidiaries, as well as Fluence Energy, Inc. As a holding company, Fluence Energy, Inc. recorded deferred tax assets primarily related to its investment in the LLC. The Company determined that based on the weight of available evidence, including cumulative losses, it is more-likely-than-not that the net deferred tax assets at Fluence Energy, Inc. and its German and Australian entities will not be realized and recorded a valuation allowance against such deferred tax assets.</w:t>
      </w:r>
    </w:p>
    <w:p>
      <w:pPr>
        <w:spacing w:after="0" w:line="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increase in the valuation allowance of $342.8 million in fiscal year 2022 is due to a $302.5 million increase recorded through equity related to the IPO and other organizational transactions, a $43.6 million increase in valuation allowance related to current year activity in jurisdictions with full valuation allowances, and a $3.2 million decrease related to currency translation adjustments. Further, a future reversal of $3.0 million of the valuation allowance on deferred tax assets as of September 30, 2022, would be accounted for as an increase in equity.</w:t>
      </w:r>
    </w:p>
    <w:p>
      <w:pPr>
        <w:spacing w:after="0" w:line="22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As of September 30, 2022 and 2021, the Company has not recognized tax benefits relating to uncertain tax positions. During the year, the German tax authorities audited Fluence Germany for the period beginning January 1, 2018 through December 31, 2021. In October of 2022, the tax authorities issued a report confirming no finding upon the finalization of the audit. With the exception of Germany, the period from January 1, 2018 until September 30, 2022 remains subject to examination by foreign, federal and state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taxing authorities. The Company’s policy is to recognize interest and penalties related to unrecognized tax benefits as a component of income tax expense.</w:t>
      </w:r>
    </w:p>
    <w:p>
      <w:pPr>
        <w:spacing w:after="0" w:line="2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16, 2022, the US enacted the Inflation Reduction Act of 2022, which, among other things, implements a 15% minimum tax on book income of certain large corporations effective in 2024, a 1% excise tax on net stock repurchases after December 31, 2022 and several tax incentives to promote clean energy. We are still evaluating the impact these Inflation Reduction Act related tax incentives may have on our financial results as we go forward.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2022, the Company had outstanding bank guarantees issued as performance security arrangements for several projects.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Performance security is a precondition to receive any payment from the customer and is reduced in stages according to the project completion status.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commitments for minimum volumes of purchases of batteries under a master supply agreement. Liquidated damages apply if the minimum purchase volumes are not met. The Company expects to meet the minimum committed volumes of purchases. The following presents our future minimum purchase commitments by fiscal year, primarily for batteries, and liquidated damages if the minimum purchase volumes are not met as of September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4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Purchase Commitments</w:t>
            </w:r>
          </w:p>
        </w:tc>
        <w:tc>
          <w:tcPr>
            <w:tcW w:w="240" w:type="dxa"/>
            <w:vAlign w:val="bottom"/>
            <w:tcBorders>
              <w:top w:val="single" w:sz="8" w:color="auto"/>
              <w:bottom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Liquidated Damages</w:t>
            </w: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665,871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2024</w:t>
            </w:r>
          </w:p>
        </w:tc>
        <w:tc>
          <w:tcPr>
            <w:tcW w:w="28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768,898</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122,157</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170,295</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33,321</w:t>
            </w: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2026 and thereafter</w:t>
            </w:r>
          </w:p>
        </w:tc>
        <w:tc>
          <w:tcPr>
            <w:tcW w:w="28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r>
      <w:tr>
        <w:trPr>
          <w:trHeight w:val="248"/>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1,609,114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188,779</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currently renegotiating our existing master service agreement with one of our largest battery suppliers, and the purchase commitments set forth above are not reflective of any increase in price that results from such negotiation.</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twelve months ended September 30, 2022, the Company made a $60.0 million advance payment as a capacity guarantee pursuant to a purchase agreement with one of our suppliers, of which, as of September 30, 2022, the balances of $51.3 million and $8.8 million are recorded within “Current assets - Advances to suppliers” and “Non-current assets - Advances to suppliers”, respectively, on the condensed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both assurance and service-type warranties for various lengths of time. The Company recognizes revenue for service type warranties using either a straight-line or cost to cost method depending on the contract. Extended warranties that customers purchase separately from the related products and services are accounted for as separate performance obligations.</w:t>
      </w:r>
    </w:p>
    <w:p>
      <w:pPr>
        <w:spacing w:after="0" w:line="211" w:lineRule="exact"/>
        <w:rPr>
          <w:sz w:val="20"/>
          <w:szCs w:val="20"/>
          <w:color w:val="auto"/>
        </w:rPr>
      </w:pPr>
    </w:p>
    <w:p>
      <w:pPr>
        <w:jc w:val="center"/>
        <w:ind w:right="40"/>
        <w:spacing w:after="0" w:line="311" w:lineRule="auto"/>
        <w:rPr>
          <w:sz w:val="20"/>
          <w:szCs w:val="20"/>
          <w:color w:val="auto"/>
        </w:rPr>
      </w:pPr>
      <w:r>
        <w:rPr>
          <w:rFonts w:ascii="Arial" w:cs="Arial" w:eastAsia="Arial" w:hAnsi="Arial"/>
          <w:sz w:val="16"/>
          <w:szCs w:val="16"/>
          <w:color w:val="auto"/>
        </w:rPr>
        <w:t>The Company provides a limited warranty related to the successful operation of battery-based energy storage solutions, apart from the service 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assurance-type warranties, the Company records an estimate of future warranty cost when the battery energy solution is transferred to the customer and the future costs of servicing the warranty are both probable and estimable. Periodically, the Company evaluates and adjusts warranty costs to the extent that actual warranty costs materially differ from the original estimates. As of September 30, 2022, the Company accrued warranty liabilities of $1.6 million. No liability was recorded as of September 30, 2021 as no material amount of costs for assurance type warranties were deemed probable and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warranty liability was recorded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1" w:name="page102"/>
    <w:bookmarkEnd w:id="101"/>
    <w:p>
      <w:pPr>
        <w:ind w:left="7840"/>
        <w:spacing w:after="0"/>
        <w:rPr>
          <w:sz w:val="20"/>
          <w:szCs w:val="20"/>
          <w:color w:val="auto"/>
        </w:rPr>
      </w:pPr>
      <w:r>
        <w:rPr>
          <w:rFonts w:ascii="Arial" w:cs="Arial" w:eastAsia="Arial" w:hAnsi="Arial"/>
          <w:sz w:val="18"/>
          <w:szCs w:val="18"/>
          <w:b w:val="1"/>
          <w:bCs w:val="1"/>
          <w:color w:val="auto"/>
        </w:rPr>
        <w:t>Fiscal year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warranty liability</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Increase (decrease) to ST warranty accrual estimate</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786.3</w:t>
            </w:r>
          </w:p>
        </w:tc>
        <w:tc>
          <w:tcPr>
            <w:tcW w:w="48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to LT warranty accrual estimate</w:t>
            </w: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 aggregate warranty liability</w:t>
            </w: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discusses certain potential loss contingencies as of September 30, 2022:</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Cargo Loss Incident</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28, 2021, the Company was notified of an emergency aboard a vessel carrying Fluence inventory. This incident resulted in damage to a portion of our cargo aboard the vessel. The Company recorded $13.0 million provision to its inventory as of September 30, 2021 based on the net realizable value of cargo that was destroyed. During the twelve months ended September 30, 2022, $13.0 million of inventory was written off.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2021 Overheating Event at Customer Facility</w:t>
      </w:r>
    </w:p>
    <w:p>
      <w:pPr>
        <w:spacing w:after="0" w:line="23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On September 4, 2021, a 300 MW energy storage facility owned by one of our customers experienced an overheating event. Fluence served as the energy storage technology provider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2022 Overheating Event at Customer Facility</w:t>
      </w:r>
    </w:p>
    <w:p>
      <w:pPr>
        <w:spacing w:after="0" w:line="1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02" w:name="page103"/>
    <w:bookmarkEnd w:id="102"/>
    <w:p>
      <w:pPr>
        <w:ind w:left="340"/>
        <w:spacing w:after="0"/>
        <w:rPr>
          <w:sz w:val="20"/>
          <w:szCs w:val="20"/>
          <w:color w:val="auto"/>
        </w:rPr>
      </w:pPr>
      <w:r>
        <w:rPr>
          <w:rFonts w:ascii="Arial" w:cs="Arial" w:eastAsia="Arial" w:hAnsi="Arial"/>
          <w:sz w:val="18"/>
          <w:szCs w:val="18"/>
          <w:b w:val="1"/>
          <w:bCs w:val="1"/>
          <w:i w:val="1"/>
          <w:iCs w:val="1"/>
          <w:color w:val="auto"/>
        </w:rPr>
        <w:t>Negotiations with our Largest Battery Module Vendor</w:t>
      </w:r>
    </w:p>
    <w:p>
      <w:pPr>
        <w:spacing w:after="0" w:line="2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December 2021 we entered into negotiations with our largest battery module vendor to amend our battery supply agreement. As part of these discussions the vendor is seeking to renegotiate the price we were to pay the vendor for battery modules purchased in calendar 2022 as well as those expected to be purchased during the remainder of 2022 as well as 2023 calendar years. As part of these negotiations, we also discussed settlement of damages incurred by Fluence for defective products and delays caused by the battery module vendor. These negotiations continued throughout fiscal year 2022 with no agreement on pricing or key terms. In December 2022, we reached an agreement in principle, on pricing related to calendar year 2022 and 2023. As a result, our costs related to batteries purchased in calendar year 2022 increased by $66.1 million, of which $17.9 million has been recognized as cost of goods and services, $31.8 million as an increase the value of inventory in fiscal year 2022. The remainder will be incurred in the first quarter of 2023. In addition, we agreed in principle to settle damages, in which the battery module vendor will remit a payment to the Company for the amount of $20.0 million, for lost revenues that we incurred primarily as a result of battery module supply delays. The payment represents a gain contingency and will be recognized in our financial statements when realized. Furthermore, the battery module vendor has agreed to reimburse us for $3.1 million related to costs incurred for product defects. As the costs were incurred prior to September 30, 2022 we have recorded a receivable for the claim. As the claim for liquidated damages, cost reimbursement and batteries were negotiated at the same time, we evaluated the agreement to determine each of these components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were recognized (or will be recognized) based upon their relative fair value. This determination required the use of judgement and estimates in to develop standalone value. The amounts, timing and the nature of the amended battery module agreement and settlements is dependent upon us reaching a final agreement which may not occur.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parties are represented by AES and Siemens, their respective subsidiaries and other entities under common control. As of September 30, 2022, AES holds 58,586,695 shares of Class B-1 common stock of Fluence Energy, Inc. and Siemens hold and aggregate of 58,586,695 shares of Class A common stock of Fluence Energy,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from Members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2021, Siemens made $6.3 million capital contribution in cash to the Company in exchange for certain amendments to the Company’s limited liability company agreement. In January 2020, AES made a $2.5 million capital contribution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 from Related Parties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April 28, 2021, and June 3, 2021, the Company borrowed $25.0 million and $25.0 million from AES and Siemens, respectively, in the form of one-year subordinated promissory notes, each bearing an annual interest at 2.86%. Both borrowings were paid off in June 2021.</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May 3, 2021, the Company borrowed $25.0 million from Siemens in the form of a one-year subordinated promissory note with an annual interest rate of 2.86%. The borrowing was paid off in June 2021.</w:t>
      </w:r>
    </w:p>
    <w:p>
      <w:pPr>
        <w:spacing w:after="0" w:line="1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August 11, 2021, the Company borrowed $25.0 million and $25.0 million from AES and Siemens, respectively, in the form of subordinated promissory notes, each bearing an annual interest at 2.86%. The promissory notes were paid off in full on November 1, 2021 using proceeds from the IPO.</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related party borrowings were for general working capital needs.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Contracts with Related Parties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signs back-to-back battery-based energy storage product and related service contracts with AES, Siemens and their subsidiaries (collectively referred to as affiliates) in relation to execution of the affiliates’ contracts with external customers and also direct contracts signed with affiliates. Revenue from contracts with affiliates is included in “Revenue from related parties” on the Company’s consolidated statements of operations and comprehensive loss.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Company purchases materials and supplies from its affiliates and records the costs in “Cost of goods and services” on the Company’s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 with Affiliates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Fluence and its affiliates have signed service agreements under which the affiliates provide certain management and administrative services to Fluence. The services include but are not limited to, treasury, information technology services, sales services, and research and development. Cost of services are accrued monthly and included in “Payables and deferred revenue with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related parties”, and “General and administrative”, “Sales and marketing”, or “Research and development” on the Company’s consolidated balance sheets and statements of operations and comprehensive loss,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Performance Guarantees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Fluence paid performance guarantee fees to its affiliates in exchange for guaranteeing Fluence’s performance obligations under certain contracts with Fluence’s customers, which are based on the affiliates’ weighted average cost for bank guarantees and their per annum cost of surety bonds with a reasonable markup. The guarantee fees are included in “Costs of goods and services” on the Company’s consolidated statements of operations and comprehensive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and Payables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receivables from related parties and payables to related parties on the Company’s consolidated balance sheets: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top w:val="single" w:sz="8" w:color="auto"/>
              <w:bottom w:val="single" w:sz="8" w:color="auto"/>
            </w:tcBorders>
          </w:tcPr>
          <w:p>
            <w:pPr>
              <w:spacing w:after="0"/>
              <w:rPr>
                <w:sz w:val="18"/>
                <w:szCs w:val="18"/>
                <w:color w:val="auto"/>
              </w:rPr>
            </w:pPr>
          </w:p>
        </w:tc>
      </w:tr>
      <w:tr>
        <w:trPr>
          <w:trHeight w:val="203"/>
        </w:trPr>
        <w:tc>
          <w:tcPr>
            <w:tcW w:w="84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r>
      <w:tr>
        <w:trPr>
          <w:trHeight w:val="22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Unbilled receivables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r>
      <w:tr>
        <w:trPr>
          <w:trHeight w:val="223"/>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related parties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112,027</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33,362</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2,550</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300,697</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220,122</w:t>
            </w:r>
          </w:p>
        </w:tc>
      </w:tr>
      <w:tr>
        <w:trPr>
          <w:trHeight w:val="229"/>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r>
      <w:tr>
        <w:trPr>
          <w:trHeight w:val="223"/>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payables and deferred revenue with related parties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306,348</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227,925</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w:t>
      </w:r>
    </w:p>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related party transactions that are included the Company’s consolidated statements of operations and comprehensive loss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Fiscal Year Ended September 30,</w:t>
            </w:r>
          </w:p>
        </w:tc>
        <w:tc>
          <w:tcPr>
            <w:tcW w:w="1020" w:type="dxa"/>
            <w:vAlign w:val="bottom"/>
            <w:tcBorders>
              <w:top w:val="single" w:sz="8" w:color="auto"/>
              <w:bottom w:val="single" w:sz="8" w:color="auto"/>
            </w:tcBorders>
          </w:tcPr>
          <w:p>
            <w:pPr>
              <w:spacing w:after="0"/>
              <w:rPr>
                <w:sz w:val="18"/>
                <w:szCs w:val="18"/>
                <w:color w:val="auto"/>
              </w:rPr>
            </w:pPr>
          </w:p>
        </w:tc>
      </w:tr>
      <w:tr>
        <w:trPr>
          <w:trHeight w:val="24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646,332</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86,711</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(19,753)</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(27,673)</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(14,399)</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(1,679)</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(1,991)</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(2,105)</w:t>
            </w:r>
          </w:p>
        </w:tc>
      </w:tr>
      <w:tr>
        <w:trPr>
          <w:trHeight w:val="229"/>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bl>
    <w:p>
      <w:pPr>
        <w:spacing w:after="0" w:line="21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did not have any capitalized assets from related parties for the fiscal year ended September 30, 2022. In addition, the Company had purchases from related parties capitalized as assets $1.5 million and $1.9 million for the fiscal year ended September 30, 2021 and 2020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a 401(k) plan covering all eligible U.S. payroll employees. The 401(k) plan provides that eligible employees may make contributions subject to IRS limitations. Under terms of the 401(k) plan, the Company matches an employee’s contributions at a rate of 100% up to 5% of the employee’s annual salary. For the fiscal years ended September 30, 2022, 2021 and 2020, the Company contributed approximately $4.1 million, $1.9 million and $0.9 million to the 401(k) plan,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expenses the grant date fair value of all awards using the straight-line method over the applicable service period. The Company has made a policy election to account for forfeitures as they occur. If there are any modifications of the underlying invested securities or the terms of the unit option or phantom unit, it may be necessary to accelerate or increase any remaining unamortized unit-based compensation expense.</w:t>
      </w:r>
    </w:p>
    <w:p>
      <w:pPr>
        <w:sectPr>
          <w:pgSz w:w="11900" w:h="16838" w:orient="portrait"/>
          <w:cols w:equalWidth="0" w:num="1">
            <w:col w:w="11240"/>
          </w:cols>
          <w:pgMar w:left="320" w:top="922" w:right="3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The Option Plan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2020, the Company established the Nonqualified Unit Option Plan (“the Option Plan”) under which 8,923,121 stock options with an exercise price of $2.45 remain outstanding as of September 30, 2022. Stock options under the plan have a contractual term of 10 years from the date of grant. The Company estimates the fair value of the unit-based awards, including unit options and phantom awards, using the Black-Scholes option-pricing model. Determining the fair value of unit-based awards requires the use of highly subjective assumptions, including the fair value of the unit underlying the award, the expected term of the award and expected unit price volatility. The outstanding awards will continue to be governed by their existing terms under the Option Plan. The Option Plan is accounted for as an equity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unit option activity under the Option Plan: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90"/>
              <w:spacing w:after="0" w:line="189" w:lineRule="exact"/>
              <w:rPr>
                <w:sz w:val="20"/>
                <w:szCs w:val="20"/>
                <w:color w:val="auto"/>
              </w:rPr>
            </w:pPr>
            <w:r>
              <w:rPr>
                <w:rFonts w:ascii="Arial" w:cs="Arial" w:eastAsia="Arial" w:hAnsi="Arial"/>
                <w:sz w:val="18"/>
                <w:szCs w:val="18"/>
                <w:color w:val="auto"/>
                <w:w w:val="88"/>
              </w:rPr>
              <w:t>Weighted average</w:t>
            </w:r>
          </w:p>
        </w:tc>
        <w:tc>
          <w:tcPr>
            <w:tcW w:w="1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Weighted average</w:t>
            </w:r>
          </w:p>
        </w:tc>
      </w:tr>
      <w:tr>
        <w:trPr>
          <w:trHeight w:val="176"/>
        </w:trPr>
        <w:tc>
          <w:tcPr>
            <w:tcW w:w="5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exercise price per</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 contractual</w:t>
            </w:r>
          </w:p>
        </w:tc>
      </w:tr>
      <w:tr>
        <w:trPr>
          <w:trHeight w:val="243"/>
        </w:trPr>
        <w:tc>
          <w:tcPr>
            <w:tcW w:w="50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Number of options</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4"/>
              </w:rPr>
              <w:t>share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 (years)</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October 1, 2021</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11,974,343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2860" w:type="dxa"/>
            <w:vAlign w:val="bottom"/>
          </w:tcPr>
          <w:p>
            <w:pPr>
              <w:jc w:val="right"/>
              <w:spacing w:after="0"/>
              <w:rPr>
                <w:sz w:val="20"/>
                <w:szCs w:val="20"/>
                <w:color w:val="auto"/>
              </w:rPr>
            </w:pPr>
            <w:r>
              <w:rPr>
                <w:rFonts w:ascii="Arial" w:cs="Arial" w:eastAsia="Arial" w:hAnsi="Arial"/>
                <w:sz w:val="18"/>
                <w:szCs w:val="18"/>
                <w:color w:val="auto"/>
              </w:rPr>
              <w:t>(1,131,765)</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w:t>
            </w:r>
          </w:p>
        </w:tc>
        <w:tc>
          <w:tcPr>
            <w:tcW w:w="1660" w:type="dxa"/>
            <w:vAlign w:val="bottom"/>
          </w:tcPr>
          <w:p>
            <w:pPr>
              <w:spacing w:after="0"/>
              <w:rPr>
                <w:sz w:val="19"/>
                <w:szCs w:val="19"/>
                <w:color w:val="auto"/>
              </w:rPr>
            </w:pPr>
          </w:p>
        </w:tc>
      </w:tr>
      <w:tr>
        <w:trPr>
          <w:trHeight w:val="229"/>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(1,919,457)</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60" w:type="dxa"/>
            <w:vAlign w:val="bottom"/>
            <w:tcBorders>
              <w:bottom w:val="single" w:sz="8" w:color="auto"/>
            </w:tcBorders>
            <w:shd w:val="clear" w:color="auto" w:fill="CCEEFF"/>
          </w:tcPr>
          <w:p>
            <w:pPr>
              <w:spacing w:after="0"/>
              <w:rPr>
                <w:sz w:val="19"/>
                <w:szCs w:val="19"/>
                <w:color w:val="auto"/>
              </w:rPr>
            </w:pP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and exercisable as of September 30, 2022</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8,923,121</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r>
    </w:tbl>
    <w:p>
      <w:pPr>
        <w:spacing w:after="0" w:line="5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total intrinsic value of the 2020 Plan stock options outstanding during the years ended September 30, 2022 was $108.3 million. Total compensation cost related to nonvested awards not yet recognized as of September 30, 2022 totaled $1.7 million, and is expected to be recognized over a weighted average period of 1.5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Phantom Units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Employees, directors, consultants, and other independent contractors are eligible to receive equity awards and other forms of compensation under the Phantom Equity Incentive Plan (“the Incentive Plan”).</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fiscal year ended September 30, 2022, 605,591 class A-1 phantom units to certain employees and non-employees were outstanding. All units granted vest upon the satisfaction of a performance condition, if the condition is met before the awards’ expiration date. The performance condition is satisfied upon the occurrence of a liquidity event, which is the earlier of either six months after the effective date of a registration statement for our IPO or a change in control.</w:t>
      </w:r>
    </w:p>
    <w:p>
      <w:pPr>
        <w:spacing w:after="0" w:line="11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liquidity event had not occurred as of September 30, 2021, no compensation costs were recorded during the fiscal year ended September 30, 2021. The completion of the IPO on November 1, 2021 resulted in achievement of the performance condition underlying awards granted under the 2020 Plans. Accordingly, previously unrecognized stock compensation expense was recognized during the twelve months ended September 30, 2022.</w:t>
      </w:r>
    </w:p>
    <w:p>
      <w:pPr>
        <w:spacing w:after="0" w:line="8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grant date fair value of the phantom units was $2.20 per unit. Phantom units granted to foreign employees in certain countries will require cash settlement. As such, the awards which require cash settlement are classified as liability awards. The remainder of the phantom units include a contingent cash settlement option outside the control of the holder and as such are classified as equity.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concerning the outstanding phantom units granted by the Company: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top w:val="single" w:sz="8" w:color="auto"/>
              <w:bottom w:val="single" w:sz="8" w:color="auto"/>
            </w:tcBorders>
          </w:tcPr>
          <w:p>
            <w:pPr>
              <w:spacing w:after="0"/>
              <w:rPr>
                <w:sz w:val="21"/>
                <w:szCs w:val="21"/>
                <w:color w:val="auto"/>
              </w:rPr>
            </w:pPr>
          </w:p>
        </w:tc>
        <w:tc>
          <w:tcPr>
            <w:tcW w:w="40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Number of Units</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 As of September 30, 2021</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2,169,060</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4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(1,427,662)</w:t>
            </w:r>
          </w:p>
        </w:tc>
      </w:tr>
      <w:tr>
        <w:trPr>
          <w:trHeight w:val="23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4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(135,807)</w:t>
            </w:r>
          </w:p>
        </w:tc>
      </w:tr>
      <w:tr>
        <w:trPr>
          <w:trHeight w:val="223"/>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4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605,591</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compensation cost related to nonvested awards not yet recognized as of September 30, 2022 totaled $8.4 million, and is expected to be recognized over a weighted average period of 1.2 years. The fair value of Phantom Units that vested during the year ended September 30, 2022, was $3.1 million. There is no contractual term on the Phantom Units.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stock-based compensation plans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5" w:name="page106"/>
    <w:bookmarkEnd w:id="105"/>
    <w:p>
      <w:pPr>
        <w:jc w:val="both"/>
        <w:ind w:firstLine="324"/>
        <w:spacing w:after="0" w:line="259" w:lineRule="auto"/>
        <w:rPr>
          <w:sz w:val="20"/>
          <w:szCs w:val="20"/>
          <w:color w:val="auto"/>
        </w:rPr>
      </w:pPr>
      <w:r>
        <w:rPr>
          <w:rFonts w:ascii="Arial" w:cs="Arial" w:eastAsia="Arial" w:hAnsi="Arial"/>
          <w:sz w:val="18"/>
          <w:szCs w:val="18"/>
          <w:color w:val="auto"/>
        </w:rPr>
        <w:t>During 2021, the Company established the 2021 Incentive Award Plan and Restricted Stock Units (“2021 Plan”) which permits the issuance of 9,500,000 shares of Class A common stock for the grant of incentive stock options (“ISO”) and Restricted Stock Units (“RSU”) for management, other employees, and board members of the Company. Employee stock-based awards, consisting of stock options or restricted stock units (RSUs) expected to be settled by issuing shares of Class A common stock, are recorded as equity awards.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2021 Plan is accounted for as an equity plan. Compensation expense is recognized on a straight-line basis over a three-year period, the total requisite service period of the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unit option activity under the 2021 Plan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tcBorders>
              <w:top w:val="single" w:sz="8" w:color="auto"/>
              <w:bottom w:val="single" w:sz="8" w:color="auto"/>
            </w:tcBorders>
          </w:tcPr>
          <w:p>
            <w:pPr>
              <w:spacing w:after="0"/>
              <w:rPr>
                <w:sz w:val="21"/>
                <w:szCs w:val="21"/>
                <w:color w:val="auto"/>
              </w:rPr>
            </w:pPr>
          </w:p>
        </w:tc>
        <w:tc>
          <w:tcPr>
            <w:tcW w:w="3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Number of RSUs</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October 1, 2021</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spacing w:after="0"/>
              <w:rPr>
                <w:sz w:val="20"/>
                <w:szCs w:val="20"/>
                <w:color w:val="auto"/>
              </w:rPr>
            </w:pPr>
            <w:r>
              <w:rPr>
                <w:rFonts w:ascii="Arial" w:cs="Arial" w:eastAsia="Arial" w:hAnsi="Arial"/>
                <w:sz w:val="18"/>
                <w:szCs w:val="18"/>
                <w:color w:val="auto"/>
              </w:rPr>
              <w:t>2,377,799</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(220,906)</w:t>
            </w:r>
          </w:p>
        </w:tc>
      </w:tr>
      <w:tr>
        <w:trPr>
          <w:trHeight w:val="22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as of September 30, 2022</w:t>
            </w:r>
          </w:p>
        </w:tc>
        <w:tc>
          <w:tcPr>
            <w:tcW w:w="3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2,156,893</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the RSUs was $20.51 and the RSUs generally vest in three equal annual installments. Total compensation cost related to nonvested awards not yet recognized as of September 30, 2022, was $26.9 million and is expected to be recognized over a weighted average period of 2.5 years. There is no contractual term on the RSUs under the 2021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acquisition of Nispera, Fluence issued 0.5 million shares of restricted stock to Nispera’s management team. The estimated post combination expense to the Company as a result of the business combination was approximately $6.9 million which will be recognized on a straight-line basis over the remaining service period that was stipulated in each holder’s original RSU agreement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the Phantom Units, the Company incurred $3.0 million in stock based compensation expense which was settled in cash.</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relation to awards previously granted to the Company’s former CEO, who served as a director of the Company through the date of the IPO, the Coughlin award modification 1) accelerated the vesting of phantom unites to the IPO date that would have otherwise vested on the six-month anniversary of the consummation, and 2) accelerated the vesting of unit options to the IPO date that would have otherwise vested on April 2, 2022 assuming continued service. The resolution stipulates that the awards subject to accelerated vesting shall be settled fully in cash, using the IPO price to calculate the settlement value. All other equity awards granted to the individual were concurrently cancelled. Incremental stock compensation expense related to the modification was $5.7 million, which was recognized fully during the three months ended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was recorded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2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4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2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7,846</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Pr>
          <w:p>
            <w:pPr>
              <w:ind w:left="200"/>
              <w:spacing w:after="0"/>
              <w:rPr>
                <w:sz w:val="20"/>
                <w:szCs w:val="20"/>
                <w:color w:val="auto"/>
              </w:rPr>
            </w:pPr>
            <w:r>
              <w:rPr>
                <w:rFonts w:ascii="Arial" w:cs="Arial" w:eastAsia="Arial" w:hAnsi="Arial"/>
                <w:sz w:val="18"/>
                <w:szCs w:val="18"/>
                <w:color w:val="auto"/>
              </w:rPr>
              <w:t>— $</w:t>
            </w: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23,613</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44,131</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6" w:name="page107"/>
    <w:bookmarkEnd w:id="106"/>
    <w:p>
      <w:pPr>
        <w:jc w:val="both"/>
        <w:ind w:left="340" w:right="9440" w:hanging="332"/>
        <w:spacing w:after="0" w:line="386" w:lineRule="auto"/>
        <w:tabs>
          <w:tab w:leader="none" w:pos="335"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Restructuring Plan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11, 2022, the board of directors approved a restructuring plan to create a more sustainable organization structure for long term growth. As part of this plan, we will relocate certain positions at high-cost locations to the Fluence India Technology Centre. We expect that the restructuring plan will be complete by the end of fiscal year 2023. Management has the authority to expand the plan as determined necessary without additional board consent. We do not expect costs incurred to be material.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SCHEDULE I. CONDENSED FINANCIAL INFORMATION OF THE REGISTRANT</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 Dollars in Thousands, except share and per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r>
      <w:tr>
        <w:trPr>
          <w:trHeight w:val="26"/>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asset, net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9"/>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 in subsidiaries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847,356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847,356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847,375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stockholders’ equity</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Commitments and Contingencies (Note 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75"/>
        </w:trPr>
        <w:tc>
          <w:tcPr>
            <w:tcW w:w="8400" w:type="dxa"/>
            <w:vAlign w:val="bottom"/>
          </w:tcPr>
          <w:p>
            <w:pPr>
              <w:ind w:left="180"/>
              <w:spacing w:after="0" w:line="176" w:lineRule="exact"/>
              <w:rPr>
                <w:sz w:val="20"/>
                <w:szCs w:val="20"/>
                <w:color w:val="auto"/>
              </w:rPr>
            </w:pPr>
            <w:r>
              <w:rPr>
                <w:rFonts w:ascii="Arial" w:cs="Arial" w:eastAsia="Arial" w:hAnsi="Arial"/>
                <w:sz w:val="18"/>
                <w:szCs w:val="18"/>
                <w:color w:val="auto"/>
                <w:w w:val="95"/>
              </w:rPr>
              <w:t>Preferred stock, $0.00001 per share, 10,000,000 shares authorized; no shares issued and outstanding as of</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September 30, 2022 and 2021</w:t>
            </w:r>
          </w:p>
        </w:tc>
        <w:tc>
          <w:tcPr>
            <w:tcW w:w="3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175"/>
        </w:trPr>
        <w:tc>
          <w:tcPr>
            <w:tcW w:w="8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Class A common stock, $0.00001 par value per share, 1,200,000,000 shares authorized; 115,424,025 shares</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8"/>
        </w:trPr>
        <w:tc>
          <w:tcPr>
            <w:tcW w:w="84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0"/>
              </w:rPr>
              <w:t>issued and 114,873,121 shares outstanding as of September 30, 2022; no shares issued and outstanding as of</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2021</w:t>
            </w: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176"/>
        </w:trPr>
        <w:tc>
          <w:tcPr>
            <w:tcW w:w="8400" w:type="dxa"/>
            <w:vAlign w:val="bottom"/>
          </w:tcPr>
          <w:p>
            <w:pPr>
              <w:ind w:left="180"/>
              <w:spacing w:after="0" w:line="176" w:lineRule="exact"/>
              <w:rPr>
                <w:sz w:val="20"/>
                <w:szCs w:val="20"/>
                <w:color w:val="auto"/>
              </w:rPr>
            </w:pPr>
            <w:r>
              <w:rPr>
                <w:rFonts w:ascii="Arial" w:cs="Arial" w:eastAsia="Arial" w:hAnsi="Arial"/>
                <w:sz w:val="18"/>
                <w:szCs w:val="18"/>
                <w:color w:val="auto"/>
                <w:w w:val="89"/>
              </w:rPr>
              <w:t>Class B-1 common stock, $0.00001 par value per share, 200,000,000 shares authorized; 58,586,695 shares issued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w w:val="96"/>
              </w:rPr>
              <w:t>and outstanding as of September 30, 2022; no shares issued and outstanding as of September 30, 2021</w:t>
            </w:r>
          </w:p>
        </w:tc>
        <w:tc>
          <w:tcPr>
            <w:tcW w:w="3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175"/>
        </w:trPr>
        <w:tc>
          <w:tcPr>
            <w:tcW w:w="8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Class B-2 common stock, $0.00001 par value per share, 200,000,000 shares authorized; no shares issued and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2022 and 2021</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Treasury stock, at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Distribution from Fluence Energy, LLC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b w:val="1"/>
                <w:bCs w:val="1"/>
                <w:color w:val="auto"/>
              </w:rPr>
              <w:t>—</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 to Fluence Energy, LLC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(101,490)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847,167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liabilities,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847,375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99" w:right="5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SCHEDULE I. CONDENSED FINANCIAL INFORMATION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Revenue from related parties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(loss) of subsidiaries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loss attributable to Fluence Energy,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7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Foreign currency translation gain, net of income tax benefit (expense) of $0 in each period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Actuarial gain on pension liabilities, net of income tax (expense) benefit of $0 in each period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SCHEDULE I. CONDENSED FINANCIAL INFORMATION OF THE REGISTRANT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(104,485)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Equity in net loss of subsidiaries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Accounts payable - related party</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LLC interests in Fluence Energy, LLC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(947,990)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Distributions from Fluence Energy, LLC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Class A common stock placed into treasury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to Fluence Energy, LLC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175"/>
        </w:trPr>
        <w:tc>
          <w:tcPr>
            <w:tcW w:w="7320" w:type="dxa"/>
            <w:vAlign w:val="bottom"/>
          </w:tcPr>
          <w:p>
            <w:pPr>
              <w:ind w:left="20"/>
              <w:spacing w:after="0" w:line="176" w:lineRule="exact"/>
              <w:rPr>
                <w:sz w:val="20"/>
                <w:szCs w:val="20"/>
                <w:color w:val="auto"/>
              </w:rPr>
            </w:pPr>
            <w:r>
              <w:rPr>
                <w:rFonts w:ascii="Arial" w:cs="Arial" w:eastAsia="Arial" w:hAnsi="Arial"/>
                <w:sz w:val="18"/>
                <w:szCs w:val="18"/>
                <w:color w:val="auto"/>
                <w:w w:val="91"/>
              </w:rPr>
              <w:t>Proceeds from issuance of Class A common stock sold in an IPO, net of underwriting discounts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947,990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cash equivalents, as of the beginning of the period</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as of the end of the period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SCHEDULE I. CONDENSED FINANCIAL INFORMATION OF THE REGISTRANT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FLUENCE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Operations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Fluence Energy, Inc., a Delaware corporation (the “Company” and the “Parent Company”), was formed on June 21, 2021. We conduct our business operations through Fluence Energy, LLC and its direct and indirect subsidiaries. Upon the completion of our Initial Public Offering (the “IPO”) on November 1, 2021, Fluence Energy, Inc. became a holding company whose sole material assets are the LLC Interests in Fluence Energy LLC. All of our business is conducted through Fluence Energy, LLC, together with its subsidiaries. Fluence Energy LLC is treated as a partnership for federal income tax purposes and, as a result, its members, including Fluence Energy, Inc. will pay income taxes with respect to their allocable shares of its net taxable income.</w:t>
      </w:r>
    </w:p>
    <w:p>
      <w:pPr>
        <w:spacing w:after="0" w:line="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fiscal year begins on October 1 and ends on September 30. References to “fiscal year 2020”, “fiscal year 2021” and “fiscal year 2022” refer to the fiscal years ended September 30, 2020, September 30, 2021 and September 30, 2022, respectively.</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 2021, the Parent Company completed an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were $948.0 million, after deducting underwriting discounts. Other offering expenses incurred related to the IPO were paid for by Fluence Energy,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condensed parent company financial statements should be read in conjunction with the consolidated financial statements of Fluence Energy Inc. and the accompanying notes thereto, included in this Annual Report on Form 10-K. For purposes of these condensed financial statements, the Parent Company's interest in Fluence Energy LLC is recorded based upon its proportionate share of Fluence Energy LLC’s net assets (similar to presenting them on the equity method).</w:t>
      </w:r>
    </w:p>
    <w:p>
      <w:pPr>
        <w:spacing w:after="0" w:line="2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intercompany balances presented in these condensed parent company financial statements are eliminated in the consolidated financial statements. $0.2 million of payables were eliminated in consolidation as of September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On October 27, 2021, the Parent Company entered into the Tax Receivable Agreement (the “Tax Receivable Agreement”) with Fluence Energy, LLC and Siemens Industry and AES Grid Stability (the “Founders”) which obligates the Company to make payments to the Founders of 85% of the amount of certain tax benefits that Fluence Energy, Inc. actually realizes, or in some circumstances is deemed to realize, arising from the Basis Adjustments and certain other tax benefits arising from payments made under the Tax Receivable Agreement.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amounts payable under the Tax Receivable Agreement are contingent upon (i)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As of September 30, 2022, we determined it is not probable that payments under the Tax Receivable Agreement would be made, given there was no expectation of future sufficient taxable income over the term of the agreement to utilize deductions in the future.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14 to the consolidated financial statements for information regarding pending and threatening litigation.</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Additions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3060" w:type="dxa"/>
            <w:vAlign w:val="bottom"/>
            <w:gridSpan w:val="5"/>
            <w:vMerge w:val="restart"/>
          </w:tcPr>
          <w:p>
            <w:pPr>
              <w:jc w:val="right"/>
              <w:ind w:right="250"/>
              <w:spacing w:after="0"/>
              <w:rPr>
                <w:sz w:val="20"/>
                <w:szCs w:val="20"/>
                <w:color w:val="auto"/>
              </w:rPr>
            </w:pPr>
            <w:r>
              <w:rPr>
                <w:rFonts w:ascii="Arial" w:cs="Arial" w:eastAsia="Arial" w:hAnsi="Arial"/>
                <w:sz w:val="18"/>
                <w:szCs w:val="18"/>
                <w:b w:val="1"/>
                <w:bCs w:val="1"/>
                <w:color w:val="auto"/>
                <w:w w:val="90"/>
              </w:rPr>
              <w:t>Charged to costs Charged to other</w:t>
            </w:r>
          </w:p>
        </w:tc>
        <w:tc>
          <w:tcPr>
            <w:tcW w:w="260" w:type="dxa"/>
            <w:vAlign w:val="bottom"/>
          </w:tcPr>
          <w:p>
            <w:pPr>
              <w:spacing w:after="0"/>
              <w:rPr>
                <w:sz w:val="13"/>
                <w:szCs w:val="13"/>
                <w:color w:val="auto"/>
              </w:rPr>
            </w:pPr>
          </w:p>
        </w:tc>
        <w:tc>
          <w:tcPr>
            <w:tcW w:w="26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beginning of</w:t>
            </w:r>
          </w:p>
        </w:tc>
        <w:tc>
          <w:tcPr>
            <w:tcW w:w="306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period</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and expenses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accounts</w:t>
            </w: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Reductions</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Fiscal year ended September 30, 2021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Fiscal year ended September 30, 2022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43,561</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299,211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0"/>
              </w:rPr>
              <w:t>(1)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Amount relates to a valuation allowance established on deferred tax assets related to our investment in Fluence Energy, LLC</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carried out an evaluation of the effectiveness of our disclosure controls and procedures (as such term is defined in Rules 13a-15(e) and 15d-15(e) under the Exchange Act) as of September 30, 2022, the end of the period covered by this Annual Report on Form 10-K. Based upon that evaluation, and as a result of the material weaknesses described below, management concluded that, as of September 30, 2022, our disclosure controls and procedures were not effective at the reasonable assurance level.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 Under the supervision and with the participation of our management, including our Chief Executive Officer and Chief Financial Officer, we conducted an evaluation of the effectiveness of our internal control over financial reporting as of September 30, 2022 based on the framework set forth in Internal Control – Integrated Framework (2013) issued by the Committee of Sponsoring Organizations of the Treadway Commission.</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accordance with guidance issued by the SEC, companies are permitted to exclude recently acquired businesses from the scope of their assessment of internal control over financial reporting for the first fiscal year in which the acquisition occurred. Accordingly, we have excluded from our assessment the internal control over financial reporting of Nispera AG, which we acquired in April 2022 and which is included in our consolidated financial statements for the fiscal year ended September 30, 2022, and constituted 2% of total assets as of September 30, 2022.</w:t>
      </w:r>
    </w:p>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this evaluation, our management has concluded the Company did not maintain effective internal control over financial reporting as of September 30, 2022 as a result of the material weakness discussed below.</w:t>
      </w:r>
    </w:p>
    <w:p>
      <w:pPr>
        <w:spacing w:after="0" w:line="184"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Material Weaknesses and Remediation Measures</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a material weakness in the internal control over revenue recognition and related inventory has not been fully remediated. The Company did not sufficiently design and implement controls related to revenue recognition and associated processes, including in-transit and delivered equipment and liquidated damages.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assessed the material weakness as not fully remediated due to the timing of control implementation and operating issues identified in management’s assessment of controls. However, there have been significant efforts and additional controls implemented to address the risks as follows: (1) enhancement of our revenue recognition policies, including training on the policies (2) implementation of project-level and accounting-level controls to review project costs, liquidated damages, and revenue calculations (3) implementation of effective controls over account analyses and reconciliations and (4) hired additional resources and continue to hire to provide necessary expertise to continue to mature control environment.</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will consider the material weakness remediated after the applicable controls operate for a sufficient period of time, and management has concluded, through testing, that the controls are operating effectively.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taking actions to remediate the material weakness relating to our internal control over financial reporting. Other than the changes to our internal control over financial reporting described in “Material Weakness and Remediation Measures” above, 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11, 2022, the board of directors approved a restructuring plan to create a more sustainable organization structure for long term growth. As part of this restructuring plan, we will relocate certain positions in high-cost locations to the Fluence India Technology Centre. We expect that the restructuring plan will be complete by the end of fiscal year 2023. Management has the authority to expand the plan as determined necessary without additional board consent. We do not expect costs incurred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ind w:left="5260"/>
        <w:spacing w:after="0"/>
        <w:rPr>
          <w:sz w:val="20"/>
          <w:szCs w:val="20"/>
          <w:color w:val="auto"/>
        </w:rPr>
      </w:pPr>
      <w:r>
        <w:rPr>
          <w:rFonts w:ascii="Arial" w:cs="Arial" w:eastAsia="Arial" w:hAnsi="Arial"/>
          <w:sz w:val="18"/>
          <w:szCs w:val="18"/>
          <w:b w:val="1"/>
          <w:bCs w:val="1"/>
          <w:color w:val="auto"/>
        </w:rPr>
        <w:t>PART III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September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board of directors has adopted a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posted on our website, https://fluenceenergy.com. In addition, we intend to post on our website all disclosures that are required by law or Nasdaq rules concerning any amendments to, or waivers from, any provision of the code. We are not including this or any other information on our website as a part of, nor incorporating it by reference into, this Annual Report on Form 10-K or any of our other SEC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September 30, 2022.</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by this item, including Securities Authorized for Issuance Under Equity Plans, is incorporated by reference to our Proxy Statement relating to our 2023 Annual Meeting of Stockholders. The Proxy Statement will be filed with the Securities and Exchange Commission within 120 days of the fiscal year ended September 30, 2022.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September 30, 2022.</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September 30, 2022.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 SCHEDULES</w:t>
      </w:r>
    </w:p>
    <w:p>
      <w:pPr>
        <w:spacing w:after="0" w:line="162" w:lineRule="exact"/>
        <w:rPr>
          <w:sz w:val="20"/>
          <w:szCs w:val="20"/>
          <w:color w:val="auto"/>
        </w:rPr>
      </w:pPr>
    </w:p>
    <w:p>
      <w:pPr>
        <w:ind w:left="340" w:right="420" w:hanging="332"/>
        <w:spacing w:after="0" w:line="266"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list of consolidated financial statements and related notes, together with the report of Ernst &amp; Young LLP, appear in Part II, Item 8 “Financial Statements and Supplementary Data” of this Annual Report on Form 10-K and are hereby incorporated by reference.</w:t>
      </w:r>
    </w:p>
    <w:p>
      <w:pPr>
        <w:spacing w:after="0" w:line="1" w:lineRule="exact"/>
        <w:rPr>
          <w:rFonts w:ascii="Arial" w:cs="Arial" w:eastAsia="Arial" w:hAnsi="Arial"/>
          <w:sz w:val="17"/>
          <w:szCs w:val="17"/>
          <w:color w:val="auto"/>
        </w:rPr>
      </w:pPr>
    </w:p>
    <w:p>
      <w:pPr>
        <w:ind w:left="340" w:right="120" w:hanging="332"/>
        <w:spacing w:after="0" w:line="25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Financial Statement Schedules listed in the Index to Financial Statements in Item 8 is filed as part of this Annual Report on Form 10-K. All other financial statement schedules have been omitted because they are not applicable, not material or the required information is otherwise included.</w:t>
      </w: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exhibits listed in the following Index to Exhibits are filed or incorporated by reference as part of this Annual Report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gridSpan w:val="3"/>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04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1040" w:type="dxa"/>
            <w:vAlign w:val="bottom"/>
            <w:vMerge w:val="continue"/>
          </w:tcPr>
          <w:p>
            <w:pPr>
              <w:spacing w:after="0"/>
              <w:rPr>
                <w:sz w:val="24"/>
                <w:szCs w:val="24"/>
                <w:color w:val="auto"/>
              </w:rPr>
            </w:pPr>
          </w:p>
        </w:tc>
        <w:tc>
          <w:tcPr>
            <w:tcW w:w="5560" w:type="dxa"/>
            <w:vAlign w:val="bottom"/>
            <w:gridSpan w:val="3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File No.</w:t>
            </w: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7"/>
              </w:rPr>
              <w:t>No.</w:t>
            </w:r>
          </w:p>
        </w:tc>
        <w:tc>
          <w:tcPr>
            <w:tcW w:w="5560" w:type="dxa"/>
            <w:vAlign w:val="bottom"/>
            <w:tcBorders>
              <w:bottom w:val="single" w:sz="8" w:color="auto"/>
            </w:tcBorders>
            <w:gridSpan w:val="33"/>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No.</w:t>
            </w:r>
          </w:p>
        </w:tc>
        <w:tc>
          <w:tcPr>
            <w:tcW w:w="1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 w:type="dxa"/>
            <w:vAlign w:val="bottom"/>
            <w:tcBorders>
              <w:bottom w:val="single" w:sz="8" w:color="CCEEFF"/>
            </w:tcBorders>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87"/>
              </w:rPr>
              <w:t>3.1</w:t>
            </w:r>
          </w:p>
        </w:tc>
        <w:tc>
          <w:tcPr>
            <w:tcW w:w="5420" w:type="dxa"/>
            <w:vAlign w:val="bottom"/>
            <w:tcBorders>
              <w:bottom w:val="single" w:sz="8" w:color="0000FF"/>
            </w:tcBorders>
            <w:gridSpan w:val="29"/>
            <w:shd w:val="clear" w:color="auto" w:fill="CCEEFF"/>
          </w:tcPr>
          <w:p>
            <w:pPr>
              <w:spacing w:after="0" w:line="169" w:lineRule="exact"/>
              <w:rPr>
                <w:rFonts w:ascii="Arial" w:cs="Arial" w:eastAsia="Arial" w:hAnsi="Arial"/>
                <w:sz w:val="18"/>
                <w:szCs w:val="18"/>
                <w:color w:val="0000FF"/>
                <w:w w:val="90"/>
              </w:rPr>
            </w:pPr>
            <w:hyperlink r:id="rId164">
              <w:r>
                <w:rPr>
                  <w:rFonts w:ascii="Arial" w:cs="Arial" w:eastAsia="Arial" w:hAnsi="Arial"/>
                  <w:sz w:val="18"/>
                  <w:szCs w:val="18"/>
                  <w:color w:val="0000FF"/>
                  <w:w w:val="90"/>
                </w:rPr>
                <w:t>Amended and Restated Certificate of Incorporation of Fluence Energy, Inc.</w:t>
              </w:r>
            </w:hyperlink>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3.1</w:t>
            </w:r>
          </w:p>
        </w:tc>
        <w:tc>
          <w:tcPr>
            <w:tcW w:w="19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61"/>
        </w:trPr>
        <w:tc>
          <w:tcPr>
            <w:tcW w:w="10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87"/>
              </w:rPr>
              <w:t>3.2</w:t>
            </w:r>
          </w:p>
        </w:tc>
        <w:tc>
          <w:tcPr>
            <w:tcW w:w="5560" w:type="dxa"/>
            <w:vAlign w:val="bottom"/>
            <w:gridSpan w:val="33"/>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Amended and Restated Bylaws of Fluence Energy, Inc.</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3.2</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87"/>
              </w:rPr>
              <w:t>4.1</w:t>
            </w:r>
          </w:p>
        </w:tc>
        <w:tc>
          <w:tcPr>
            <w:tcW w:w="5560" w:type="dxa"/>
            <w:vAlign w:val="bottom"/>
            <w:gridSpan w:val="33"/>
            <w:shd w:val="clear" w:color="auto" w:fill="CCEEFF"/>
          </w:tcPr>
          <w:p>
            <w:pPr>
              <w:spacing w:after="0" w:line="189" w:lineRule="exact"/>
              <w:rPr>
                <w:rFonts w:ascii="Arial" w:cs="Arial" w:eastAsia="Arial" w:hAnsi="Arial"/>
                <w:sz w:val="18"/>
                <w:szCs w:val="18"/>
                <w:color w:val="0000FF"/>
                <w:w w:val="91"/>
              </w:rPr>
            </w:pPr>
            <w:hyperlink r:id="rId166">
              <w:r>
                <w:rPr>
                  <w:rFonts w:ascii="Arial" w:cs="Arial" w:eastAsia="Arial" w:hAnsi="Arial"/>
                  <w:sz w:val="18"/>
                  <w:szCs w:val="18"/>
                  <w:color w:val="0000FF"/>
                  <w:w w:val="91"/>
                </w:rPr>
                <w:t>Specimen Stock Certificate evidencing the shares of Class A common stock</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S-1/A</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4.1</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October 19, 2021</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jc w:val="center"/>
              <w:ind w:right="12"/>
              <w:spacing w:after="0" w:line="189" w:lineRule="exact"/>
              <w:rPr>
                <w:sz w:val="20"/>
                <w:szCs w:val="20"/>
                <w:color w:val="auto"/>
              </w:rPr>
            </w:pPr>
            <w:r>
              <w:rPr>
                <w:rFonts w:ascii="Arial" w:cs="Arial" w:eastAsia="Arial" w:hAnsi="Arial"/>
                <w:sz w:val="18"/>
                <w:szCs w:val="18"/>
                <w:color w:val="auto"/>
                <w:w w:val="87"/>
              </w:rPr>
              <w:t>4.2</w:t>
            </w:r>
          </w:p>
        </w:tc>
        <w:tc>
          <w:tcPr>
            <w:tcW w:w="5460" w:type="dxa"/>
            <w:vAlign w:val="bottom"/>
            <w:tcBorders>
              <w:top w:val="single" w:sz="8" w:color="0000FF"/>
            </w:tcBorders>
            <w:gridSpan w:val="30"/>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Description of Registered Securities</w:t>
              </w:r>
            </w:hyperlink>
          </w:p>
        </w:tc>
        <w:tc>
          <w:tcPr>
            <w:tcW w:w="100" w:type="dxa"/>
            <w:vAlign w:val="bottom"/>
            <w:tcBorders>
              <w:top w:val="single" w:sz="8" w:color="CCEEFF"/>
            </w:tcBorders>
            <w:gridSpan w:val="3"/>
          </w:tcPr>
          <w:p>
            <w:pPr>
              <w:spacing w:after="0"/>
              <w:rPr>
                <w:sz w:val="16"/>
                <w:szCs w:val="16"/>
                <w:color w:val="auto"/>
              </w:rPr>
            </w:pPr>
          </w:p>
        </w:tc>
        <w:tc>
          <w:tcPr>
            <w:tcW w:w="5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10-Q</w:t>
            </w:r>
          </w:p>
        </w:tc>
        <w:tc>
          <w:tcPr>
            <w:tcW w:w="12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Borders>
              <w:top w:val="single" w:sz="8" w:color="CCEEFF"/>
            </w:tcBorders>
          </w:tcPr>
          <w:p>
            <w:pPr>
              <w:ind w:left="260"/>
              <w:spacing w:after="0" w:line="189" w:lineRule="exact"/>
              <w:rPr>
                <w:sz w:val="20"/>
                <w:szCs w:val="20"/>
                <w:color w:val="auto"/>
              </w:rPr>
            </w:pPr>
            <w:r>
              <w:rPr>
                <w:rFonts w:ascii="Arial" w:cs="Arial" w:eastAsia="Arial" w:hAnsi="Arial"/>
                <w:sz w:val="18"/>
                <w:szCs w:val="18"/>
                <w:color w:val="auto"/>
              </w:rPr>
              <w:t>4.1</w:t>
            </w:r>
          </w:p>
        </w:tc>
        <w:tc>
          <w:tcPr>
            <w:tcW w:w="198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August 15, 2022</w:t>
            </w: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10.1</w:t>
            </w:r>
          </w:p>
        </w:tc>
        <w:tc>
          <w:tcPr>
            <w:tcW w:w="5560" w:type="dxa"/>
            <w:vAlign w:val="bottom"/>
            <w:gridSpan w:val="33"/>
            <w:shd w:val="clear" w:color="auto" w:fill="CCEEFF"/>
          </w:tcPr>
          <w:p>
            <w:pPr>
              <w:spacing w:after="0" w:line="189"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Third Amended and Restated LLC Agreement of Fluence Energy, LLC,</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10.1</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208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dated as of October 27, 2021</w:t>
              </w:r>
            </w:hyperlink>
          </w:p>
        </w:tc>
        <w:tc>
          <w:tcPr>
            <w:tcW w:w="31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5560" w:type="dxa"/>
            <w:vAlign w:val="bottom"/>
            <w:gridSpan w:val="33"/>
          </w:tcPr>
          <w:p>
            <w:pPr>
              <w:spacing w:after="0" w:line="189"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Tax Receivable Agreement, dated as of November 1, 2021, by and among</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10.2</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3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Fluence Energy, Inc. and the TRA Parties</w:t>
              </w:r>
            </w:hyperlink>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5560" w:type="dxa"/>
            <w:vAlign w:val="bottom"/>
            <w:gridSpan w:val="33"/>
            <w:shd w:val="clear" w:color="auto" w:fill="CCEEFF"/>
          </w:tcPr>
          <w:p>
            <w:pPr>
              <w:spacing w:after="0" w:line="189" w:lineRule="exact"/>
              <w:rPr>
                <w:rFonts w:ascii="Arial" w:cs="Arial" w:eastAsia="Arial" w:hAnsi="Arial"/>
                <w:sz w:val="18"/>
                <w:szCs w:val="18"/>
                <w:color w:val="0000FF"/>
                <w:w w:val="95"/>
              </w:rPr>
            </w:pPr>
            <w:hyperlink r:id="rId170">
              <w:r>
                <w:rPr>
                  <w:rFonts w:ascii="Arial" w:cs="Arial" w:eastAsia="Arial" w:hAnsi="Arial"/>
                  <w:sz w:val="18"/>
                  <w:szCs w:val="18"/>
                  <w:color w:val="0000FF"/>
                  <w:w w:val="95"/>
                </w:rPr>
                <w:t>Registration Rights Agreement, dated November 1, 2021, by and among</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10.3</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Fluence Energy, Inc. and the Original Equity Owners</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5560" w:type="dxa"/>
            <w:vAlign w:val="bottom"/>
            <w:gridSpan w:val="33"/>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Siemens AG Joinder, dated July 7, 2022, to the Registration Rights</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10-Q</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10.1</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August 15, 2022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5560" w:type="dxa"/>
            <w:vAlign w:val="bottom"/>
            <w:gridSpan w:val="33"/>
          </w:tcPr>
          <w:p>
            <w:pPr>
              <w:spacing w:after="0" w:line="156"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Agreement, dated November 1, 2021, by and among Fluence Energy, Inc.</w:t>
              </w:r>
            </w:hyperlink>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and the other parties named therein</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10.5*</w:t>
            </w:r>
          </w:p>
        </w:tc>
        <w:tc>
          <w:tcPr>
            <w:tcW w:w="51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w w:val="90"/>
                <w:shd w:val="clear" w:color="auto" w:fill="CCEEFF"/>
              </w:rPr>
              <w:t>Siemens Pension-Trust E.V. Joinder, dated September 29, 2022, to the</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160" w:type="dxa"/>
            <w:vAlign w:val="bottom"/>
            <w:gridSpan w:val="4"/>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522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FF"/>
                <w:w w:val="90"/>
                <w:shd w:val="clear" w:color="auto" w:fill="CCEEFF"/>
              </w:rPr>
              <w:t>Registration Rights Agreement, dated November 1, 2021, by and among</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160" w:type="dxa"/>
            <w:vAlign w:val="bottom"/>
            <w:gridSpan w:val="4"/>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4060" w:type="dxa"/>
            <w:vAlign w:val="bottom"/>
            <w:tcBorders>
              <w:top w:val="single" w:sz="8" w:color="CCEEFF"/>
              <w:bottom w:val="single" w:sz="8" w:color="0000FF"/>
            </w:tcBorders>
            <w:gridSpan w:val="14"/>
            <w:shd w:val="clear" w:color="auto" w:fill="CCEEFF"/>
          </w:tcPr>
          <w:p>
            <w:pPr>
              <w:spacing w:after="0" w:line="156" w:lineRule="exact"/>
              <w:rPr>
                <w:sz w:val="20"/>
                <w:szCs w:val="20"/>
                <w:color w:val="auto"/>
              </w:rPr>
            </w:pPr>
            <w:r>
              <w:rPr>
                <w:rFonts w:ascii="Arial" w:cs="Arial" w:eastAsia="Arial" w:hAnsi="Arial"/>
                <w:sz w:val="18"/>
                <w:szCs w:val="18"/>
                <w:color w:val="0000FF"/>
                <w:w w:val="88"/>
                <w:shd w:val="clear" w:color="auto" w:fill="CCEEFF"/>
              </w:rPr>
              <w:t>Fluence Energy, Inc. and the other parties named therein</w:t>
            </w:r>
          </w:p>
        </w:tc>
        <w:tc>
          <w:tcPr>
            <w:tcW w:w="20" w:type="dxa"/>
            <w:vAlign w:val="bottom"/>
            <w:tcBorders>
              <w:top w:val="single" w:sz="8" w:color="0000FF"/>
              <w:bottom w:val="single" w:sz="8" w:color="0000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1"/>
              </w:rPr>
              <w:t>10.6</w:t>
            </w:r>
          </w:p>
        </w:tc>
        <w:tc>
          <w:tcPr>
            <w:tcW w:w="5560" w:type="dxa"/>
            <w:vAlign w:val="bottom"/>
            <w:tcBorders>
              <w:top w:val="single" w:sz="8" w:color="CCEEFF"/>
            </w:tcBorders>
            <w:gridSpan w:val="33"/>
          </w:tcPr>
          <w:p>
            <w:pPr>
              <w:spacing w:after="0" w:line="189"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Stockholders Agreement, dated October 27, 2021, by and among Fluence</w:t>
              </w:r>
            </w:hyperlink>
          </w:p>
        </w:tc>
        <w:tc>
          <w:tcPr>
            <w:tcW w:w="5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Borders>
              <w:top w:val="single" w:sz="8" w:color="CCEEFF"/>
            </w:tcBorders>
          </w:tcPr>
          <w:p>
            <w:pPr>
              <w:ind w:left="260"/>
              <w:spacing w:after="0" w:line="189" w:lineRule="exact"/>
              <w:rPr>
                <w:sz w:val="20"/>
                <w:szCs w:val="20"/>
                <w:color w:val="auto"/>
              </w:rPr>
            </w:pPr>
            <w:r>
              <w:rPr>
                <w:rFonts w:ascii="Arial" w:cs="Arial" w:eastAsia="Arial" w:hAnsi="Arial"/>
                <w:sz w:val="18"/>
                <w:szCs w:val="18"/>
                <w:color w:val="auto"/>
              </w:rPr>
              <w:t>10.4</w:t>
            </w:r>
          </w:p>
        </w:tc>
        <w:tc>
          <w:tcPr>
            <w:tcW w:w="198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November 3, 2021</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2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Energy, Inc., Fluence Energy, LLC and the Stockholders</w:t>
              </w:r>
            </w:hyperlink>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10.7</w:t>
            </w:r>
          </w:p>
        </w:tc>
        <w:tc>
          <w:tcPr>
            <w:tcW w:w="5560" w:type="dxa"/>
            <w:vAlign w:val="bottom"/>
            <w:gridSpan w:val="33"/>
            <w:shd w:val="clear" w:color="auto" w:fill="CCEEFF"/>
          </w:tcPr>
          <w:p>
            <w:pPr>
              <w:spacing w:after="0" w:line="189"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Siemens AG Joinder, dated July 7, 2022, to the Stockholders Agreement,</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10-Q</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10.2</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August 15, 2022</w:t>
            </w: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0000FF"/>
              <w:bottom w:val="single" w:sz="8" w:color="0000FF"/>
            </w:tcBorders>
            <w:gridSpan w:val="24"/>
            <w:shd w:val="clear" w:color="auto" w:fill="CCEEFF"/>
          </w:tcPr>
          <w:p>
            <w:pPr>
              <w:spacing w:after="0" w:line="156"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dated October 27, 2021, by and among Fluence Energy, Inc. and the other</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spacing w:after="0"/>
              <w:rPr>
                <w:sz w:val="13"/>
                <w:szCs w:val="13"/>
                <w:color w:val="auto"/>
              </w:rPr>
            </w:pPr>
          </w:p>
        </w:tc>
        <w:tc>
          <w:tcPr>
            <w:tcW w:w="5320" w:type="dxa"/>
            <w:vAlign w:val="bottom"/>
            <w:gridSpan w:val="27"/>
            <w:shd w:val="clear" w:color="auto" w:fill="CCEEFF"/>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parties named therein</w:t>
              </w:r>
            </w:hyperlink>
          </w:p>
        </w:tc>
        <w:tc>
          <w:tcPr>
            <w:tcW w:w="160" w:type="dxa"/>
            <w:vAlign w:val="bottom"/>
            <w:gridSpan w:val="4"/>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tcPr>
          <w:p>
            <w:pPr>
              <w:jc w:val="center"/>
              <w:spacing w:after="0" w:line="176" w:lineRule="exact"/>
              <w:rPr>
                <w:sz w:val="20"/>
                <w:szCs w:val="20"/>
                <w:color w:val="auto"/>
              </w:rPr>
            </w:pPr>
            <w:r>
              <w:rPr>
                <w:rFonts w:ascii="Arial" w:cs="Arial" w:eastAsia="Arial" w:hAnsi="Arial"/>
                <w:sz w:val="18"/>
                <w:szCs w:val="18"/>
                <w:color w:val="auto"/>
                <w:w w:val="95"/>
              </w:rPr>
              <w:t>10.8*</w:t>
            </w:r>
          </w:p>
        </w:tc>
        <w:tc>
          <w:tcPr>
            <w:tcW w:w="5560" w:type="dxa"/>
            <w:vAlign w:val="bottom"/>
            <w:gridSpan w:val="33"/>
          </w:tcPr>
          <w:p>
            <w:pPr>
              <w:spacing w:after="0" w:line="176" w:lineRule="exact"/>
              <w:rPr>
                <w:sz w:val="20"/>
                <w:szCs w:val="20"/>
                <w:color w:val="auto"/>
              </w:rPr>
            </w:pPr>
            <w:r>
              <w:rPr>
                <w:rFonts w:ascii="Arial" w:cs="Arial" w:eastAsia="Arial" w:hAnsi="Arial"/>
                <w:sz w:val="18"/>
                <w:szCs w:val="18"/>
                <w:color w:val="0000FF"/>
                <w:w w:val="97"/>
              </w:rPr>
              <w:t>Siemens Pension-Trust E.V. Joinder, dated September 29, 2022, to the</w:t>
            </w: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5560" w:type="dxa"/>
            <w:vAlign w:val="bottom"/>
            <w:gridSpan w:val="33"/>
          </w:tcPr>
          <w:p>
            <w:pPr>
              <w:spacing w:after="0" w:line="189" w:lineRule="exact"/>
              <w:rPr>
                <w:sz w:val="20"/>
                <w:szCs w:val="20"/>
                <w:color w:val="auto"/>
              </w:rPr>
            </w:pPr>
            <w:r>
              <w:rPr>
                <w:rFonts w:ascii="Arial" w:cs="Arial" w:eastAsia="Arial" w:hAnsi="Arial"/>
                <w:sz w:val="18"/>
                <w:szCs w:val="18"/>
                <w:color w:val="0000FF"/>
                <w:highlight w:val="white"/>
                <w:w w:val="93"/>
              </w:rPr>
              <w:t>Stockholders Agreement, dated October 27, 2021, by and among Fluence</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440" w:type="dxa"/>
            <w:vAlign w:val="bottom"/>
            <w:tcBorders>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highlight w:val="white"/>
                <w:w w:val="88"/>
              </w:rPr>
              <w:t>Energy, Inc. and the other parties named therein</w:t>
            </w:r>
          </w:p>
        </w:tc>
        <w:tc>
          <w:tcPr>
            <w:tcW w:w="5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gridSpan w:val="4"/>
          </w:tcPr>
          <w:p>
            <w:pPr>
              <w:spacing w:after="0"/>
              <w:rPr>
                <w:sz w:val="13"/>
                <w:szCs w:val="13"/>
                <w:color w:val="auto"/>
              </w:rPr>
            </w:pPr>
          </w:p>
        </w:tc>
        <w:tc>
          <w:tcPr>
            <w:tcW w:w="20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10.9†</w:t>
            </w:r>
          </w:p>
        </w:tc>
        <w:tc>
          <w:tcPr>
            <w:tcW w:w="196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2021 Incentive Award Plan</w:t>
              </w:r>
            </w:hyperlink>
          </w:p>
        </w:tc>
        <w:tc>
          <w:tcPr>
            <w:tcW w:w="3600" w:type="dxa"/>
            <w:vAlign w:val="bottom"/>
            <w:tcBorders>
              <w:bottom w:val="single" w:sz="8" w:color="CCEEFF"/>
            </w:tcBorders>
            <w:gridSpan w:val="29"/>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S-1/A</w:t>
            </w:r>
          </w:p>
        </w:tc>
        <w:tc>
          <w:tcPr>
            <w:tcW w:w="12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10.5</w:t>
            </w:r>
          </w:p>
        </w:tc>
        <w:tc>
          <w:tcPr>
            <w:tcW w:w="19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October 19, 2021</w:t>
            </w:r>
          </w:p>
        </w:tc>
        <w:tc>
          <w:tcPr>
            <w:tcW w:w="0" w:type="dxa"/>
            <w:vAlign w:val="bottom"/>
          </w:tcPr>
          <w:p>
            <w:pPr>
              <w:spacing w:after="0"/>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3"/>
              </w:rPr>
              <w:t>10.10†*</w:t>
            </w:r>
          </w:p>
        </w:tc>
        <w:tc>
          <w:tcPr>
            <w:tcW w:w="5560" w:type="dxa"/>
            <w:vAlign w:val="bottom"/>
            <w:gridSpan w:val="33"/>
          </w:tcPr>
          <w:p>
            <w:pPr>
              <w:spacing w:after="0" w:line="189" w:lineRule="exact"/>
              <w:rPr>
                <w:sz w:val="20"/>
                <w:szCs w:val="20"/>
                <w:color w:val="auto"/>
              </w:rPr>
            </w:pPr>
            <w:r>
              <w:rPr>
                <w:rFonts w:ascii="Arial" w:cs="Arial" w:eastAsia="Arial" w:hAnsi="Arial"/>
                <w:sz w:val="18"/>
                <w:szCs w:val="18"/>
                <w:color w:val="0000FF"/>
              </w:rPr>
              <w:t>Annual Incentive Plan</w:t>
            </w: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88"/>
              </w:rPr>
              <w:t>10.11 1†</w:t>
            </w:r>
          </w:p>
        </w:tc>
        <w:tc>
          <w:tcPr>
            <w:tcW w:w="4240" w:type="dxa"/>
            <w:vAlign w:val="bottom"/>
            <w:tcBorders>
              <w:bottom w:val="single" w:sz="8" w:color="0000FF"/>
            </w:tcBorders>
            <w:gridSpan w:val="17"/>
            <w:shd w:val="clear" w:color="auto" w:fill="CCEEFF"/>
          </w:tcPr>
          <w:p>
            <w:pPr>
              <w:spacing w:after="0" w:line="189"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Form Restricted Stock Unit Award Agreement (Employee)</w:t>
              </w:r>
            </w:hyperlink>
          </w:p>
        </w:tc>
        <w:tc>
          <w:tcPr>
            <w:tcW w:w="1320" w:type="dxa"/>
            <w:vAlign w:val="bottom"/>
            <w:tcBorders>
              <w:bottom w:val="single" w:sz="8" w:color="CCEEFF"/>
            </w:tcBorders>
            <w:gridSpan w:val="16"/>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S-1/A</w:t>
            </w:r>
          </w:p>
        </w:tc>
        <w:tc>
          <w:tcPr>
            <w:tcW w:w="12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10.6.1</w:t>
            </w:r>
          </w:p>
        </w:tc>
        <w:tc>
          <w:tcPr>
            <w:tcW w:w="19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October 19, 2021</w:t>
            </w:r>
          </w:p>
        </w:tc>
        <w:tc>
          <w:tcPr>
            <w:tcW w:w="0" w:type="dxa"/>
            <w:vAlign w:val="bottom"/>
          </w:tcPr>
          <w:p>
            <w:pPr>
              <w:spacing w:after="0"/>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88"/>
              </w:rPr>
              <w:t>10.11 2†</w:t>
            </w:r>
          </w:p>
        </w:tc>
        <w:tc>
          <w:tcPr>
            <w:tcW w:w="5560" w:type="dxa"/>
            <w:vAlign w:val="bottom"/>
            <w:gridSpan w:val="33"/>
          </w:tcPr>
          <w:p>
            <w:pPr>
              <w:spacing w:after="0" w:line="189" w:lineRule="exact"/>
              <w:rPr>
                <w:rFonts w:ascii="Arial" w:cs="Arial" w:eastAsia="Arial" w:hAnsi="Arial"/>
                <w:sz w:val="18"/>
                <w:szCs w:val="18"/>
                <w:color w:val="0000FF"/>
              </w:rPr>
            </w:pPr>
            <w:hyperlink r:id="rId176">
              <w:r>
                <w:rPr>
                  <w:rFonts w:ascii="Arial" w:cs="Arial" w:eastAsia="Arial" w:hAnsi="Arial"/>
                  <w:sz w:val="18"/>
                  <w:szCs w:val="18"/>
                  <w:color w:val="0000FF"/>
                </w:rPr>
                <w:t>Form Restricted Stock Unit Award Agreement (Director)</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S-1/A</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10.6.2</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October 19,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90"/>
              </w:rPr>
              <w:t>10.12†</w:t>
            </w:r>
          </w:p>
        </w:tc>
        <w:tc>
          <w:tcPr>
            <w:tcW w:w="5560" w:type="dxa"/>
            <w:vAlign w:val="bottom"/>
            <w:gridSpan w:val="33"/>
            <w:shd w:val="clear" w:color="auto" w:fill="CCEEFF"/>
          </w:tcPr>
          <w:p>
            <w:pPr>
              <w:spacing w:after="0" w:line="189" w:lineRule="exact"/>
              <w:rPr>
                <w:rFonts w:ascii="Arial" w:cs="Arial" w:eastAsia="Arial" w:hAnsi="Arial"/>
                <w:sz w:val="18"/>
                <w:szCs w:val="18"/>
                <w:color w:val="0000FF"/>
              </w:rPr>
            </w:pPr>
            <w:hyperlink r:id="rId177">
              <w:r>
                <w:rPr>
                  <w:rFonts w:ascii="Arial" w:cs="Arial" w:eastAsia="Arial" w:hAnsi="Arial"/>
                  <w:sz w:val="18"/>
                  <w:szCs w:val="18"/>
                  <w:color w:val="0000FF"/>
                </w:rPr>
                <w:t>2020 Unit Option Plan and Form Unit Option Award Agreement</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S-1</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10.7</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0"/>
              </w:rPr>
              <w:t>10.13†</w:t>
            </w:r>
          </w:p>
        </w:tc>
        <w:tc>
          <w:tcPr>
            <w:tcW w:w="5560" w:type="dxa"/>
            <w:vAlign w:val="bottom"/>
            <w:gridSpan w:val="33"/>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Phantom Equity Incentive Plan and Form Phantom Unit Agreement</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S-1</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10.8</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90"/>
              </w:rPr>
              <w:t>10.14†</w:t>
            </w:r>
          </w:p>
        </w:tc>
        <w:tc>
          <w:tcPr>
            <w:tcW w:w="5560" w:type="dxa"/>
            <w:vAlign w:val="bottom"/>
            <w:gridSpan w:val="33"/>
            <w:shd w:val="clear" w:color="auto" w:fill="CCEEFF"/>
          </w:tcPr>
          <w:p>
            <w:pPr>
              <w:spacing w:after="0" w:line="189" w:lineRule="exact"/>
              <w:rPr>
                <w:rFonts w:ascii="Arial" w:cs="Arial" w:eastAsia="Arial" w:hAnsi="Arial"/>
                <w:sz w:val="18"/>
                <w:szCs w:val="18"/>
                <w:color w:val="0000FF"/>
                <w:w w:val="91"/>
              </w:rPr>
            </w:pPr>
            <w:hyperlink r:id="rId179">
              <w:r>
                <w:rPr>
                  <w:rFonts w:ascii="Arial" w:cs="Arial" w:eastAsia="Arial" w:hAnsi="Arial"/>
                  <w:sz w:val="18"/>
                  <w:szCs w:val="18"/>
                  <w:color w:val="0000FF"/>
                  <w:w w:val="91"/>
                </w:rPr>
                <w:t>Phantom Cancellation Letter, dated September 23, 2021, with Manuel Perez</w:t>
              </w:r>
            </w:hyperlink>
          </w:p>
        </w:tc>
        <w:tc>
          <w:tcPr>
            <w:tcW w:w="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S-1</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10.9</w:t>
            </w:r>
          </w:p>
        </w:tc>
        <w:tc>
          <w:tcPr>
            <w:tcW w:w="19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8"/>
              </w:rPr>
            </w:pPr>
            <w:hyperlink r:id="rId179">
              <w:r>
                <w:rPr>
                  <w:rFonts w:ascii="Arial" w:cs="Arial" w:eastAsia="Arial" w:hAnsi="Arial"/>
                  <w:sz w:val="18"/>
                  <w:szCs w:val="18"/>
                  <w:color w:val="0000FF"/>
                  <w:w w:val="88"/>
                </w:rPr>
                <w:t>Dubuc</w:t>
              </w:r>
            </w:hyperlink>
          </w:p>
        </w:tc>
        <w:tc>
          <w:tcPr>
            <w:tcW w:w="5000" w:type="dxa"/>
            <w:vAlign w:val="bottom"/>
            <w:tcBorders>
              <w:top w:val="single" w:sz="8" w:color="0000FF"/>
              <w:bottom w:val="single" w:sz="8" w:color="CCEEFF"/>
            </w:tcBorders>
            <w:gridSpan w:val="30"/>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0"/>
              </w:rPr>
              <w:t>10.15†</w:t>
            </w:r>
          </w:p>
        </w:tc>
        <w:tc>
          <w:tcPr>
            <w:tcW w:w="6140" w:type="dxa"/>
            <w:vAlign w:val="bottom"/>
            <w:gridSpan w:val="34"/>
          </w:tcPr>
          <w:p>
            <w:pPr>
              <w:spacing w:after="0" w:line="189" w:lineRule="exact"/>
              <w:rPr>
                <w:rFonts w:ascii="Arial" w:cs="Arial" w:eastAsia="Arial" w:hAnsi="Arial"/>
                <w:sz w:val="18"/>
                <w:szCs w:val="18"/>
                <w:color w:val="0000FF"/>
                <w:w w:val="93"/>
              </w:rPr>
            </w:pPr>
            <w:hyperlink r:id="rId180">
              <w:r>
                <w:rPr>
                  <w:rFonts w:ascii="Arial" w:cs="Arial" w:eastAsia="Arial" w:hAnsi="Arial"/>
                  <w:sz w:val="18"/>
                  <w:szCs w:val="18"/>
                  <w:color w:val="0000FF"/>
                  <w:w w:val="93"/>
                </w:rPr>
                <w:t xml:space="preserve">Separation and Release Agreement, dated August 24, 2022, between Fluence </w:t>
              </w:r>
            </w:hyperlink>
            <w:r>
              <w:rPr>
                <w:rFonts w:ascii="Arial" w:cs="Arial" w:eastAsia="Arial" w:hAnsi="Arial"/>
                <w:sz w:val="18"/>
                <w:szCs w:val="18"/>
                <w:color w:val="000000"/>
                <w:w w:val="93"/>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10.1</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August 30, 2022</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5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Energy, Inc. and Manuel Perez Dubuc</w:t>
              </w:r>
            </w:hyperlink>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right="12"/>
              <w:spacing w:after="0" w:line="189" w:lineRule="exact"/>
              <w:rPr>
                <w:sz w:val="20"/>
                <w:szCs w:val="20"/>
                <w:color w:val="auto"/>
              </w:rPr>
            </w:pPr>
            <w:r>
              <w:rPr>
                <w:rFonts w:ascii="Arial" w:cs="Arial" w:eastAsia="Arial" w:hAnsi="Arial"/>
                <w:sz w:val="18"/>
                <w:szCs w:val="18"/>
                <w:color w:val="auto"/>
                <w:w w:val="90"/>
              </w:rPr>
              <w:t>10.16†</w:t>
            </w:r>
          </w:p>
        </w:tc>
        <w:tc>
          <w:tcPr>
            <w:tcW w:w="3980" w:type="dxa"/>
            <w:vAlign w:val="bottom"/>
            <w:tcBorders>
              <w:bottom w:val="single" w:sz="8" w:color="0000FF"/>
            </w:tcBorders>
            <w:gridSpan w:val="13"/>
            <w:shd w:val="clear" w:color="auto" w:fill="CCEEFF"/>
          </w:tcPr>
          <w:p>
            <w:pPr>
              <w:spacing w:after="0" w:line="189"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Offer Letter, dated October 27, 2017, with Dennis Fehr</w:t>
              </w:r>
            </w:hyperlink>
          </w:p>
        </w:tc>
        <w:tc>
          <w:tcPr>
            <w:tcW w:w="1580" w:type="dxa"/>
            <w:vAlign w:val="bottom"/>
            <w:tcBorders>
              <w:bottom w:val="single" w:sz="8" w:color="CCEEFF"/>
            </w:tcBorders>
            <w:gridSpan w:val="20"/>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S-1</w:t>
            </w:r>
          </w:p>
        </w:tc>
        <w:tc>
          <w:tcPr>
            <w:tcW w:w="1240" w:type="dxa"/>
            <w:vAlign w:val="bottom"/>
            <w:tcBorders>
              <w:bottom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4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10.10</w:t>
            </w:r>
          </w:p>
        </w:tc>
        <w:tc>
          <w:tcPr>
            <w:tcW w:w="19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September 28, 2021</w:t>
            </w:r>
          </w:p>
        </w:tc>
        <w:tc>
          <w:tcPr>
            <w:tcW w:w="0" w:type="dxa"/>
            <w:vAlign w:val="bottom"/>
          </w:tcPr>
          <w:p>
            <w:pPr>
              <w:spacing w:after="0"/>
              <w:rPr>
                <w:sz w:val="1"/>
                <w:szCs w:val="1"/>
                <w:color w:val="auto"/>
              </w:rPr>
            </w:pPr>
          </w:p>
        </w:tc>
      </w:tr>
      <w:tr>
        <w:trPr>
          <w:trHeight w:val="189"/>
        </w:trPr>
        <w:tc>
          <w:tcPr>
            <w:tcW w:w="1040" w:type="dxa"/>
            <w:vAlign w:val="bottom"/>
          </w:tcPr>
          <w:p>
            <w:pPr>
              <w:jc w:val="center"/>
              <w:ind w:right="12"/>
              <w:spacing w:after="0" w:line="189" w:lineRule="exact"/>
              <w:rPr>
                <w:sz w:val="20"/>
                <w:szCs w:val="20"/>
                <w:color w:val="auto"/>
              </w:rPr>
            </w:pPr>
            <w:r>
              <w:rPr>
                <w:rFonts w:ascii="Arial" w:cs="Arial" w:eastAsia="Arial" w:hAnsi="Arial"/>
                <w:sz w:val="18"/>
                <w:szCs w:val="18"/>
                <w:color w:val="auto"/>
                <w:w w:val="90"/>
              </w:rPr>
              <w:t>10.17†</w:t>
            </w:r>
          </w:p>
        </w:tc>
        <w:tc>
          <w:tcPr>
            <w:tcW w:w="5560" w:type="dxa"/>
            <w:vAlign w:val="bottom"/>
            <w:gridSpan w:val="33"/>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Transition and Separation Agreement, effective September 13, 2022,</w:t>
              </w:r>
            </w:hyperlink>
          </w:p>
        </w:tc>
        <w:tc>
          <w:tcPr>
            <w:tcW w:w="580" w:type="dxa"/>
            <w:vAlign w:val="bottom"/>
          </w:tcPr>
          <w:p>
            <w:pPr>
              <w:ind w:left="20"/>
              <w:spacing w:after="0" w:line="189" w:lineRule="exact"/>
              <w:rPr>
                <w:sz w:val="20"/>
                <w:szCs w:val="20"/>
                <w:color w:val="auto"/>
              </w:rPr>
            </w:pPr>
            <w:r>
              <w:rPr>
                <w:rFonts w:ascii="Arial" w:cs="Arial" w:eastAsia="Arial" w:hAnsi="Arial"/>
                <w:sz w:val="18"/>
                <w:szCs w:val="18"/>
                <w:color w:val="auto"/>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40" w:type="dxa"/>
            <w:vAlign w:val="bottom"/>
          </w:tcPr>
          <w:p>
            <w:pPr>
              <w:ind w:left="260"/>
              <w:spacing w:after="0" w:line="189" w:lineRule="exact"/>
              <w:rPr>
                <w:sz w:val="20"/>
                <w:szCs w:val="20"/>
                <w:color w:val="auto"/>
              </w:rPr>
            </w:pPr>
            <w:r>
              <w:rPr>
                <w:rFonts w:ascii="Arial" w:cs="Arial" w:eastAsia="Arial" w:hAnsi="Arial"/>
                <w:sz w:val="18"/>
                <w:szCs w:val="18"/>
                <w:color w:val="auto"/>
              </w:rPr>
              <w:t>10.1</w:t>
            </w:r>
          </w:p>
        </w:tc>
        <w:tc>
          <w:tcPr>
            <w:tcW w:w="1980" w:type="dxa"/>
            <w:vAlign w:val="bottom"/>
          </w:tcPr>
          <w:p>
            <w:pPr>
              <w:ind w:left="100"/>
              <w:spacing w:after="0" w:line="189" w:lineRule="exact"/>
              <w:rPr>
                <w:sz w:val="20"/>
                <w:szCs w:val="20"/>
                <w:color w:val="auto"/>
              </w:rPr>
            </w:pPr>
            <w:r>
              <w:rPr>
                <w:rFonts w:ascii="Arial" w:cs="Arial" w:eastAsia="Arial" w:hAnsi="Arial"/>
                <w:sz w:val="18"/>
                <w:szCs w:val="18"/>
                <w:color w:val="auto"/>
              </w:rPr>
              <w:t>September 15, 2022</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9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between Fluence Energy, Inc. and Dennis Fehr</w:t>
              </w:r>
            </w:hyperlink>
          </w:p>
        </w:tc>
        <w:tc>
          <w:tcPr>
            <w:tcW w:w="620" w:type="dxa"/>
            <w:vAlign w:val="bottom"/>
            <w:gridSpan w:val="12"/>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1040" w:type="dxa"/>
            <w:vAlign w:val="bottom"/>
          </w:tcPr>
          <w:p>
            <w:pPr>
              <w:spacing w:after="0"/>
              <w:rPr>
                <w:sz w:val="24"/>
                <w:szCs w:val="24"/>
                <w:color w:val="auto"/>
              </w:rPr>
            </w:pPr>
          </w:p>
        </w:tc>
        <w:tc>
          <w:tcPr>
            <w:tcW w:w="3360" w:type="dxa"/>
            <w:vAlign w:val="bottom"/>
            <w:tcBorders>
              <w:top w:val="single" w:sz="8" w:color="0000FF"/>
            </w:tcBorders>
            <w:gridSpan w:val="10"/>
          </w:tcPr>
          <w:p>
            <w:pPr>
              <w:spacing w:after="0"/>
              <w:rPr>
                <w:sz w:val="24"/>
                <w:szCs w:val="24"/>
                <w:color w:val="auto"/>
              </w:rPr>
            </w:pPr>
          </w:p>
        </w:tc>
        <w:tc>
          <w:tcPr>
            <w:tcW w:w="1460" w:type="dxa"/>
            <w:vAlign w:val="bottom"/>
            <w:gridSpan w:val="9"/>
          </w:tcPr>
          <w:p>
            <w:pPr>
              <w:jc w:val="right"/>
              <w:ind w:right="10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5" w:name="page116"/>
    <w:bookmarkEnd w:id="115"/>
    <w:p>
      <w:pPr>
        <w:ind w:left="8100"/>
        <w:spacing w:after="0"/>
        <w:rPr>
          <w:sz w:val="20"/>
          <w:szCs w:val="20"/>
          <w:color w:val="auto"/>
        </w:rPr>
      </w:pPr>
      <w:r>
        <w:rPr>
          <w:rFonts w:ascii="Arial" w:cs="Arial" w:eastAsia="Arial" w:hAnsi="Arial"/>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Borders>
              <w:top w:val="single" w:sz="8" w:color="CCEEFF"/>
            </w:tcBorders>
            <w:shd w:val="clear" w:color="auto" w:fill="CCEEFF"/>
          </w:tcPr>
          <w:p>
            <w:pPr>
              <w:jc w:val="center"/>
              <w:ind w:right="10"/>
              <w:spacing w:after="0" w:line="169" w:lineRule="exact"/>
              <w:rPr>
                <w:sz w:val="20"/>
                <w:szCs w:val="20"/>
                <w:color w:val="auto"/>
              </w:rPr>
            </w:pPr>
            <w:r>
              <w:rPr>
                <w:rFonts w:ascii="Arial" w:cs="Arial" w:eastAsia="Arial" w:hAnsi="Arial"/>
                <w:sz w:val="18"/>
                <w:szCs w:val="18"/>
                <w:color w:val="auto"/>
                <w:w w:val="90"/>
              </w:rPr>
              <w:t>10.18†</w:t>
            </w:r>
          </w:p>
        </w:tc>
        <w:tc>
          <w:tcPr>
            <w:tcW w:w="5580" w:type="dxa"/>
            <w:vAlign w:val="bottom"/>
            <w:tcBorders>
              <w:top w:val="single" w:sz="8" w:color="CCEEFF"/>
            </w:tcBorders>
            <w:gridSpan w:val="42"/>
            <w:shd w:val="clear" w:color="auto" w:fill="CCEEFF"/>
          </w:tcPr>
          <w:p>
            <w:pPr>
              <w:spacing w:after="0" w:line="169" w:lineRule="exact"/>
              <w:rPr>
                <w:rFonts w:ascii="Arial" w:cs="Arial" w:eastAsia="Arial" w:hAnsi="Arial"/>
                <w:sz w:val="18"/>
                <w:szCs w:val="18"/>
                <w:color w:val="0000FF"/>
              </w:rPr>
            </w:pPr>
            <w:hyperlink r:id="rId185">
              <w:r>
                <w:rPr>
                  <w:rFonts w:ascii="Arial" w:cs="Arial" w:eastAsia="Arial" w:hAnsi="Arial"/>
                  <w:sz w:val="18"/>
                  <w:szCs w:val="18"/>
                  <w:color w:val="0000FF"/>
                </w:rPr>
                <w:t>Offer Letter, dated May 12, 2020, with Rebecca Boll</w:t>
              </w:r>
            </w:hyperlink>
          </w:p>
        </w:tc>
        <w:tc>
          <w:tcPr>
            <w:tcW w:w="5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S-1</w:t>
            </w:r>
          </w:p>
        </w:tc>
        <w:tc>
          <w:tcPr>
            <w:tcW w:w="1240" w:type="dxa"/>
            <w:vAlign w:val="bottom"/>
            <w:tcBorders>
              <w:top w:val="single" w:sz="8" w:color="auto"/>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333-259839</w:t>
            </w:r>
          </w:p>
        </w:tc>
        <w:tc>
          <w:tcPr>
            <w:tcW w:w="800" w:type="dxa"/>
            <w:vAlign w:val="bottom"/>
            <w:tcBorders>
              <w:top w:val="single" w:sz="8" w:color="auto"/>
            </w:tcBorders>
            <w:shd w:val="clear" w:color="auto" w:fill="CCEEFF"/>
          </w:tcPr>
          <w:p>
            <w:pPr>
              <w:ind w:left="260"/>
              <w:spacing w:after="0" w:line="176" w:lineRule="exact"/>
              <w:rPr>
                <w:sz w:val="20"/>
                <w:szCs w:val="20"/>
                <w:color w:val="auto"/>
              </w:rPr>
            </w:pPr>
            <w:r>
              <w:rPr>
                <w:rFonts w:ascii="Arial" w:cs="Arial" w:eastAsia="Arial" w:hAnsi="Arial"/>
                <w:sz w:val="18"/>
                <w:szCs w:val="18"/>
                <w:color w:val="auto"/>
              </w:rPr>
              <w:t>10.11</w:t>
            </w:r>
          </w:p>
        </w:tc>
        <w:tc>
          <w:tcPr>
            <w:tcW w:w="2020" w:type="dxa"/>
            <w:vAlign w:val="bottom"/>
            <w:tcBorders>
              <w:top w:val="single" w:sz="8" w:color="auto"/>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September 28, 2021</w:t>
            </w: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r>
      <w:tr>
        <w:trPr>
          <w:trHeight w:val="189"/>
        </w:trPr>
        <w:tc>
          <w:tcPr>
            <w:tcW w:w="10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0"/>
              </w:rPr>
              <w:t>10.19†</w:t>
            </w:r>
          </w:p>
        </w:tc>
        <w:tc>
          <w:tcPr>
            <w:tcW w:w="5580" w:type="dxa"/>
            <w:vAlign w:val="bottom"/>
            <w:gridSpan w:val="42"/>
          </w:tcPr>
          <w:p>
            <w:pPr>
              <w:spacing w:after="0" w:line="189"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Offer Letter, dated August 5, 2022, between Fluence Energy, Inc. and Julian</w:t>
              </w:r>
            </w:hyperlink>
          </w:p>
        </w:tc>
        <w:tc>
          <w:tcPr>
            <w:tcW w:w="560" w:type="dxa"/>
            <w:vAlign w:val="bottom"/>
          </w:tcPr>
          <w:p>
            <w:pPr>
              <w:spacing w:after="0" w:line="189" w:lineRule="exact"/>
              <w:rPr>
                <w:sz w:val="20"/>
                <w:szCs w:val="20"/>
                <w:color w:val="auto"/>
              </w:rPr>
            </w:pPr>
            <w:r>
              <w:rPr>
                <w:rFonts w:ascii="Arial" w:cs="Arial" w:eastAsia="Arial" w:hAnsi="Arial"/>
                <w:sz w:val="18"/>
                <w:szCs w:val="18"/>
                <w:color w:val="auto"/>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10.1</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August 8, 2022</w:t>
            </w:r>
          </w:p>
        </w:tc>
      </w:tr>
      <w:tr>
        <w:trPr>
          <w:trHeight w:val="169"/>
        </w:trPr>
        <w:tc>
          <w:tcPr>
            <w:tcW w:w="1040" w:type="dxa"/>
            <w:vAlign w:val="bottom"/>
          </w:tcPr>
          <w:p>
            <w:pPr>
              <w:spacing w:after="0"/>
              <w:rPr>
                <w:sz w:val="14"/>
                <w:szCs w:val="14"/>
                <w:color w:val="auto"/>
              </w:rPr>
            </w:pPr>
          </w:p>
        </w:tc>
        <w:tc>
          <w:tcPr>
            <w:tcW w:w="548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86">
              <w:r>
                <w:rPr>
                  <w:rFonts w:ascii="Arial" w:cs="Arial" w:eastAsia="Arial" w:hAnsi="Arial"/>
                  <w:sz w:val="18"/>
                  <w:szCs w:val="18"/>
                  <w:color w:val="0000FF"/>
                </w:rPr>
                <w:t>Nebreda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1"/>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0"/>
              </w:rPr>
              <w:t>10.20†</w:t>
            </w:r>
          </w:p>
        </w:tc>
        <w:tc>
          <w:tcPr>
            <w:tcW w:w="5580" w:type="dxa"/>
            <w:vAlign w:val="bottom"/>
            <w:gridSpan w:val="42"/>
            <w:shd w:val="clear" w:color="auto" w:fill="CCEEFF"/>
          </w:tcPr>
          <w:p>
            <w:pPr>
              <w:spacing w:after="0" w:line="189"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Offer Letter, dated August 26, 2022, between Fluence Energy, Inc. and</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8-K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10.1</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August 31, 2022</w:t>
            </w: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rPr>
            </w:pPr>
            <w:hyperlink r:id="rId187">
              <w:r>
                <w:rPr>
                  <w:rFonts w:ascii="Arial" w:cs="Arial" w:eastAsia="Arial" w:hAnsi="Arial"/>
                  <w:sz w:val="18"/>
                  <w:szCs w:val="18"/>
                  <w:color w:val="0000FF"/>
                </w:rPr>
                <w:t>Manavendra Sial</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0"/>
              </w:rPr>
              <w:t>10.21†</w:t>
            </w:r>
          </w:p>
        </w:tc>
        <w:tc>
          <w:tcPr>
            <w:tcW w:w="3400" w:type="dxa"/>
            <w:vAlign w:val="bottom"/>
            <w:tcBorders>
              <w:bottom w:val="single" w:sz="8" w:color="0000FF"/>
            </w:tcBorders>
            <w:gridSpan w:val="10"/>
          </w:tcPr>
          <w:p>
            <w:pPr>
              <w:spacing w:after="0" w:line="169" w:lineRule="exact"/>
              <w:rPr>
                <w:rFonts w:ascii="Arial" w:cs="Arial" w:eastAsia="Arial" w:hAnsi="Arial"/>
                <w:sz w:val="18"/>
                <w:szCs w:val="18"/>
                <w:color w:val="0000FF"/>
                <w:w w:val="88"/>
              </w:rPr>
            </w:pPr>
            <w:hyperlink r:id="rId188">
              <w:r>
                <w:rPr>
                  <w:rFonts w:ascii="Arial" w:cs="Arial" w:eastAsia="Arial" w:hAnsi="Arial"/>
                  <w:sz w:val="18"/>
                  <w:szCs w:val="18"/>
                  <w:color w:val="0000FF"/>
                  <w:w w:val="88"/>
                </w:rPr>
                <w:t>Fluence Energy, Inc. Executive Severance Plan</w:t>
              </w:r>
            </w:hyperlink>
          </w:p>
        </w:tc>
        <w:tc>
          <w:tcPr>
            <w:tcW w:w="100" w:type="dxa"/>
            <w:vAlign w:val="bottom"/>
          </w:tcPr>
          <w:p>
            <w:pPr>
              <w:spacing w:after="0"/>
              <w:rPr>
                <w:sz w:val="16"/>
                <w:szCs w:val="16"/>
                <w:color w:val="auto"/>
              </w:rPr>
            </w:pPr>
          </w:p>
        </w:tc>
        <w:tc>
          <w:tcPr>
            <w:tcW w:w="5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auto"/>
              </w:rPr>
              <w:t>8-K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10.1</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February 10, 2022</w:t>
            </w:r>
          </w:p>
        </w:tc>
      </w:tr>
      <w:tr>
        <w:trPr>
          <w:trHeight w:val="48"/>
        </w:trPr>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9"/>
        </w:trPr>
        <w:tc>
          <w:tcPr>
            <w:tcW w:w="104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3"/>
              </w:rPr>
              <w:t>10.22†*</w:t>
            </w:r>
          </w:p>
        </w:tc>
        <w:tc>
          <w:tcPr>
            <w:tcW w:w="558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Non-Employee Independent Director Compensation Policy</w:t>
            </w: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189"/>
        </w:trPr>
        <w:tc>
          <w:tcPr>
            <w:tcW w:w="10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88"/>
              </w:rPr>
              <w:t>10.23</w:t>
            </w:r>
          </w:p>
        </w:tc>
        <w:tc>
          <w:tcPr>
            <w:tcW w:w="4260" w:type="dxa"/>
            <w:vAlign w:val="bottom"/>
            <w:tcBorders>
              <w:top w:val="single" w:sz="8" w:color="0000FF"/>
            </w:tcBorders>
            <w:gridSpan w:val="14"/>
          </w:tcPr>
          <w:p>
            <w:pPr>
              <w:spacing w:after="0" w:line="189" w:lineRule="exact"/>
              <w:rPr>
                <w:rFonts w:ascii="Arial" w:cs="Arial" w:eastAsia="Arial" w:hAnsi="Arial"/>
                <w:sz w:val="18"/>
                <w:szCs w:val="18"/>
                <w:color w:val="0000FF"/>
              </w:rPr>
            </w:pPr>
            <w:hyperlink r:id="rId189">
              <w:r>
                <w:rPr>
                  <w:rFonts w:ascii="Arial" w:cs="Arial" w:eastAsia="Arial" w:hAnsi="Arial"/>
                  <w:sz w:val="18"/>
                  <w:szCs w:val="18"/>
                  <w:color w:val="0000FF"/>
                </w:rPr>
                <w:t>Form of Indemnification Agreement</w:t>
              </w:r>
            </w:hyperlink>
          </w:p>
        </w:tc>
        <w:tc>
          <w:tcPr>
            <w:tcW w:w="1320" w:type="dxa"/>
            <w:vAlign w:val="bottom"/>
            <w:tcBorders>
              <w:top w:val="single" w:sz="8" w:color="CCEEFF"/>
            </w:tcBorders>
            <w:gridSpan w:val="28"/>
          </w:tcPr>
          <w:p>
            <w:pPr>
              <w:spacing w:after="0"/>
              <w:rPr>
                <w:sz w:val="16"/>
                <w:szCs w:val="16"/>
                <w:color w:val="auto"/>
              </w:rPr>
            </w:pPr>
          </w:p>
        </w:tc>
        <w:tc>
          <w:tcPr>
            <w:tcW w:w="5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S-1/A</w:t>
            </w:r>
          </w:p>
        </w:tc>
        <w:tc>
          <w:tcPr>
            <w:tcW w:w="12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tcBorders>
              <w:top w:val="single" w:sz="8" w:color="CCEEFF"/>
            </w:tcBorders>
          </w:tcPr>
          <w:p>
            <w:pPr>
              <w:ind w:left="260"/>
              <w:spacing w:after="0" w:line="189" w:lineRule="exact"/>
              <w:rPr>
                <w:sz w:val="20"/>
                <w:szCs w:val="20"/>
                <w:color w:val="auto"/>
              </w:rPr>
            </w:pPr>
            <w:r>
              <w:rPr>
                <w:rFonts w:ascii="Arial" w:cs="Arial" w:eastAsia="Arial" w:hAnsi="Arial"/>
                <w:sz w:val="18"/>
                <w:szCs w:val="18"/>
                <w:color w:val="auto"/>
              </w:rPr>
              <w:t>10.13</w:t>
            </w:r>
          </w:p>
        </w:tc>
        <w:tc>
          <w:tcPr>
            <w:tcW w:w="202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8"/>
                <w:szCs w:val="18"/>
                <w:color w:val="auto"/>
              </w:rPr>
              <w:t>October 19, 2021</w:t>
            </w:r>
          </w:p>
        </w:tc>
      </w:tr>
      <w:tr>
        <w:trPr>
          <w:trHeight w:val="21"/>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10.24</w:t>
            </w:r>
          </w:p>
        </w:tc>
        <w:tc>
          <w:tcPr>
            <w:tcW w:w="5580" w:type="dxa"/>
            <w:vAlign w:val="bottom"/>
            <w:gridSpan w:val="42"/>
            <w:shd w:val="clear" w:color="auto" w:fill="CCEEFF"/>
          </w:tcPr>
          <w:p>
            <w:pPr>
              <w:spacing w:after="0" w:line="189" w:lineRule="exact"/>
              <w:rPr>
                <w:rFonts w:ascii="Arial" w:cs="Arial" w:eastAsia="Arial" w:hAnsi="Arial"/>
                <w:sz w:val="18"/>
                <w:szCs w:val="18"/>
                <w:color w:val="0000FF"/>
                <w:w w:val="98"/>
              </w:rPr>
            </w:pPr>
            <w:hyperlink r:id="rId190">
              <w:r>
                <w:rPr>
                  <w:rFonts w:ascii="Arial" w:cs="Arial" w:eastAsia="Arial" w:hAnsi="Arial"/>
                  <w:sz w:val="18"/>
                  <w:szCs w:val="18"/>
                  <w:color w:val="0000FF"/>
                  <w:w w:val="98"/>
                </w:rPr>
                <w:t>Revolving Credit Agreement, dated, November 1, 2021, by and among</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10.14</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December 14, 2021</w:t>
            </w:r>
          </w:p>
        </w:tc>
      </w:tr>
      <w:tr>
        <w:trPr>
          <w:trHeight w:val="169"/>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5120" w:type="dxa"/>
            <w:vAlign w:val="bottom"/>
            <w:tcBorders>
              <w:top w:val="single" w:sz="8" w:color="0000FF"/>
              <w:bottom w:val="single" w:sz="8" w:color="0000FF"/>
            </w:tcBorders>
            <w:gridSpan w:val="22"/>
            <w:shd w:val="clear" w:color="auto" w:fill="CCEEFF"/>
          </w:tcPr>
          <w:p>
            <w:pPr>
              <w:spacing w:after="0" w:line="169" w:lineRule="exact"/>
              <w:rPr>
                <w:rFonts w:ascii="Arial" w:cs="Arial" w:eastAsia="Arial" w:hAnsi="Arial"/>
                <w:sz w:val="18"/>
                <w:szCs w:val="18"/>
                <w:color w:val="0000FF"/>
                <w:w w:val="88"/>
              </w:rPr>
            </w:pPr>
            <w:hyperlink r:id="rId190">
              <w:r>
                <w:rPr>
                  <w:rFonts w:ascii="Arial" w:cs="Arial" w:eastAsia="Arial" w:hAnsi="Arial"/>
                  <w:sz w:val="18"/>
                  <w:szCs w:val="18"/>
                  <w:color w:val="0000FF"/>
                  <w:w w:val="88"/>
                </w:rPr>
                <w:t>Fluence Energy, LLC, as the borrower, Fluence Energy, Inc., as a parent</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6"/>
        </w:trPr>
        <w:tc>
          <w:tcPr>
            <w:tcW w:w="1040" w:type="dxa"/>
            <w:vAlign w:val="bottom"/>
            <w:shd w:val="clear" w:color="auto" w:fill="CCEEFF"/>
          </w:tcPr>
          <w:p>
            <w:pPr>
              <w:spacing w:after="0"/>
              <w:rPr>
                <w:sz w:val="13"/>
                <w:szCs w:val="13"/>
                <w:color w:val="auto"/>
              </w:rPr>
            </w:pPr>
          </w:p>
        </w:tc>
        <w:tc>
          <w:tcPr>
            <w:tcW w:w="5580" w:type="dxa"/>
            <w:vAlign w:val="bottom"/>
            <w:gridSpan w:val="42"/>
            <w:shd w:val="clear" w:color="auto" w:fill="CCEEFF"/>
          </w:tcPr>
          <w:p>
            <w:pPr>
              <w:spacing w:after="0" w:line="15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guarantor, the subsidiary guarantors party thereto, the lenders party thereto</w:t>
              </w:r>
            </w:hyperlink>
          </w:p>
        </w:tc>
        <w:tc>
          <w:tcPr>
            <w:tcW w:w="5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and JP Morgan Chase Bank, N.A., as administrative agent and collateral</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280" w:type="dxa"/>
            <w:vAlign w:val="bottom"/>
            <w:tcBorders>
              <w:top w:val="single" w:sz="8" w:color="0000FF"/>
            </w:tcBorders>
            <w:gridSpan w:val="30"/>
            <w:shd w:val="clear" w:color="auto" w:fill="CCEEFF"/>
          </w:tcPr>
          <w:p>
            <w:pPr>
              <w:spacing w:after="0" w:line="169" w:lineRule="exact"/>
              <w:rPr>
                <w:rFonts w:ascii="Arial" w:cs="Arial" w:eastAsia="Arial" w:hAnsi="Arial"/>
                <w:sz w:val="18"/>
                <w:szCs w:val="18"/>
                <w:color w:val="0000FF"/>
              </w:rPr>
            </w:pPr>
            <w:hyperlink r:id="rId190">
              <w:r>
                <w:rPr>
                  <w:rFonts w:ascii="Arial" w:cs="Arial" w:eastAsia="Arial" w:hAnsi="Arial"/>
                  <w:sz w:val="18"/>
                  <w:szCs w:val="18"/>
                  <w:color w:val="0000FF"/>
                </w:rPr>
                <w:t>agent</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8"/>
              </w:rPr>
              <w:t>10.25</w:t>
            </w:r>
          </w:p>
        </w:tc>
        <w:tc>
          <w:tcPr>
            <w:tcW w:w="5580" w:type="dxa"/>
            <w:vAlign w:val="bottom"/>
            <w:gridSpan w:val="42"/>
          </w:tcPr>
          <w:p>
            <w:pPr>
              <w:spacing w:after="0" w:line="189"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Lender Joinder Agreement, dated as of June 30, 2022, entered into by UBS</w:t>
              </w:r>
            </w:hyperlink>
          </w:p>
        </w:tc>
        <w:tc>
          <w:tcPr>
            <w:tcW w:w="560" w:type="dxa"/>
            <w:vAlign w:val="bottom"/>
          </w:tcPr>
          <w:p>
            <w:pPr>
              <w:spacing w:after="0" w:line="189" w:lineRule="exact"/>
              <w:rPr>
                <w:sz w:val="20"/>
                <w:szCs w:val="20"/>
                <w:color w:val="auto"/>
              </w:rPr>
            </w:pPr>
            <w:r>
              <w:rPr>
                <w:rFonts w:ascii="Arial" w:cs="Arial" w:eastAsia="Arial" w:hAnsi="Arial"/>
                <w:sz w:val="18"/>
                <w:szCs w:val="18"/>
                <w:color w:val="auto"/>
              </w:rPr>
              <w:t>10-Q</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10.3</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August 15, 2022</w:t>
            </w:r>
          </w:p>
        </w:tc>
      </w:tr>
      <w:tr>
        <w:trPr>
          <w:trHeight w:val="169"/>
        </w:trPr>
        <w:tc>
          <w:tcPr>
            <w:tcW w:w="1040" w:type="dxa"/>
            <w:vAlign w:val="bottom"/>
          </w:tcPr>
          <w:p>
            <w:pPr>
              <w:spacing w:after="0"/>
              <w:rPr>
                <w:sz w:val="14"/>
                <w:szCs w:val="14"/>
                <w:color w:val="auto"/>
              </w:rPr>
            </w:pPr>
          </w:p>
        </w:tc>
        <w:tc>
          <w:tcPr>
            <w:tcW w:w="5420" w:type="dxa"/>
            <w:vAlign w:val="bottom"/>
            <w:tcBorders>
              <w:top w:val="single" w:sz="8" w:color="0000FF"/>
              <w:bottom w:val="single" w:sz="8" w:color="0000FF"/>
            </w:tcBorders>
            <w:gridSpan w:val="35"/>
          </w:tcPr>
          <w:p>
            <w:pPr>
              <w:spacing w:after="0" w:line="169"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AG, Stamford Branch, in connection with the Revolving Credit Agreement,</w:t>
              </w:r>
            </w:hyperlink>
          </w:p>
        </w:tc>
        <w:tc>
          <w:tcPr>
            <w:tcW w:w="4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5460" w:type="dxa"/>
            <w:vAlign w:val="bottom"/>
            <w:gridSpan w:val="36"/>
          </w:tcPr>
          <w:p>
            <w:pPr>
              <w:spacing w:after="0" w:line="156" w:lineRule="exact"/>
              <w:rPr>
                <w:rFonts w:ascii="Arial" w:cs="Arial" w:eastAsia="Arial" w:hAnsi="Arial"/>
                <w:sz w:val="18"/>
                <w:szCs w:val="18"/>
                <w:color w:val="0000FF"/>
                <w:w w:val="97"/>
              </w:rPr>
            </w:pPr>
            <w:hyperlink r:id="rId191">
              <w:r>
                <w:rPr>
                  <w:rFonts w:ascii="Arial" w:cs="Arial" w:eastAsia="Arial" w:hAnsi="Arial"/>
                  <w:sz w:val="18"/>
                  <w:szCs w:val="18"/>
                  <w:color w:val="0000FF"/>
                  <w:w w:val="97"/>
                </w:rPr>
                <w:t>dated, November 1, 2021, by and among Fluence Energy, LLC, as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504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borrower, Fluence Energy, Inc., as a parent guarantor, the subsidiary</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5580" w:type="dxa"/>
            <w:vAlign w:val="bottom"/>
            <w:gridSpan w:val="42"/>
          </w:tcPr>
          <w:p>
            <w:pPr>
              <w:spacing w:after="0" w:line="169" w:lineRule="exact"/>
              <w:rPr>
                <w:rFonts w:ascii="Arial" w:cs="Arial" w:eastAsia="Arial" w:hAnsi="Arial"/>
                <w:sz w:val="18"/>
                <w:szCs w:val="18"/>
                <w:color w:val="0000FF"/>
                <w:w w:val="95"/>
              </w:rPr>
            </w:pPr>
            <w:hyperlink r:id="rId191">
              <w:r>
                <w:rPr>
                  <w:rFonts w:ascii="Arial" w:cs="Arial" w:eastAsia="Arial" w:hAnsi="Arial"/>
                  <w:sz w:val="18"/>
                  <w:szCs w:val="18"/>
                  <w:color w:val="0000FF"/>
                  <w:w w:val="95"/>
                </w:rPr>
                <w:t>guarantors party thereto, the lenders party thereto and JP Morgan Chase</w:t>
              </w:r>
            </w:hyperlink>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52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Bank, N.A., as administrative agent and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1"/>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tcBorders>
              <w:bottom w:val="single" w:sz="8" w:color="CCEEFF"/>
            </w:tcBorders>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5"/>
              </w:rPr>
              <w:t>10.26*</w:t>
            </w:r>
          </w:p>
        </w:tc>
        <w:tc>
          <w:tcPr>
            <w:tcW w:w="4820" w:type="dxa"/>
            <w:vAlign w:val="bottom"/>
            <w:tcBorders>
              <w:bottom w:val="single" w:sz="8" w:color="0000FF"/>
            </w:tcBorders>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1"/>
                <w:shd w:val="clear" w:color="auto" w:fill="CCEEFF"/>
              </w:rPr>
              <w:t>Amendment No. 1, dated November 15, 2022, to Revolving Credit</w:t>
            </w:r>
          </w:p>
        </w:tc>
        <w:tc>
          <w:tcPr>
            <w:tcW w:w="32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169"/>
        </w:trPr>
        <w:tc>
          <w:tcPr>
            <w:tcW w:w="1040" w:type="dxa"/>
            <w:vAlign w:val="bottom"/>
            <w:shd w:val="clear" w:color="auto" w:fill="CCEEFF"/>
          </w:tcPr>
          <w:p>
            <w:pPr>
              <w:spacing w:after="0"/>
              <w:rPr>
                <w:sz w:val="14"/>
                <w:szCs w:val="14"/>
                <w:color w:val="auto"/>
              </w:rPr>
            </w:pPr>
          </w:p>
        </w:tc>
        <w:tc>
          <w:tcPr>
            <w:tcW w:w="5420" w:type="dxa"/>
            <w:vAlign w:val="bottom"/>
            <w:gridSpan w:val="35"/>
            <w:shd w:val="clear" w:color="auto" w:fill="CCEEFF"/>
          </w:tcPr>
          <w:p>
            <w:pPr>
              <w:spacing w:after="0" w:line="169" w:lineRule="exact"/>
              <w:rPr>
                <w:sz w:val="20"/>
                <w:szCs w:val="20"/>
                <w:color w:val="auto"/>
              </w:rPr>
            </w:pPr>
            <w:r>
              <w:rPr>
                <w:rFonts w:ascii="Arial" w:cs="Arial" w:eastAsia="Arial" w:hAnsi="Arial"/>
                <w:sz w:val="18"/>
                <w:szCs w:val="18"/>
                <w:color w:val="0000FF"/>
                <w:w w:val="90"/>
                <w:shd w:val="clear" w:color="auto" w:fill="CCEEFF"/>
              </w:rPr>
              <w:t>Agreement, dated November 1, 2021, by and among Fluence Energy, LLC</w:t>
            </w:r>
            <w:r>
              <w:rPr>
                <w:rFonts w:ascii="Arial" w:cs="Arial" w:eastAsia="Arial" w:hAnsi="Arial"/>
                <w:sz w:val="18"/>
                <w:szCs w:val="18"/>
                <w:u w:val="single" w:color="auto"/>
                <w:color w:val="0000FF"/>
                <w:w w:val="90"/>
                <w:shd w:val="clear" w:color="auto" w:fill="CCEEFF"/>
              </w:rPr>
              <w:t>,</w:t>
            </w:r>
          </w:p>
        </w:tc>
        <w:tc>
          <w:tcPr>
            <w:tcW w:w="8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76"/>
        </w:trPr>
        <w:tc>
          <w:tcPr>
            <w:tcW w:w="1040" w:type="dxa"/>
            <w:vAlign w:val="bottom"/>
            <w:shd w:val="clear" w:color="auto" w:fill="CCEEFF"/>
          </w:tcPr>
          <w:p>
            <w:pPr>
              <w:spacing w:after="0"/>
              <w:rPr>
                <w:sz w:val="15"/>
                <w:szCs w:val="15"/>
                <w:color w:val="auto"/>
              </w:rPr>
            </w:pPr>
          </w:p>
        </w:tc>
        <w:tc>
          <w:tcPr>
            <w:tcW w:w="5360" w:type="dxa"/>
            <w:vAlign w:val="bottom"/>
            <w:gridSpan w:val="32"/>
            <w:shd w:val="clear" w:color="auto" w:fill="CCEEFF"/>
          </w:tcPr>
          <w:p>
            <w:pPr>
              <w:spacing w:after="0" w:line="176" w:lineRule="exact"/>
              <w:rPr>
                <w:sz w:val="20"/>
                <w:szCs w:val="20"/>
                <w:color w:val="auto"/>
              </w:rPr>
            </w:pPr>
            <w:r>
              <w:rPr>
                <w:rFonts w:ascii="Arial" w:cs="Arial" w:eastAsia="Arial" w:hAnsi="Arial"/>
                <w:sz w:val="18"/>
                <w:szCs w:val="18"/>
                <w:color w:val="0000FF"/>
                <w:w w:val="88"/>
                <w:shd w:val="clear" w:color="auto" w:fill="CCEEFF"/>
              </w:rPr>
              <w:t>as the borrower, Fluence Energy, Inc., as a parent guarantor, the subsidiary</w:t>
            </w:r>
          </w:p>
        </w:tc>
        <w:tc>
          <w:tcPr>
            <w:tcW w:w="4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gridSpan w:val="3"/>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5200" w:type="dxa"/>
            <w:vAlign w:val="bottom"/>
            <w:tcBorders>
              <w:top w:val="single" w:sz="8" w:color="CCEEFF"/>
              <w:bottom w:val="single" w:sz="8" w:color="0000FF"/>
            </w:tcBorders>
            <w:gridSpan w:val="26"/>
            <w:shd w:val="clear" w:color="auto" w:fill="CCEEFF"/>
          </w:tcPr>
          <w:p>
            <w:pPr>
              <w:spacing w:after="0" w:line="156" w:lineRule="exact"/>
              <w:rPr>
                <w:sz w:val="20"/>
                <w:szCs w:val="20"/>
                <w:color w:val="auto"/>
              </w:rPr>
            </w:pPr>
            <w:r>
              <w:rPr>
                <w:rFonts w:ascii="Arial" w:cs="Arial" w:eastAsia="Arial" w:hAnsi="Arial"/>
                <w:sz w:val="18"/>
                <w:szCs w:val="18"/>
                <w:color w:val="0000FF"/>
                <w:w w:val="89"/>
                <w:shd w:val="clear" w:color="auto" w:fill="CCEEFF"/>
              </w:rPr>
              <w:t>guarantors party thereto, the lenders party thereto and JP Morgan Chase</w:t>
            </w:r>
          </w:p>
        </w:tc>
        <w:tc>
          <w:tcPr>
            <w:tcW w:w="2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5"/>
        </w:trPr>
        <w:tc>
          <w:tcPr>
            <w:tcW w:w="104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0000FF"/>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FF"/>
                <w:w w:val="90"/>
                <w:shd w:val="clear" w:color="auto" w:fill="CCEEFF"/>
              </w:rPr>
              <w:t>Bank, N.A., as administrative agent and collateral agent</w:t>
            </w:r>
          </w:p>
        </w:tc>
        <w:tc>
          <w:tcPr>
            <w:tcW w:w="5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189"/>
        </w:trPr>
        <w:tc>
          <w:tcPr>
            <w:tcW w:w="10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88"/>
              </w:rPr>
              <w:t>10.27</w:t>
            </w:r>
          </w:p>
        </w:tc>
        <w:tc>
          <w:tcPr>
            <w:tcW w:w="5580" w:type="dxa"/>
            <w:vAlign w:val="bottom"/>
            <w:tcBorders>
              <w:top w:val="single" w:sz="8" w:color="CCEEFF"/>
            </w:tcBorders>
            <w:gridSpan w:val="42"/>
          </w:tcPr>
          <w:p>
            <w:pPr>
              <w:spacing w:after="0" w:line="189" w:lineRule="exact"/>
              <w:rPr>
                <w:rFonts w:ascii="Arial" w:cs="Arial" w:eastAsia="Arial" w:hAnsi="Arial"/>
                <w:sz w:val="18"/>
                <w:szCs w:val="18"/>
                <w:color w:val="0000FF"/>
                <w:w w:val="96"/>
              </w:rPr>
            </w:pPr>
            <w:hyperlink r:id="rId192">
              <w:r>
                <w:rPr>
                  <w:rFonts w:ascii="Arial" w:cs="Arial" w:eastAsia="Arial" w:hAnsi="Arial"/>
                  <w:sz w:val="18"/>
                  <w:szCs w:val="18"/>
                  <w:color w:val="0000FF"/>
                  <w:w w:val="96"/>
                </w:rPr>
                <w:t>Amended and Restated Credit Support and Reimbursement Agreement,</w:t>
              </w:r>
            </w:hyperlink>
          </w:p>
        </w:tc>
        <w:tc>
          <w:tcPr>
            <w:tcW w:w="5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S-1</w:t>
            </w:r>
          </w:p>
        </w:tc>
        <w:tc>
          <w:tcPr>
            <w:tcW w:w="12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tcBorders>
              <w:top w:val="single" w:sz="8" w:color="CCEEFF"/>
            </w:tcBorders>
          </w:tcPr>
          <w:p>
            <w:pPr>
              <w:ind w:left="260"/>
              <w:spacing w:after="0" w:line="189" w:lineRule="exact"/>
              <w:rPr>
                <w:sz w:val="20"/>
                <w:szCs w:val="20"/>
                <w:color w:val="auto"/>
              </w:rPr>
            </w:pPr>
            <w:r>
              <w:rPr>
                <w:rFonts w:ascii="Arial" w:cs="Arial" w:eastAsia="Arial" w:hAnsi="Arial"/>
                <w:sz w:val="18"/>
                <w:szCs w:val="18"/>
                <w:color w:val="auto"/>
              </w:rPr>
              <w:t>10.15</w:t>
            </w:r>
          </w:p>
        </w:tc>
        <w:tc>
          <w:tcPr>
            <w:tcW w:w="202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8"/>
                <w:szCs w:val="18"/>
                <w:color w:val="auto"/>
              </w:rPr>
              <w:t>September 28, 2021</w:t>
            </w:r>
          </w:p>
        </w:tc>
      </w:tr>
      <w:tr>
        <w:trPr>
          <w:trHeight w:val="169"/>
        </w:trPr>
        <w:tc>
          <w:tcPr>
            <w:tcW w:w="1040" w:type="dxa"/>
            <w:vAlign w:val="bottom"/>
          </w:tcPr>
          <w:p>
            <w:pPr>
              <w:spacing w:after="0"/>
              <w:rPr>
                <w:sz w:val="14"/>
                <w:szCs w:val="14"/>
                <w:color w:val="auto"/>
              </w:rPr>
            </w:pPr>
          </w:p>
        </w:tc>
        <w:tc>
          <w:tcPr>
            <w:tcW w:w="5180" w:type="dxa"/>
            <w:vAlign w:val="bottom"/>
            <w:tcBorders>
              <w:top w:val="single" w:sz="8" w:color="0000FF"/>
            </w:tcBorders>
            <w:gridSpan w:val="25"/>
          </w:tcPr>
          <w:p>
            <w:pPr>
              <w:spacing w:after="0" w:line="169" w:lineRule="exact"/>
              <w:rPr>
                <w:rFonts w:ascii="Arial" w:cs="Arial" w:eastAsia="Arial" w:hAnsi="Arial"/>
                <w:sz w:val="18"/>
                <w:szCs w:val="18"/>
                <w:color w:val="0000FF"/>
                <w:w w:val="96"/>
              </w:rPr>
            </w:pPr>
            <w:hyperlink r:id="rId192">
              <w:r>
                <w:rPr>
                  <w:rFonts w:ascii="Arial" w:cs="Arial" w:eastAsia="Arial" w:hAnsi="Arial"/>
                  <w:sz w:val="18"/>
                  <w:szCs w:val="18"/>
                  <w:color w:val="0000FF"/>
                  <w:w w:val="96"/>
                </w:rPr>
                <w:t>dated June 9, 2021, by and among Fluence Energy, LLC, The AES</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48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Corporation and Siemens Industry, Inc.</w:t>
              </w:r>
            </w:hyperlink>
          </w:p>
        </w:tc>
        <w:tc>
          <w:tcPr>
            <w:tcW w:w="2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10.28</w:t>
            </w:r>
          </w:p>
        </w:tc>
        <w:tc>
          <w:tcPr>
            <w:tcW w:w="5580" w:type="dxa"/>
            <w:vAlign w:val="bottom"/>
            <w:gridSpan w:val="42"/>
            <w:shd w:val="clear" w:color="auto" w:fill="CCEEFF"/>
          </w:tcPr>
          <w:p>
            <w:pPr>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Assignment of Rights, dated April 6, 2021, by and among Siemens</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S-1</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10.16</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September 28, 2021</w:t>
            </w:r>
          </w:p>
        </w:tc>
      </w:tr>
      <w:tr>
        <w:trPr>
          <w:trHeight w:val="190"/>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3240" w:type="dxa"/>
            <w:vAlign w:val="bottom"/>
            <w:tcBorders>
              <w:top w:val="single" w:sz="8" w:color="0000FF"/>
              <w:bottom w:val="single" w:sz="8" w:color="0000FF"/>
            </w:tcBorders>
            <w:gridSpan w:val="9"/>
            <w:shd w:val="clear" w:color="auto" w:fill="CCEEFF"/>
          </w:tcPr>
          <w:p>
            <w:pPr>
              <w:spacing w:after="0" w:line="169"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Aktiengesellschaft and Fluence Energy, LLC</w:t>
              </w:r>
            </w:hyperlink>
          </w:p>
        </w:tc>
        <w:tc>
          <w:tcPr>
            <w:tcW w:w="158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3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3"/>
        </w:trPr>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88"/>
              </w:rPr>
              <w:t>10.29</w:t>
            </w:r>
          </w:p>
        </w:tc>
        <w:tc>
          <w:tcPr>
            <w:tcW w:w="5580" w:type="dxa"/>
            <w:vAlign w:val="bottom"/>
            <w:gridSpan w:val="42"/>
          </w:tcPr>
          <w:p>
            <w:pPr>
              <w:spacing w:after="0" w:line="202" w:lineRule="exact"/>
              <w:rPr>
                <w:rFonts w:ascii="Arial" w:cs="Arial" w:eastAsia="Arial" w:hAnsi="Arial"/>
                <w:sz w:val="18"/>
                <w:szCs w:val="18"/>
                <w:color w:val="0000FF"/>
                <w:w w:val="90"/>
              </w:rPr>
            </w:pPr>
            <w:hyperlink r:id="rId194">
              <w:r>
                <w:rPr>
                  <w:rFonts w:ascii="Arial" w:cs="Arial" w:eastAsia="Arial" w:hAnsi="Arial"/>
                  <w:sz w:val="18"/>
                  <w:szCs w:val="18"/>
                  <w:color w:val="0000FF"/>
                  <w:w w:val="90"/>
                </w:rPr>
                <w:t>Amended and Restated Siemens License Agreement, dated June 9, 2021, by</w:t>
              </w:r>
            </w:hyperlink>
          </w:p>
        </w:tc>
        <w:tc>
          <w:tcPr>
            <w:tcW w:w="560" w:type="dxa"/>
            <w:vAlign w:val="bottom"/>
          </w:tcPr>
          <w:p>
            <w:pPr>
              <w:spacing w:after="0" w:line="202" w:lineRule="exact"/>
              <w:rPr>
                <w:sz w:val="20"/>
                <w:szCs w:val="20"/>
                <w:color w:val="auto"/>
              </w:rPr>
            </w:pPr>
            <w:r>
              <w:rPr>
                <w:rFonts w:ascii="Arial" w:cs="Arial" w:eastAsia="Arial" w:hAnsi="Arial"/>
                <w:sz w:val="18"/>
                <w:szCs w:val="18"/>
                <w:color w:val="auto"/>
              </w:rPr>
              <w:t>S-1/A</w:t>
            </w:r>
          </w:p>
        </w:tc>
        <w:tc>
          <w:tcPr>
            <w:tcW w:w="1240" w:type="dxa"/>
            <w:vAlign w:val="bottom"/>
          </w:tcPr>
          <w:p>
            <w:pPr>
              <w:ind w:left="120"/>
              <w:spacing w:after="0" w:line="202" w:lineRule="exact"/>
              <w:rPr>
                <w:sz w:val="20"/>
                <w:szCs w:val="20"/>
                <w:color w:val="auto"/>
              </w:rPr>
            </w:pPr>
            <w:r>
              <w:rPr>
                <w:rFonts w:ascii="Arial" w:cs="Arial" w:eastAsia="Arial" w:hAnsi="Arial"/>
                <w:sz w:val="18"/>
                <w:szCs w:val="18"/>
                <w:color w:val="auto"/>
              </w:rPr>
              <w:t>333-259839</w:t>
            </w:r>
          </w:p>
        </w:tc>
        <w:tc>
          <w:tcPr>
            <w:tcW w:w="800" w:type="dxa"/>
            <w:vAlign w:val="bottom"/>
          </w:tcPr>
          <w:p>
            <w:pPr>
              <w:ind w:left="260"/>
              <w:spacing w:after="0" w:line="202" w:lineRule="exact"/>
              <w:rPr>
                <w:sz w:val="20"/>
                <w:szCs w:val="20"/>
                <w:color w:val="auto"/>
              </w:rPr>
            </w:pPr>
            <w:r>
              <w:rPr>
                <w:rFonts w:ascii="Arial" w:cs="Arial" w:eastAsia="Arial" w:hAnsi="Arial"/>
                <w:sz w:val="18"/>
                <w:szCs w:val="18"/>
                <w:color w:val="auto"/>
              </w:rPr>
              <w:t>10.17</w:t>
            </w:r>
          </w:p>
        </w:tc>
        <w:tc>
          <w:tcPr>
            <w:tcW w:w="2020" w:type="dxa"/>
            <w:vAlign w:val="bottom"/>
          </w:tcPr>
          <w:p>
            <w:pPr>
              <w:ind w:left="140"/>
              <w:spacing w:after="0" w:line="202" w:lineRule="exact"/>
              <w:rPr>
                <w:sz w:val="20"/>
                <w:szCs w:val="20"/>
                <w:color w:val="auto"/>
              </w:rPr>
            </w:pPr>
            <w:r>
              <w:rPr>
                <w:rFonts w:ascii="Arial" w:cs="Arial" w:eastAsia="Arial" w:hAnsi="Arial"/>
                <w:sz w:val="18"/>
                <w:szCs w:val="18"/>
                <w:color w:val="auto"/>
              </w:rPr>
              <w:t>October 19, 2021</w:t>
            </w:r>
          </w:p>
        </w:tc>
      </w:tr>
      <w:tr>
        <w:trPr>
          <w:trHeight w:val="169"/>
        </w:trPr>
        <w:tc>
          <w:tcPr>
            <w:tcW w:w="1040" w:type="dxa"/>
            <w:vAlign w:val="bottom"/>
          </w:tcPr>
          <w:p>
            <w:pPr>
              <w:spacing w:after="0"/>
              <w:rPr>
                <w:sz w:val="14"/>
                <w:szCs w:val="14"/>
                <w:color w:val="auto"/>
              </w:rPr>
            </w:pPr>
          </w:p>
        </w:tc>
        <w:tc>
          <w:tcPr>
            <w:tcW w:w="552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and among Fluence Energy, LLC and Siemens Aktiengesellschaft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10.30</w:t>
            </w:r>
          </w:p>
        </w:tc>
        <w:tc>
          <w:tcPr>
            <w:tcW w:w="6140" w:type="dxa"/>
            <w:vAlign w:val="bottom"/>
            <w:gridSpan w:val="43"/>
            <w:shd w:val="clear" w:color="auto" w:fill="CCEEFF"/>
          </w:tcPr>
          <w:p>
            <w:pPr>
              <w:spacing w:after="0" w:line="189" w:lineRule="exact"/>
              <w:rPr>
                <w:rFonts w:ascii="Arial" w:cs="Arial" w:eastAsia="Arial" w:hAnsi="Arial"/>
                <w:sz w:val="18"/>
                <w:szCs w:val="18"/>
                <w:color w:val="0000FF"/>
                <w:w w:val="91"/>
              </w:rPr>
            </w:pPr>
            <w:hyperlink r:id="rId195">
              <w:r>
                <w:rPr>
                  <w:rFonts w:ascii="Arial" w:cs="Arial" w:eastAsia="Arial" w:hAnsi="Arial"/>
                  <w:sz w:val="18"/>
                  <w:szCs w:val="18"/>
                  <w:color w:val="0000FF"/>
                  <w:w w:val="91"/>
                </w:rPr>
                <w:t xml:space="preserve">Amended and Restated Siemens Industry License Agreement, by and among </w:t>
              </w:r>
            </w:hyperlink>
            <w:r>
              <w:rPr>
                <w:rFonts w:ascii="Arial" w:cs="Arial" w:eastAsia="Arial" w:hAnsi="Arial"/>
                <w:sz w:val="18"/>
                <w:szCs w:val="18"/>
                <w:color w:val="000000"/>
                <w:w w:val="91"/>
              </w:rPr>
              <w:t>S-1/A</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10.18</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October 19, 2021</w:t>
            </w: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540" w:type="dxa"/>
            <w:vAlign w:val="bottom"/>
            <w:tcBorders>
              <w:top w:val="single" w:sz="8" w:color="0000FF"/>
            </w:tcBorders>
            <w:gridSpan w:val="40"/>
            <w:shd w:val="clear" w:color="auto" w:fill="CCEEFF"/>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Siemens Industry, Inc. and Fluence Energy,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8"/>
              </w:rPr>
              <w:t>10.31</w:t>
            </w:r>
          </w:p>
        </w:tc>
        <w:tc>
          <w:tcPr>
            <w:tcW w:w="5580" w:type="dxa"/>
            <w:vAlign w:val="bottom"/>
            <w:gridSpan w:val="42"/>
          </w:tcPr>
          <w:p>
            <w:pPr>
              <w:spacing w:after="0" w:line="189"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Intellectual Property Assignment, dated September 9, 2021, amongst The</w:t>
              </w:r>
            </w:hyperlink>
          </w:p>
        </w:tc>
        <w:tc>
          <w:tcPr>
            <w:tcW w:w="560" w:type="dxa"/>
            <w:vAlign w:val="bottom"/>
          </w:tcPr>
          <w:p>
            <w:pPr>
              <w:spacing w:after="0" w:line="189" w:lineRule="exact"/>
              <w:rPr>
                <w:sz w:val="20"/>
                <w:szCs w:val="20"/>
                <w:color w:val="auto"/>
              </w:rPr>
            </w:pPr>
            <w:r>
              <w:rPr>
                <w:rFonts w:ascii="Arial" w:cs="Arial" w:eastAsia="Arial" w:hAnsi="Arial"/>
                <w:sz w:val="18"/>
                <w:szCs w:val="18"/>
                <w:color w:val="auto"/>
              </w:rPr>
              <w:t>S-1/A</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10.19</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October 19, 2021</w:t>
            </w:r>
          </w:p>
        </w:tc>
      </w:tr>
      <w:tr>
        <w:trPr>
          <w:trHeight w:val="169"/>
        </w:trPr>
        <w:tc>
          <w:tcPr>
            <w:tcW w:w="1040" w:type="dxa"/>
            <w:vAlign w:val="bottom"/>
          </w:tcPr>
          <w:p>
            <w:pPr>
              <w:spacing w:after="0"/>
              <w:rPr>
                <w:sz w:val="14"/>
                <w:szCs w:val="14"/>
                <w:color w:val="auto"/>
              </w:rPr>
            </w:pPr>
          </w:p>
        </w:tc>
        <w:tc>
          <w:tcPr>
            <w:tcW w:w="53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96">
              <w:r>
                <w:rPr>
                  <w:rFonts w:ascii="Arial" w:cs="Arial" w:eastAsia="Arial" w:hAnsi="Arial"/>
                  <w:sz w:val="18"/>
                  <w:szCs w:val="18"/>
                  <w:color w:val="0000FF"/>
                </w:rPr>
                <w:t>AES Corporation and Fluence Energy, LLC</w:t>
              </w:r>
            </w:hyperlink>
          </w:p>
        </w:tc>
        <w:tc>
          <w:tcPr>
            <w:tcW w:w="10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1"/>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10.32</w:t>
            </w:r>
          </w:p>
        </w:tc>
        <w:tc>
          <w:tcPr>
            <w:tcW w:w="5580" w:type="dxa"/>
            <w:vAlign w:val="bottom"/>
            <w:gridSpan w:val="42"/>
            <w:shd w:val="clear" w:color="auto" w:fill="CCEEFF"/>
          </w:tcPr>
          <w:p>
            <w:pPr>
              <w:spacing w:after="0" w:line="189" w:lineRule="exact"/>
              <w:rPr>
                <w:rFonts w:ascii="Arial" w:cs="Arial" w:eastAsia="Arial" w:hAnsi="Arial"/>
                <w:sz w:val="18"/>
                <w:szCs w:val="18"/>
                <w:color w:val="0000FF"/>
                <w:w w:val="96"/>
              </w:rPr>
            </w:pPr>
            <w:hyperlink r:id="rId197">
              <w:r>
                <w:rPr>
                  <w:rFonts w:ascii="Arial" w:cs="Arial" w:eastAsia="Arial" w:hAnsi="Arial"/>
                  <w:sz w:val="18"/>
                  <w:szCs w:val="18"/>
                  <w:color w:val="0000FF"/>
                  <w:w w:val="96"/>
                </w:rPr>
                <w:t>License Agreement, dated September 9, 2021, by and between Fluence</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S-1/A</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10.20</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October 19, 2021</w:t>
            </w: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160" w:type="dxa"/>
            <w:vAlign w:val="bottom"/>
            <w:tcBorders>
              <w:top w:val="single" w:sz="8" w:color="0000FF"/>
            </w:tcBorders>
            <w:gridSpan w:val="24"/>
            <w:shd w:val="clear" w:color="auto" w:fill="CCEEFF"/>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Energy, LLC and The AES Corporation</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8"/>
              </w:rPr>
              <w:t>10.33</w:t>
            </w:r>
          </w:p>
        </w:tc>
        <w:tc>
          <w:tcPr>
            <w:tcW w:w="5580" w:type="dxa"/>
            <w:vAlign w:val="bottom"/>
            <w:gridSpan w:val="42"/>
          </w:tcPr>
          <w:p>
            <w:pPr>
              <w:spacing w:after="0" w:line="189" w:lineRule="exact"/>
              <w:rPr>
                <w:rFonts w:ascii="Arial" w:cs="Arial" w:eastAsia="Arial" w:hAnsi="Arial"/>
                <w:sz w:val="18"/>
                <w:szCs w:val="18"/>
                <w:color w:val="0000FF"/>
                <w:w w:val="89"/>
              </w:rPr>
            </w:pPr>
            <w:hyperlink r:id="rId198">
              <w:r>
                <w:rPr>
                  <w:rFonts w:ascii="Arial" w:cs="Arial" w:eastAsia="Arial" w:hAnsi="Arial"/>
                  <w:sz w:val="18"/>
                  <w:szCs w:val="18"/>
                  <w:color w:val="0000FF"/>
                  <w:w w:val="89"/>
                </w:rPr>
                <w:t>Amended and Restated Equipment and Services Purchase Agreement, dated</w:t>
              </w:r>
            </w:hyperlink>
          </w:p>
        </w:tc>
        <w:tc>
          <w:tcPr>
            <w:tcW w:w="560" w:type="dxa"/>
            <w:vAlign w:val="bottom"/>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10.21</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December 14, 2021</w:t>
            </w:r>
          </w:p>
        </w:tc>
      </w:tr>
      <w:tr>
        <w:trPr>
          <w:trHeight w:val="169"/>
        </w:trPr>
        <w:tc>
          <w:tcPr>
            <w:tcW w:w="104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38"/>
          </w:tcPr>
          <w:p>
            <w:pPr>
              <w:spacing w:after="0" w:line="169"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October 27, 2021, by and among Siemens Industry, Inc. and Fluence Energy,</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5560" w:type="dxa"/>
            <w:vAlign w:val="bottom"/>
            <w:gridSpan w:val="41"/>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LLC.</w:t>
              </w:r>
            </w:hyperlink>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10.34</w:t>
            </w:r>
          </w:p>
        </w:tc>
        <w:tc>
          <w:tcPr>
            <w:tcW w:w="5580" w:type="dxa"/>
            <w:vAlign w:val="bottom"/>
            <w:gridSpan w:val="42"/>
            <w:shd w:val="clear" w:color="auto" w:fill="CCEEFF"/>
          </w:tcPr>
          <w:p>
            <w:pPr>
              <w:spacing w:after="0" w:line="189" w:lineRule="exact"/>
              <w:rPr>
                <w:rFonts w:ascii="Arial" w:cs="Arial" w:eastAsia="Arial" w:hAnsi="Arial"/>
                <w:sz w:val="18"/>
                <w:szCs w:val="18"/>
                <w:color w:val="0000FF"/>
                <w:w w:val="94"/>
              </w:rPr>
            </w:pPr>
            <w:hyperlink r:id="rId199">
              <w:r>
                <w:rPr>
                  <w:rFonts w:ascii="Arial" w:cs="Arial" w:eastAsia="Arial" w:hAnsi="Arial"/>
                  <w:sz w:val="18"/>
                  <w:szCs w:val="18"/>
                  <w:color w:val="0000FF"/>
                  <w:w w:val="94"/>
                </w:rPr>
                <w:t>Amended and Restated Storage Core Frame Purchase Agreement, dated</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10.22</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December 14, 2021</w:t>
            </w: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240" w:type="dxa"/>
            <w:vAlign w:val="bottom"/>
            <w:tcBorders>
              <w:top w:val="single" w:sz="8" w:color="0000FF"/>
            </w:tcBorders>
            <w:gridSpan w:val="28"/>
            <w:shd w:val="clear" w:color="auto" w:fill="CCEEFF"/>
          </w:tcPr>
          <w:p>
            <w:pPr>
              <w:spacing w:after="0" w:line="169"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October 27, 2021, by and among AES Grid Stability, LLC and Fluence</w:t>
              </w:r>
            </w:hyperlink>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5"/>
            <w:shd w:val="clear" w:color="auto" w:fill="CCEEFF"/>
          </w:tcPr>
          <w:p>
            <w:pPr>
              <w:spacing w:after="0"/>
              <w:rPr>
                <w:sz w:val="14"/>
                <w:szCs w:val="14"/>
                <w:color w:val="auto"/>
              </w:rPr>
            </w:pPr>
          </w:p>
        </w:tc>
        <w:tc>
          <w:tcPr>
            <w:tcW w:w="180" w:type="dxa"/>
            <w:vAlign w:val="bottom"/>
            <w:tcBorders>
              <w:top w:val="single" w:sz="8" w:color="CCEEFF"/>
            </w:tcBorders>
            <w:gridSpan w:val="8"/>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176"/>
        </w:trPr>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Energy, LLC.</w:t>
              </w:r>
            </w:hyperlink>
          </w:p>
        </w:tc>
        <w:tc>
          <w:tcPr>
            <w:tcW w:w="4160" w:type="dxa"/>
            <w:vAlign w:val="bottom"/>
            <w:tcBorders>
              <w:top w:val="single" w:sz="8" w:color="0000FF"/>
              <w:bottom w:val="single" w:sz="8" w:color="CCEEFF"/>
            </w:tcBorders>
            <w:gridSpan w:val="20"/>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8"/>
              </w:rPr>
              <w:t>10.35</w:t>
            </w:r>
          </w:p>
        </w:tc>
        <w:tc>
          <w:tcPr>
            <w:tcW w:w="5260" w:type="dxa"/>
            <w:vAlign w:val="bottom"/>
            <w:tcBorders>
              <w:bottom w:val="single" w:sz="8" w:color="0000FF"/>
            </w:tcBorders>
            <w:gridSpan w:val="29"/>
          </w:tcPr>
          <w:p>
            <w:pPr>
              <w:spacing w:after="0" w:line="189" w:lineRule="exact"/>
              <w:rPr>
                <w:rFonts w:ascii="Arial" w:cs="Arial" w:eastAsia="Arial" w:hAnsi="Arial"/>
                <w:sz w:val="18"/>
                <w:szCs w:val="18"/>
                <w:color w:val="0000FF"/>
                <w:w w:val="89"/>
              </w:rPr>
            </w:pPr>
            <w:hyperlink r:id="rId200">
              <w:r>
                <w:rPr>
                  <w:rFonts w:ascii="Arial" w:cs="Arial" w:eastAsia="Arial" w:hAnsi="Arial"/>
                  <w:sz w:val="18"/>
                  <w:szCs w:val="18"/>
                  <w:color w:val="0000FF"/>
                  <w:w w:val="89"/>
                </w:rPr>
                <w:t>Amended and Restated Storage Core Frame Purchase Agreement, dated</w:t>
              </w:r>
            </w:hyperlink>
          </w:p>
        </w:tc>
        <w:tc>
          <w:tcPr>
            <w:tcW w:w="320" w:type="dxa"/>
            <w:vAlign w:val="bottom"/>
            <w:gridSpan w:val="13"/>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ind w:left="260"/>
              <w:spacing w:after="0" w:line="189" w:lineRule="exact"/>
              <w:rPr>
                <w:sz w:val="20"/>
                <w:szCs w:val="20"/>
                <w:color w:val="auto"/>
              </w:rPr>
            </w:pPr>
            <w:r>
              <w:rPr>
                <w:rFonts w:ascii="Arial" w:cs="Arial" w:eastAsia="Arial" w:hAnsi="Arial"/>
                <w:sz w:val="18"/>
                <w:szCs w:val="18"/>
                <w:color w:val="auto"/>
              </w:rPr>
              <w:t>10.23</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December 14, 2021</w:t>
            </w:r>
          </w:p>
        </w:tc>
      </w:tr>
      <w:tr>
        <w:trPr>
          <w:trHeight w:val="169"/>
        </w:trPr>
        <w:tc>
          <w:tcPr>
            <w:tcW w:w="1040" w:type="dxa"/>
            <w:vAlign w:val="bottom"/>
          </w:tcPr>
          <w:p>
            <w:pPr>
              <w:spacing w:after="0"/>
              <w:rPr>
                <w:sz w:val="14"/>
                <w:szCs w:val="14"/>
                <w:color w:val="auto"/>
              </w:rPr>
            </w:pPr>
          </w:p>
        </w:tc>
        <w:tc>
          <w:tcPr>
            <w:tcW w:w="5580" w:type="dxa"/>
            <w:vAlign w:val="bottom"/>
            <w:gridSpan w:val="42"/>
          </w:tcPr>
          <w:p>
            <w:pPr>
              <w:spacing w:after="0" w:line="169"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October 27, 2021, by and among Siemens Industry, Inc. and Fluence Energy,</w:t>
              </w:r>
            </w:hyperlink>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5560" w:type="dxa"/>
            <w:vAlign w:val="bottom"/>
            <w:tcBorders>
              <w:top w:val="single" w:sz="8" w:color="0000FF"/>
            </w:tcBorders>
            <w:gridSpan w:val="41"/>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LLC.</w:t>
              </w:r>
            </w:hyperlink>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10.36</w:t>
            </w:r>
          </w:p>
        </w:tc>
        <w:tc>
          <w:tcPr>
            <w:tcW w:w="5580" w:type="dxa"/>
            <w:vAlign w:val="bottom"/>
            <w:gridSpan w:val="42"/>
            <w:shd w:val="clear" w:color="auto" w:fill="CCEEFF"/>
          </w:tcPr>
          <w:p>
            <w:pPr>
              <w:spacing w:after="0" w:line="189" w:lineRule="exact"/>
              <w:rPr>
                <w:rFonts w:ascii="Arial" w:cs="Arial" w:eastAsia="Arial" w:hAnsi="Arial"/>
                <w:sz w:val="18"/>
                <w:szCs w:val="18"/>
                <w:color w:val="0000FF"/>
                <w:w w:val="92"/>
              </w:rPr>
            </w:pPr>
            <w:hyperlink r:id="rId201">
              <w:r>
                <w:rPr>
                  <w:rFonts w:ascii="Arial" w:cs="Arial" w:eastAsia="Arial" w:hAnsi="Arial"/>
                  <w:sz w:val="18"/>
                  <w:szCs w:val="18"/>
                  <w:color w:val="0000FF"/>
                  <w:w w:val="92"/>
                </w:rPr>
                <w:t>Amended and Restated Trademark Agreement, dated October 27, 2021, by</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10.24</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December 14, 2021</w:t>
            </w: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0000FF"/>
            </w:tcBorders>
            <w:gridSpan w:val="34"/>
            <w:shd w:val="clear" w:color="auto" w:fill="CCEEFF"/>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and among Fluence Energy, LLC and AES Grid Stability, LLC.</w:t>
              </w:r>
            </w:hyperlink>
          </w:p>
        </w:tc>
        <w:tc>
          <w:tcPr>
            <w:tcW w:w="180" w:type="dxa"/>
            <w:vAlign w:val="bottom"/>
            <w:tcBorders>
              <w:top w:val="single" w:sz="8" w:color="CCEEFF"/>
            </w:tcBorders>
            <w:gridSpan w:val="8"/>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743"/>
        </w:trPr>
        <w:tc>
          <w:tcPr>
            <w:tcW w:w="1040" w:type="dxa"/>
            <w:vAlign w:val="bottom"/>
          </w:tcPr>
          <w:p>
            <w:pPr>
              <w:spacing w:after="0"/>
              <w:rPr>
                <w:sz w:val="24"/>
                <w:szCs w:val="24"/>
                <w:color w:val="auto"/>
              </w:rPr>
            </w:pPr>
          </w:p>
        </w:tc>
        <w:tc>
          <w:tcPr>
            <w:tcW w:w="4740" w:type="dxa"/>
            <w:vAlign w:val="bottom"/>
            <w:gridSpan w:val="16"/>
          </w:tcPr>
          <w:p>
            <w:pPr>
              <w:ind w:left="4460"/>
              <w:spacing w:after="0"/>
              <w:rPr>
                <w:sz w:val="20"/>
                <w:szCs w:val="20"/>
                <w:color w:val="auto"/>
              </w:rPr>
            </w:pPr>
            <w:r>
              <w:rPr>
                <w:rFonts w:ascii="Arial" w:cs="Arial" w:eastAsia="Arial" w:hAnsi="Arial"/>
                <w:sz w:val="18"/>
                <w:szCs w:val="18"/>
                <w:color w:val="auto"/>
                <w:w w:val="86"/>
              </w:rPr>
              <w:t>113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60" w:type="dxa"/>
            <w:vAlign w:val="bottom"/>
            <w:gridSpan w:val="3"/>
          </w:tcPr>
          <w:p>
            <w:pPr>
              <w:ind w:left="9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8"/>
              </w:rPr>
              <w:t>10.37</w:t>
            </w:r>
          </w:p>
        </w:tc>
        <w:tc>
          <w:tcPr>
            <w:tcW w:w="20" w:type="dxa"/>
            <w:vAlign w:val="bottom"/>
            <w:vMerge w:val="restart"/>
          </w:tcPr>
          <w:p>
            <w:pPr>
              <w:spacing w:after="0"/>
              <w:rPr>
                <w:sz w:val="2"/>
                <w:szCs w:val="2"/>
                <w:color w:val="auto"/>
              </w:rPr>
            </w:pPr>
          </w:p>
        </w:tc>
        <w:tc>
          <w:tcPr>
            <w:tcW w:w="5360" w:type="dxa"/>
            <w:vAlign w:val="bottom"/>
            <w:gridSpan w:val="17"/>
            <w:vMerge w:val="restart"/>
          </w:tcPr>
          <w:p>
            <w:pPr>
              <w:spacing w:after="0" w:line="195" w:lineRule="exact"/>
              <w:rPr>
                <w:rFonts w:ascii="Arial" w:cs="Arial" w:eastAsia="Arial" w:hAnsi="Arial"/>
                <w:sz w:val="18"/>
                <w:szCs w:val="18"/>
                <w:color w:val="0000FF"/>
                <w:w w:val="88"/>
              </w:rPr>
            </w:pPr>
            <w:hyperlink r:id="rId204">
              <w:r>
                <w:rPr>
                  <w:rFonts w:ascii="Arial" w:cs="Arial" w:eastAsia="Arial" w:hAnsi="Arial"/>
                  <w:sz w:val="18"/>
                  <w:szCs w:val="18"/>
                  <w:color w:val="0000FF"/>
                  <w:w w:val="88"/>
                </w:rPr>
                <w:t>Amended and Restated Trademark Agreement, dated October 27, 2021, by</w:t>
              </w:r>
            </w:hyperlink>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360" w:type="dxa"/>
            <w:vAlign w:val="bottom"/>
            <w:tcBorders>
              <w:bottom w:val="single" w:sz="8" w:color="0000FF"/>
            </w:tcBorders>
            <w:gridSpan w:val="1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60" w:type="dxa"/>
            <w:vAlign w:val="bottom"/>
          </w:tcPr>
          <w:p>
            <w:pPr>
              <w:spacing w:after="0" w:line="169" w:lineRule="exact"/>
              <w:rPr>
                <w:sz w:val="20"/>
                <w:szCs w:val="20"/>
                <w:color w:val="auto"/>
              </w:rPr>
            </w:pPr>
            <w:r>
              <w:rPr>
                <w:rFonts w:ascii="Arial" w:cs="Arial" w:eastAsia="Arial" w:hAnsi="Arial"/>
                <w:sz w:val="18"/>
                <w:szCs w:val="18"/>
                <w:color w:val="auto"/>
              </w:rPr>
              <w:t>10-K</w:t>
            </w:r>
          </w:p>
        </w:tc>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001-40978</w:t>
            </w:r>
          </w:p>
        </w:tc>
        <w:tc>
          <w:tcPr>
            <w:tcW w:w="800" w:type="dxa"/>
            <w:vAlign w:val="bottom"/>
          </w:tcPr>
          <w:p>
            <w:pPr>
              <w:jc w:val="right"/>
              <w:ind w:right="50"/>
              <w:spacing w:after="0" w:line="169" w:lineRule="exact"/>
              <w:rPr>
                <w:sz w:val="20"/>
                <w:szCs w:val="20"/>
                <w:color w:val="auto"/>
              </w:rPr>
            </w:pPr>
            <w:r>
              <w:rPr>
                <w:rFonts w:ascii="Arial" w:cs="Arial" w:eastAsia="Arial" w:hAnsi="Arial"/>
                <w:sz w:val="18"/>
                <w:szCs w:val="18"/>
                <w:color w:val="auto"/>
              </w:rPr>
              <w:t>10.25</w:t>
            </w:r>
          </w:p>
        </w:tc>
        <w:tc>
          <w:tcPr>
            <w:tcW w:w="2020" w:type="dxa"/>
            <w:vAlign w:val="bottom"/>
          </w:tcPr>
          <w:p>
            <w:pPr>
              <w:ind w:left="140"/>
              <w:spacing w:after="0" w:line="169" w:lineRule="exact"/>
              <w:rPr>
                <w:sz w:val="20"/>
                <w:szCs w:val="20"/>
                <w:color w:val="auto"/>
              </w:rPr>
            </w:pPr>
            <w:r>
              <w:rPr>
                <w:rFonts w:ascii="Arial" w:cs="Arial" w:eastAsia="Arial" w:hAnsi="Arial"/>
                <w:sz w:val="18"/>
                <w:szCs w:val="18"/>
                <w:color w:val="auto"/>
              </w:rPr>
              <w:t>December 14, 2021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17"/>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and among Fluence Energy, LLC and Siemens Aktiengesellschaft</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10.38</w:t>
            </w:r>
          </w:p>
        </w:tc>
        <w:tc>
          <w:tcPr>
            <w:tcW w:w="6140" w:type="dxa"/>
            <w:vAlign w:val="bottom"/>
            <w:gridSpan w:val="23"/>
            <w:shd w:val="clear" w:color="auto" w:fill="CCEEFF"/>
          </w:tcPr>
          <w:p>
            <w:pPr>
              <w:spacing w:after="0" w:line="189"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 xml:space="preserve">Amended and Restated Master Sales Cooperation Agreement, dated October </w:t>
              </w:r>
            </w:hyperlink>
            <w:r>
              <w:rPr>
                <w:rFonts w:ascii="Arial" w:cs="Arial" w:eastAsia="Arial" w:hAnsi="Arial"/>
                <w:sz w:val="18"/>
                <w:szCs w:val="18"/>
                <w:color w:val="000000"/>
                <w:w w:val="92"/>
              </w:rPr>
              <w:t>10-K</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10.26</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December 14, 2021</w:t>
            </w: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520" w:type="dxa"/>
            <w:vAlign w:val="bottom"/>
            <w:tcBorders>
              <w:top w:val="single" w:sz="8" w:color="0000FF"/>
            </w:tcBorders>
            <w:gridSpan w:val="20"/>
            <w:shd w:val="clear" w:color="auto" w:fill="CCEEFF"/>
          </w:tcPr>
          <w:p>
            <w:pPr>
              <w:spacing w:after="0" w:line="169" w:lineRule="exact"/>
              <w:rPr>
                <w:rFonts w:ascii="Arial" w:cs="Arial" w:eastAsia="Arial" w:hAnsi="Arial"/>
                <w:sz w:val="18"/>
                <w:szCs w:val="18"/>
                <w:color w:val="0000FF"/>
                <w:w w:val="93"/>
              </w:rPr>
            </w:pPr>
            <w:hyperlink r:id="rId205">
              <w:r>
                <w:rPr>
                  <w:rFonts w:ascii="Arial" w:cs="Arial" w:eastAsia="Arial" w:hAnsi="Arial"/>
                  <w:sz w:val="18"/>
                  <w:szCs w:val="18"/>
                  <w:color w:val="0000FF"/>
                  <w:w w:val="93"/>
                </w:rPr>
                <w:t>27, 2021, by and among Fluence Energy, LLC and Siemens Industry, Inc.</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8"/>
              </w:rPr>
              <w:t>10.39</w:t>
            </w:r>
          </w:p>
        </w:tc>
        <w:tc>
          <w:tcPr>
            <w:tcW w:w="5580" w:type="dxa"/>
            <w:vAlign w:val="bottom"/>
            <w:gridSpan w:val="22"/>
          </w:tcPr>
          <w:p>
            <w:pPr>
              <w:spacing w:after="0" w:line="189"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Amended and Restated Cooperation Agreement, dated October 27, 2021, by</w:t>
              </w:r>
            </w:hyperlink>
          </w:p>
        </w:tc>
        <w:tc>
          <w:tcPr>
            <w:tcW w:w="560" w:type="dxa"/>
            <w:vAlign w:val="bottom"/>
          </w:tcPr>
          <w:p>
            <w:pPr>
              <w:spacing w:after="0" w:line="189" w:lineRule="exact"/>
              <w:rPr>
                <w:sz w:val="20"/>
                <w:szCs w:val="20"/>
                <w:color w:val="auto"/>
              </w:rPr>
            </w:pPr>
            <w:r>
              <w:rPr>
                <w:rFonts w:ascii="Arial" w:cs="Arial" w:eastAsia="Arial" w:hAnsi="Arial"/>
                <w:sz w:val="18"/>
                <w:szCs w:val="18"/>
                <w:color w:val="auto"/>
              </w:rPr>
              <w:t>10-K</w:t>
            </w:r>
          </w:p>
        </w:tc>
        <w:tc>
          <w:tcPr>
            <w:tcW w:w="1240" w:type="dxa"/>
            <w:vAlign w:val="bottom"/>
          </w:tcPr>
          <w:p>
            <w:pPr>
              <w:ind w:left="120"/>
              <w:spacing w:after="0" w:line="189" w:lineRule="exact"/>
              <w:rPr>
                <w:sz w:val="20"/>
                <w:szCs w:val="20"/>
                <w:color w:val="auto"/>
              </w:rPr>
            </w:pPr>
            <w:r>
              <w:rPr>
                <w:rFonts w:ascii="Arial" w:cs="Arial" w:eastAsia="Arial" w:hAnsi="Arial"/>
                <w:sz w:val="18"/>
                <w:szCs w:val="18"/>
                <w:color w:val="auto"/>
              </w:rPr>
              <w:t>001-40978</w:t>
            </w:r>
          </w:p>
        </w:tc>
        <w:tc>
          <w:tcPr>
            <w:tcW w:w="8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10.27</w:t>
            </w:r>
          </w:p>
        </w:tc>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December 14, 2021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5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and among Fluence Energy, LLC and The AES Corporation</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10.40</w:t>
            </w:r>
          </w:p>
        </w:tc>
        <w:tc>
          <w:tcPr>
            <w:tcW w:w="5580" w:type="dxa"/>
            <w:vAlign w:val="bottom"/>
            <w:gridSpan w:val="22"/>
            <w:shd w:val="clear" w:color="auto" w:fill="CCEEFF"/>
          </w:tcPr>
          <w:p>
            <w:pPr>
              <w:spacing w:after="0" w:line="189"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Global Paying Services Agreement between Fluence Energy, LLC as the</w:t>
              </w:r>
            </w:hyperlink>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S-1/A</w:t>
            </w:r>
          </w:p>
        </w:tc>
        <w:tc>
          <w:tcPr>
            <w:tcW w:w="12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333-259839</w:t>
            </w:r>
          </w:p>
        </w:tc>
        <w:tc>
          <w:tcPr>
            <w:tcW w:w="8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10.30</w:t>
            </w:r>
          </w:p>
        </w:tc>
        <w:tc>
          <w:tcPr>
            <w:tcW w:w="20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October 19, 2021</w:t>
            </w: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borrower, and Citibank, N.A.</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5"/>
              </w:rPr>
              <w:t>21.1*</w:t>
            </w:r>
          </w:p>
        </w:tc>
        <w:tc>
          <w:tcPr>
            <w:tcW w:w="5580" w:type="dxa"/>
            <w:vAlign w:val="bottom"/>
            <w:gridSpan w:val="22"/>
          </w:tcPr>
          <w:p>
            <w:pPr>
              <w:spacing w:after="0" w:line="189" w:lineRule="exact"/>
              <w:rPr>
                <w:sz w:val="20"/>
                <w:szCs w:val="20"/>
                <w:color w:val="auto"/>
              </w:rPr>
            </w:pPr>
            <w:r>
              <w:rPr>
                <w:rFonts w:ascii="Arial" w:cs="Arial" w:eastAsia="Arial" w:hAnsi="Arial"/>
                <w:sz w:val="18"/>
                <w:szCs w:val="18"/>
                <w:color w:val="0000FF"/>
              </w:rPr>
              <w:t>List of Subsidiaries of Fluence Energy, Inc.</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23.1*</w:t>
            </w:r>
          </w:p>
        </w:tc>
        <w:tc>
          <w:tcPr>
            <w:tcW w:w="5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Consent of Ernst &amp; Young LLP</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5"/>
              </w:rPr>
              <w:t>24.1*</w:t>
            </w:r>
          </w:p>
        </w:tc>
        <w:tc>
          <w:tcPr>
            <w:tcW w:w="5580" w:type="dxa"/>
            <w:vAlign w:val="bottom"/>
            <w:gridSpan w:val="22"/>
          </w:tcPr>
          <w:p>
            <w:pPr>
              <w:spacing w:after="0" w:line="189" w:lineRule="exact"/>
              <w:rPr>
                <w:sz w:val="20"/>
                <w:szCs w:val="20"/>
                <w:color w:val="auto"/>
              </w:rPr>
            </w:pPr>
            <w:r>
              <w:rPr>
                <w:rFonts w:ascii="Arial" w:cs="Arial" w:eastAsia="Arial" w:hAnsi="Arial"/>
                <w:sz w:val="18"/>
                <w:szCs w:val="18"/>
                <w:color w:val="0000FF"/>
              </w:rPr>
              <w:t>Powers of Attorney</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31.1*</w:t>
            </w:r>
          </w:p>
        </w:tc>
        <w:tc>
          <w:tcPr>
            <w:tcW w:w="524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the Company’s Chief Executive Officer pursuant to Rule</w:t>
            </w:r>
          </w:p>
        </w:tc>
        <w:tc>
          <w:tcPr>
            <w:tcW w:w="340" w:type="dxa"/>
            <w:vAlign w:val="bottom"/>
            <w:tcBorders>
              <w:bottom w:val="single" w:sz="8" w:color="CCEEFF"/>
            </w:tcBorders>
            <w:gridSpan w:val="9"/>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shd w:val="clear" w:color="auto" w:fill="CCEEFF"/>
          </w:tcPr>
          <w:p>
            <w:pPr>
              <w:spacing w:after="0"/>
              <w:rPr>
                <w:sz w:val="14"/>
                <w:szCs w:val="14"/>
                <w:color w:val="auto"/>
              </w:rPr>
            </w:pPr>
          </w:p>
        </w:tc>
        <w:tc>
          <w:tcPr>
            <w:tcW w:w="5580" w:type="dxa"/>
            <w:vAlign w:val="bottom"/>
            <w:gridSpan w:val="22"/>
            <w:shd w:val="clear" w:color="auto" w:fill="CCEEFF"/>
          </w:tcPr>
          <w:p>
            <w:pPr>
              <w:spacing w:after="0" w:line="169" w:lineRule="exact"/>
              <w:rPr>
                <w:sz w:val="20"/>
                <w:szCs w:val="20"/>
                <w:color w:val="auto"/>
              </w:rPr>
            </w:pPr>
            <w:r>
              <w:rPr>
                <w:rFonts w:ascii="Arial" w:cs="Arial" w:eastAsia="Arial" w:hAnsi="Arial"/>
                <w:sz w:val="18"/>
                <w:szCs w:val="18"/>
                <w:color w:val="0000FF"/>
                <w:w w:val="93"/>
              </w:rPr>
              <w:t>13a-14(a) and Rule 15d-14(a) of the Securities and Exchange Act of 1934,</w:t>
            </w: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17"/>
            <w:shd w:val="clear" w:color="auto" w:fill="CCEEFF"/>
          </w:tcPr>
          <w:p>
            <w:pPr>
              <w:spacing w:after="0" w:line="156" w:lineRule="exact"/>
              <w:rPr>
                <w:sz w:val="20"/>
                <w:szCs w:val="20"/>
                <w:color w:val="auto"/>
              </w:rPr>
            </w:pPr>
            <w:r>
              <w:rPr>
                <w:rFonts w:ascii="Arial" w:cs="Arial" w:eastAsia="Arial" w:hAnsi="Arial"/>
                <w:sz w:val="18"/>
                <w:szCs w:val="18"/>
                <w:color w:val="0000FF"/>
                <w:w w:val="91"/>
              </w:rPr>
              <w:t>as amended, pursuant to Section 302 of the Sarbanes-Oxley Act of 2002.</w:t>
            </w:r>
          </w:p>
        </w:tc>
        <w:tc>
          <w:tcPr>
            <w:tcW w:w="20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5"/>
              </w:rPr>
              <w:t>31.2*</w:t>
            </w:r>
          </w:p>
        </w:tc>
        <w:tc>
          <w:tcPr>
            <w:tcW w:w="5580" w:type="dxa"/>
            <w:vAlign w:val="bottom"/>
            <w:gridSpan w:val="22"/>
          </w:tcPr>
          <w:p>
            <w:pPr>
              <w:spacing w:after="0" w:line="189" w:lineRule="exact"/>
              <w:rPr>
                <w:sz w:val="20"/>
                <w:szCs w:val="20"/>
                <w:color w:val="auto"/>
              </w:rPr>
            </w:pPr>
            <w:r>
              <w:rPr>
                <w:rFonts w:ascii="Arial" w:cs="Arial" w:eastAsia="Arial" w:hAnsi="Arial"/>
                <w:sz w:val="18"/>
                <w:szCs w:val="18"/>
                <w:color w:val="0000FF"/>
                <w:w w:val="92"/>
              </w:rPr>
              <w:t>Certification of the Company’s Chief Financial Officer pursuant to Rule 13a-</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56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w w:val="95"/>
              </w:rPr>
              <w:t>14(a) and Rule 15d-14(a) of the Securities and Exchange Act of 1934, as</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52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3"/>
              </w:rPr>
              <w:t>amended, pursuant to Section 302 of the Sarbanes-Oxley Act of 2002.</w:t>
            </w:r>
          </w:p>
        </w:tc>
        <w:tc>
          <w:tcPr>
            <w:tcW w:w="60" w:type="dxa"/>
            <w:vAlign w:val="bottom"/>
            <w:gridSpan w:val="3"/>
          </w:tcPr>
          <w:p>
            <w:pPr>
              <w:spacing w:after="0"/>
              <w:rPr>
                <w:sz w:val="13"/>
                <w:szCs w:val="13"/>
                <w:color w:val="auto"/>
              </w:rPr>
            </w:pPr>
          </w:p>
        </w:tc>
        <w:tc>
          <w:tcPr>
            <w:tcW w:w="28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rPr>
              <w:t>32.1**</w:t>
            </w:r>
          </w:p>
        </w:tc>
        <w:tc>
          <w:tcPr>
            <w:tcW w:w="5580" w:type="dxa"/>
            <w:vAlign w:val="bottom"/>
            <w:gridSpan w:val="22"/>
            <w:shd w:val="clear" w:color="auto" w:fill="CCEEFF"/>
          </w:tcPr>
          <w:p>
            <w:pPr>
              <w:spacing w:after="0" w:line="189" w:lineRule="exact"/>
              <w:rPr>
                <w:sz w:val="20"/>
                <w:szCs w:val="20"/>
                <w:color w:val="auto"/>
              </w:rPr>
            </w:pPr>
            <w:r>
              <w:rPr>
                <w:rFonts w:ascii="Arial" w:cs="Arial" w:eastAsia="Arial" w:hAnsi="Arial"/>
                <w:sz w:val="18"/>
                <w:szCs w:val="18"/>
                <w:color w:val="0000FF"/>
              </w:rPr>
              <w:t>Certification of the Company’s Chief Executive Officer pursuant to 18</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5080" w:type="dxa"/>
            <w:vAlign w:val="bottom"/>
            <w:tcBorders>
              <w:top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w w:val="85"/>
              </w:rPr>
              <w:t>U.S.C. Section 1350, as adopted pursuant to Section 906 of the Sarbanes</w:t>
            </w:r>
          </w:p>
        </w:tc>
        <w:tc>
          <w:tcPr>
            <w:tcW w:w="500" w:type="dxa"/>
            <w:vAlign w:val="bottom"/>
            <w:tcBorders>
              <w:top w:val="single" w:sz="8" w:color="CCEEFF"/>
            </w:tcBorders>
            <w:gridSpan w:val="11"/>
            <w:shd w:val="clear" w:color="auto" w:fill="CCEEFF"/>
          </w:tcPr>
          <w:p>
            <w:pPr>
              <w:jc w:val="right"/>
              <w:ind w:right="280"/>
              <w:spacing w:after="0" w:line="169" w:lineRule="exact"/>
              <w:rPr>
                <w:sz w:val="20"/>
                <w:szCs w:val="20"/>
                <w:color w:val="auto"/>
              </w:rPr>
            </w:pPr>
            <w:r>
              <w:rPr>
                <w:rFonts w:ascii="Arial" w:cs="Arial" w:eastAsia="Arial" w:hAnsi="Arial"/>
                <w:sz w:val="18"/>
                <w:szCs w:val="18"/>
                <w:color w:val="0000FF"/>
              </w:rPr>
              <w:t>-</w:t>
            </w:r>
          </w:p>
        </w:tc>
        <w:tc>
          <w:tcPr>
            <w:tcW w:w="5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16"/>
            <w:shd w:val="clear" w:color="auto" w:fill="CCEEFF"/>
          </w:tcPr>
          <w:p>
            <w:pPr>
              <w:spacing w:after="0" w:line="156" w:lineRule="exact"/>
              <w:rPr>
                <w:sz w:val="20"/>
                <w:szCs w:val="20"/>
                <w:color w:val="auto"/>
              </w:rPr>
            </w:pPr>
            <w:r>
              <w:rPr>
                <w:rFonts w:ascii="Arial" w:cs="Arial" w:eastAsia="Arial" w:hAnsi="Arial"/>
                <w:sz w:val="18"/>
                <w:szCs w:val="18"/>
                <w:color w:val="0000FF"/>
              </w:rPr>
              <w:t>Oxley Act of 2002.</w:t>
            </w:r>
          </w:p>
        </w:tc>
        <w:tc>
          <w:tcPr>
            <w:tcW w:w="280" w:type="dxa"/>
            <w:vAlign w:val="bottom"/>
            <w:tcBorders>
              <w:top w:val="single" w:sz="8" w:color="CCEEFF"/>
            </w:tcBorders>
            <w:gridSpan w:val="6"/>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right="10"/>
              <w:spacing w:after="0" w:line="189" w:lineRule="exact"/>
              <w:rPr>
                <w:sz w:val="20"/>
                <w:szCs w:val="20"/>
                <w:color w:val="auto"/>
              </w:rPr>
            </w:pPr>
            <w:r>
              <w:rPr>
                <w:rFonts w:ascii="Arial" w:cs="Arial" w:eastAsia="Arial" w:hAnsi="Arial"/>
                <w:sz w:val="18"/>
                <w:szCs w:val="18"/>
                <w:color w:val="auto"/>
              </w:rPr>
              <w:t>32.2**</w:t>
            </w:r>
          </w:p>
        </w:tc>
        <w:tc>
          <w:tcPr>
            <w:tcW w:w="5580" w:type="dxa"/>
            <w:vAlign w:val="bottom"/>
            <w:gridSpan w:val="22"/>
          </w:tcPr>
          <w:p>
            <w:pPr>
              <w:spacing w:after="0" w:line="189" w:lineRule="exact"/>
              <w:rPr>
                <w:sz w:val="20"/>
                <w:szCs w:val="20"/>
                <w:color w:val="auto"/>
              </w:rPr>
            </w:pPr>
            <w:r>
              <w:rPr>
                <w:rFonts w:ascii="Arial" w:cs="Arial" w:eastAsia="Arial" w:hAnsi="Arial"/>
                <w:sz w:val="18"/>
                <w:szCs w:val="18"/>
                <w:color w:val="0000FF"/>
              </w:rPr>
              <w:t>Certification of the Company’s Chief Financial Officer pursuant to 18</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20" w:type="dxa"/>
            <w:vAlign w:val="bottom"/>
            <w:gridSpan w:val="9"/>
            <w:shd w:val="clear" w:color="auto" w:fill="0000FF"/>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5580" w:type="dxa"/>
            <w:vAlign w:val="bottom"/>
            <w:gridSpan w:val="22"/>
          </w:tcPr>
          <w:p>
            <w:pPr>
              <w:spacing w:after="0" w:line="169" w:lineRule="exact"/>
              <w:rPr>
                <w:sz w:val="20"/>
                <w:szCs w:val="20"/>
                <w:color w:val="auto"/>
              </w:rPr>
            </w:pPr>
            <w:r>
              <w:rPr>
                <w:rFonts w:ascii="Arial" w:cs="Arial" w:eastAsia="Arial" w:hAnsi="Arial"/>
                <w:sz w:val="18"/>
                <w:szCs w:val="18"/>
                <w:color w:val="0000FF"/>
                <w:w w:val="93"/>
              </w:rPr>
              <w:t>U.S.C. Section 1350, as adopted pursuant to Section 906 of the Sarbanes-</w:t>
            </w: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0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Oxley Act of 2002.</w:t>
            </w:r>
          </w:p>
        </w:tc>
        <w:tc>
          <w:tcPr>
            <w:tcW w:w="28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560" w:firstLine="8"/>
        <w:spacing w:after="0" w:line="281" w:lineRule="auto"/>
        <w:tabs>
          <w:tab w:leader="none" w:pos="1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or compensatory plan or arrangement. * Filed herewith.</w:t>
      </w:r>
    </w:p>
    <w:p>
      <w:pPr>
        <w:spacing w:after="0" w:line="1" w:lineRule="exact"/>
        <w:rPr>
          <w:sz w:val="20"/>
          <w:szCs w:val="20"/>
          <w:color w:val="auto"/>
        </w:rPr>
      </w:pPr>
    </w:p>
    <w:p>
      <w:pPr>
        <w:jc w:val="both"/>
        <w:ind w:right="180" w:firstLine="8"/>
        <w:spacing w:after="0" w:line="262" w:lineRule="auto"/>
        <w:tabs>
          <w:tab w:leader="none" w:pos="23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7" w:name="page118"/>
    <w:bookmarkEnd w:id="117"/>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ind w:firstLine="324"/>
        <w:spacing w:after="0" w:line="233" w:lineRule="auto"/>
        <w:rPr>
          <w:sz w:val="20"/>
          <w:szCs w:val="20"/>
          <w:color w:val="auto"/>
        </w:rPr>
      </w:pPr>
      <w:r>
        <w:rPr>
          <w:rFonts w:ascii="Arial" w:cs="Arial" w:eastAsia="Arial" w:hAnsi="Arial"/>
          <w:sz w:val="18"/>
          <w:szCs w:val="18"/>
          <w:color w:val="auto"/>
        </w:rPr>
        <w:t>Pursuant to the requirements of the Section 13 or 15 (d) of the Securities Exchange Act of 1934, the registrant has duly caused this Annual Report on Form 10-K to be signed on its behalf by the undersigned, thereunto duly authorized.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December 13, 2022</w:t>
      </w:r>
    </w:p>
    <w:p>
      <w:pPr>
        <w:spacing w:after="0" w:line="200" w:lineRule="exact"/>
        <w:rPr>
          <w:sz w:val="20"/>
          <w:szCs w:val="20"/>
          <w:color w:val="auto"/>
        </w:rPr>
      </w:pPr>
    </w:p>
    <w:p>
      <w:pPr>
        <w:spacing w:after="0" w:line="25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900"/>
        <w:spacing w:after="0"/>
        <w:tabs>
          <w:tab w:leader="none" w:pos="5400" w:val="left"/>
        </w:tabs>
        <w:rPr>
          <w:sz w:val="20"/>
          <w:szCs w:val="20"/>
          <w:color w:val="auto"/>
        </w:rPr>
      </w:pPr>
      <w:r>
        <w:rPr>
          <w:rFonts w:ascii="Arial" w:cs="Arial" w:eastAsia="Arial" w:hAnsi="Arial"/>
          <w:sz w:val="18"/>
          <w:szCs w:val="18"/>
          <w:color w:val="auto"/>
        </w:rPr>
        <w:t>By:</w:t>
        <w:tab/>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wp:posOffset>
            </wp:positionV>
            <wp:extent cx="3608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Julian Nebreda</w:t>
      </w:r>
    </w:p>
    <w:p>
      <w:pPr>
        <w:ind w:left="542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set forth opposite their names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ind w:left="104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Title</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
        </w:trPr>
        <w:tc>
          <w:tcPr>
            <w:tcW w:w="2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tcPr>
          <w:p>
            <w:pPr>
              <w:jc w:val="center"/>
              <w:spacing w:after="0" w:line="182" w:lineRule="exact"/>
              <w:rPr>
                <w:sz w:val="20"/>
                <w:szCs w:val="20"/>
                <w:color w:val="auto"/>
              </w:rPr>
            </w:pPr>
            <w:r>
              <w:rPr>
                <w:rFonts w:ascii="Arial" w:cs="Arial" w:eastAsia="Arial" w:hAnsi="Arial"/>
                <w:sz w:val="18"/>
                <w:szCs w:val="18"/>
                <w:color w:val="auto"/>
                <w:w w:val="91"/>
              </w:rPr>
              <w:t>Chief Executive Officer, President and Director</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Julian Nebreda</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94"/>
              </w:rPr>
              <w:t>(Principal Executive Officer)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Julian Nebreda</w:t>
            </w:r>
          </w:p>
        </w:tc>
        <w:tc>
          <w:tcPr>
            <w:tcW w:w="80" w:type="dxa"/>
            <w:vAlign w:val="bottom"/>
          </w:tcPr>
          <w:p>
            <w:pPr>
              <w:spacing w:after="0"/>
              <w:rPr>
                <w:sz w:val="19"/>
                <w:szCs w:val="19"/>
                <w:color w:val="auto"/>
              </w:rPr>
            </w:pPr>
          </w:p>
        </w:tc>
        <w:tc>
          <w:tcPr>
            <w:tcW w:w="4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SVP and Chief Financial Officer</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Manavendra Sial</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97"/>
              </w:rPr>
              <w:t>(Principal Financial Officer)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Manavendra Sial</w:t>
            </w:r>
          </w:p>
        </w:tc>
        <w:tc>
          <w:tcPr>
            <w:tcW w:w="80" w:type="dxa"/>
            <w:vAlign w:val="bottom"/>
          </w:tcPr>
          <w:p>
            <w:pPr>
              <w:spacing w:after="0"/>
              <w:rPr>
                <w:sz w:val="19"/>
                <w:szCs w:val="19"/>
                <w:color w:val="auto"/>
              </w:rPr>
            </w:pPr>
          </w:p>
        </w:tc>
        <w:tc>
          <w:tcPr>
            <w:tcW w:w="41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Chief Accounting Officer</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Amrita Chatterjee</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Arial" w:cs="Arial" w:eastAsia="Arial" w:hAnsi="Arial"/>
                <w:sz w:val="18"/>
                <w:szCs w:val="18"/>
                <w:i w:val="1"/>
                <w:iCs w:val="1"/>
                <w:color w:val="auto"/>
                <w:w w:val="95"/>
              </w:rPr>
              <w:t>(Principal Accounting Officer)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Amrita Chatterjee</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Herman Bulls</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Tish Mendoza</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Barbara Humpton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Emma Falck</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Axel Meier</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Christopher Shelton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Simon Smith</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Elizabeth Fessenden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80"/>
              <w:spacing w:after="0"/>
              <w:rPr>
                <w:sz w:val="20"/>
                <w:szCs w:val="20"/>
                <w:color w:val="auto"/>
              </w:rPr>
            </w:pPr>
            <w:r>
              <w:rPr>
                <w:rFonts w:ascii="Arial" w:cs="Arial" w:eastAsia="Arial" w:hAnsi="Arial"/>
                <w:sz w:val="18"/>
                <w:szCs w:val="18"/>
                <w:color w:val="auto"/>
              </w:rPr>
              <w:t>Cynthia Arnold</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Ricardo Falu</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4300" w:type="dxa"/>
            <w:vAlign w:val="bottom"/>
          </w:tcPr>
          <w:p>
            <w:pPr>
              <w:jc w:val="center"/>
              <w:spacing w:after="0"/>
              <w:rPr>
                <w:sz w:val="20"/>
                <w:szCs w:val="20"/>
                <w:color w:val="auto"/>
              </w:rPr>
            </w:pPr>
            <w:r>
              <w:rPr>
                <w:rFonts w:ascii="Arial" w:cs="Arial" w:eastAsia="Arial" w:hAnsi="Arial"/>
                <w:sz w:val="18"/>
                <w:szCs w:val="18"/>
                <w:color w:val="auto"/>
                <w:w w:val="89"/>
              </w:rPr>
              <w:t>December 13, 2022</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Harald von Heynitz</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Francis A. Fuselier</w:t>
            </w: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80" w:type="dxa"/>
            <w:vAlign w:val="bottom"/>
          </w:tcPr>
          <w:p>
            <w:pPr>
              <w:ind w:left="20"/>
              <w:spacing w:after="0" w:line="182" w:lineRule="exact"/>
              <w:rPr>
                <w:sz w:val="20"/>
                <w:szCs w:val="20"/>
                <w:color w:val="auto"/>
              </w:rPr>
            </w:pPr>
            <w:r>
              <w:rPr>
                <w:rFonts w:ascii="Arial" w:cs="Arial" w:eastAsia="Arial" w:hAnsi="Arial"/>
                <w:sz w:val="18"/>
                <w:szCs w:val="18"/>
                <w:color w:val="auto"/>
                <w:w w:val="95"/>
              </w:rPr>
              <w:t>Francis A. Fuselier, as attorney-in-</w:t>
            </w:r>
          </w:p>
        </w:tc>
        <w:tc>
          <w:tcPr>
            <w:tcW w:w="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fact</w:t>
            </w: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018"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40"/>
          </w:cols>
          <w:pgMar w:left="320" w:top="985" w:right="339" w:bottom="1018"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REGISTRATION RIGHTS AGREEMENT JOINDER</w:t>
      </w:r>
    </w:p>
    <w:p>
      <w:pPr>
        <w:spacing w:after="0" w:line="212" w:lineRule="exact"/>
        <w:rPr>
          <w:sz w:val="20"/>
          <w:szCs w:val="20"/>
          <w:color w:val="auto"/>
        </w:rPr>
      </w:pPr>
    </w:p>
    <w:p>
      <w:pPr>
        <w:jc w:val="both"/>
        <w:ind w:right="440"/>
        <w:spacing w:after="0" w:line="234" w:lineRule="auto"/>
        <w:rPr>
          <w:sz w:val="20"/>
          <w:szCs w:val="20"/>
          <w:color w:val="auto"/>
        </w:rPr>
      </w:pPr>
      <w:r>
        <w:rPr>
          <w:rFonts w:ascii="Arial" w:cs="Arial" w:eastAsia="Arial" w:hAnsi="Arial"/>
          <w:sz w:val="21"/>
          <w:szCs w:val="21"/>
          <w:color w:val="auto"/>
        </w:rPr>
        <w:t>The undersigned is executing and delivering this Joinder pursuant to the Registration Rights Agreement dated as of November 1, 2021 (as the same may hereafter be amended, the “</w:t>
      </w:r>
      <w:r>
        <w:rPr>
          <w:rFonts w:ascii="Arial" w:cs="Arial" w:eastAsia="Arial" w:hAnsi="Arial"/>
          <w:sz w:val="21"/>
          <w:szCs w:val="21"/>
          <w:b w:val="1"/>
          <w:bCs w:val="1"/>
          <w:i w:val="1"/>
          <w:iCs w:val="1"/>
          <w:color w:val="auto"/>
        </w:rPr>
        <w:t>Registration Rights Agreement</w:t>
      </w:r>
      <w:r>
        <w:rPr>
          <w:rFonts w:ascii="Arial" w:cs="Arial" w:eastAsia="Arial" w:hAnsi="Arial"/>
          <w:sz w:val="21"/>
          <w:szCs w:val="21"/>
          <w:color w:val="auto"/>
        </w:rPr>
        <w:t>”), among Fluence Energy, Inc., a Delaware corporation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and the other person named as parties therein.</w:t>
      </w:r>
    </w:p>
    <w:p>
      <w:pPr>
        <w:spacing w:after="0" w:line="185" w:lineRule="exact"/>
        <w:rPr>
          <w:sz w:val="20"/>
          <w:szCs w:val="20"/>
          <w:color w:val="auto"/>
        </w:rPr>
      </w:pPr>
    </w:p>
    <w:p>
      <w:pPr>
        <w:jc w:val="both"/>
        <w:ind w:right="420"/>
        <w:spacing w:after="0" w:line="222" w:lineRule="auto"/>
        <w:rPr>
          <w:sz w:val="20"/>
          <w:szCs w:val="20"/>
          <w:color w:val="auto"/>
        </w:rPr>
      </w:pPr>
      <w:r>
        <w:rPr>
          <w:rFonts w:ascii="Arial" w:cs="Arial" w:eastAsia="Arial" w:hAnsi="Arial"/>
          <w:sz w:val="21"/>
          <w:szCs w:val="21"/>
          <w:color w:val="auto"/>
        </w:rPr>
        <w:t>By executing and delivering this Joinder to the Corporation, and upon acceptance hereof by the Corporation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The Corporation is directed to add the address below the undersigned’s signature on this Joinder to the Schedule of Holders attached to the Registration Rights Agreement.</w:t>
      </w:r>
    </w:p>
    <w:p>
      <w:pPr>
        <w:spacing w:after="0" w:line="200" w:lineRule="exact"/>
        <w:rPr>
          <w:sz w:val="20"/>
          <w:szCs w:val="20"/>
          <w:color w:val="auto"/>
        </w:rPr>
      </w:pPr>
    </w:p>
    <w:p>
      <w:pPr>
        <w:spacing w:after="0" w:line="23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100"/>
          </w:cols>
          <w:pgMar w:left="460" w:top="104" w:right="339" w:bottom="1440" w:gutter="0" w:footer="0" w:header="0"/>
        </w:sectPr>
      </w:pPr>
    </w:p>
    <w:bookmarkStart w:id="120" w:name="page121"/>
    <w:bookmarkEnd w:id="120"/>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Accordingly, the undersigned has executed and delivered this Joinder as of the day of September 29, 2022.</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Siemens Pension – Trust e.V.</w:t>
      </w:r>
    </w:p>
    <w:p>
      <w:pPr>
        <w:spacing w:after="0" w:line="200" w:lineRule="exact"/>
        <w:rPr>
          <w:sz w:val="20"/>
          <w:szCs w:val="20"/>
          <w:color w:val="auto"/>
        </w:rPr>
      </w:pPr>
    </w:p>
    <w:p>
      <w:pPr>
        <w:spacing w:after="0" w:line="25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/s/ Peter Rathgeb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-5715</wp:posOffset>
            </wp:positionV>
            <wp:extent cx="13830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ind w:left="1520"/>
        <w:spacing w:after="0" w:line="204" w:lineRule="auto"/>
        <w:rPr>
          <w:sz w:val="20"/>
          <w:szCs w:val="20"/>
          <w:color w:val="auto"/>
        </w:rPr>
      </w:pPr>
      <w:r>
        <w:rPr>
          <w:rFonts w:ascii="Arial" w:cs="Arial" w:eastAsia="Arial" w:hAnsi="Arial"/>
          <w:sz w:val="22"/>
          <w:szCs w:val="22"/>
          <w:color w:val="auto"/>
        </w:rPr>
        <w:t>By: Peter Rathgeb</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31" w:lineRule="exact"/>
        <w:rPr>
          <w:sz w:val="20"/>
          <w:szCs w:val="20"/>
          <w:color w:val="auto"/>
        </w:rPr>
      </w:pPr>
    </w:p>
    <w:p>
      <w:pPr>
        <w:jc w:val="center"/>
        <w:ind w:right="-420"/>
        <w:spacing w:after="0"/>
        <w:rPr>
          <w:sz w:val="20"/>
          <w:szCs w:val="20"/>
          <w:color w:val="auto"/>
        </w:rPr>
      </w:pPr>
      <w:r>
        <w:rPr>
          <w:rFonts w:ascii="Arial" w:cs="Arial" w:eastAsia="Arial" w:hAnsi="Arial"/>
          <w:sz w:val="19"/>
          <w:szCs w:val="19"/>
          <w:color w:val="auto"/>
        </w:rPr>
        <w:t>/s/ Heiko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3175</wp:posOffset>
            </wp:positionV>
            <wp:extent cx="13487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ind w:left="1520"/>
        <w:spacing w:after="0" w:line="219" w:lineRule="auto"/>
        <w:rPr>
          <w:sz w:val="20"/>
          <w:szCs w:val="20"/>
          <w:color w:val="auto"/>
        </w:rPr>
      </w:pPr>
      <w:r>
        <w:rPr>
          <w:rFonts w:ascii="Arial" w:cs="Arial" w:eastAsia="Arial" w:hAnsi="Arial"/>
          <w:sz w:val="22"/>
          <w:szCs w:val="22"/>
          <w:color w:val="auto"/>
        </w:rPr>
        <w:t>By: Heiko Fischer</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4624705</wp:posOffset>
            </wp:positionV>
            <wp:extent cx="359156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3591560" cy="12001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21" w:name="page122"/>
    <w:bookmarkEnd w:id="121"/>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 as of September 29, 2022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Fluence Energy, Inc.</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By: /s/ Frank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2344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Frank Fuselier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Its: SVP,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6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Rights Agreement Joinder (SPT)</w:t>
      </w:r>
      <w:r>
        <w:rPr>
          <w:rFonts w:ascii="Arial" w:cs="Arial" w:eastAsia="Arial" w:hAnsi="Arial"/>
          <w:sz w:val="22"/>
          <w:szCs w:val="22"/>
          <w:color w:val="auto"/>
        </w:rPr>
        <w:t>]</w:t>
      </w:r>
    </w:p>
    <w:p>
      <w:pPr>
        <w:sectPr>
          <w:pgSz w:w="11900" w:h="16838" w:orient="portrait"/>
          <w:cols w:equalWidth="0" w:num="1">
            <w:col w:w="10139"/>
          </w:cols>
          <w:pgMar w:left="320" w:top="144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22"/>
          <w:szCs w:val="22"/>
          <w:u w:val="single" w:color="auto"/>
          <w:color w:val="auto"/>
        </w:rPr>
        <w:t>STOCKHOLDERS AGREEMENT JOINDER</w:t>
      </w:r>
    </w:p>
    <w:p>
      <w:pPr>
        <w:spacing w:after="0" w:line="220" w:lineRule="exact"/>
        <w:rPr>
          <w:sz w:val="20"/>
          <w:szCs w:val="20"/>
          <w:color w:val="auto"/>
        </w:rPr>
      </w:pPr>
    </w:p>
    <w:p>
      <w:pPr>
        <w:ind w:right="700" w:firstLine="648"/>
        <w:spacing w:after="0" w:line="252" w:lineRule="auto"/>
        <w:rPr>
          <w:sz w:val="20"/>
          <w:szCs w:val="20"/>
          <w:color w:val="auto"/>
        </w:rPr>
      </w:pPr>
      <w:r>
        <w:rPr>
          <w:rFonts w:ascii="Arial" w:cs="Arial" w:eastAsia="Arial" w:hAnsi="Arial"/>
          <w:sz w:val="19"/>
          <w:szCs w:val="19"/>
          <w:color w:val="auto"/>
        </w:rPr>
        <w:t>The undersigned is executing and delivering this joinder agreement (“</w:t>
      </w:r>
      <w:r>
        <w:rPr>
          <w:rFonts w:ascii="Arial" w:cs="Arial" w:eastAsia="Arial" w:hAnsi="Arial"/>
          <w:sz w:val="19"/>
          <w:szCs w:val="19"/>
          <w:u w:val="single" w:color="auto"/>
          <w:color w:val="auto"/>
        </w:rPr>
        <w:t>Joinder Agreement</w:t>
      </w:r>
      <w:r>
        <w:rPr>
          <w:rFonts w:ascii="Arial" w:cs="Arial" w:eastAsia="Arial" w:hAnsi="Arial"/>
          <w:sz w:val="19"/>
          <w:szCs w:val="19"/>
          <w:color w:val="auto"/>
        </w:rPr>
        <w:t>”) pursuant to the Stockholders Agreement, dated as of October 27, 2021, by and among Fluence Energy, Inc., a Delaware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and the other parties thereto, as amended and restated, restated, amended, supplemented or otherwise modified from time to time (the “</w:t>
      </w:r>
      <w:r>
        <w:rPr>
          <w:rFonts w:ascii="Arial" w:cs="Arial" w:eastAsia="Arial" w:hAnsi="Arial"/>
          <w:sz w:val="19"/>
          <w:szCs w:val="19"/>
          <w:u w:val="single" w:color="auto"/>
          <w:color w:val="auto"/>
        </w:rPr>
        <w:t>Stockholders Agreement</w:t>
      </w:r>
      <w:r>
        <w:rPr>
          <w:rFonts w:ascii="Arial" w:cs="Arial" w:eastAsia="Arial" w:hAnsi="Arial"/>
          <w:sz w:val="19"/>
          <w:szCs w:val="19"/>
          <w:color w:val="auto"/>
        </w:rPr>
        <w:t>”). Capitalized terms used, but not defined, in this Joinder Agreement shall have the meanings ascribed to them in the Stockholders Agreement.</w:t>
      </w:r>
    </w:p>
    <w:p>
      <w:pPr>
        <w:spacing w:after="0" w:line="176" w:lineRule="exact"/>
        <w:rPr>
          <w:sz w:val="20"/>
          <w:szCs w:val="20"/>
          <w:color w:val="auto"/>
        </w:rPr>
      </w:pPr>
    </w:p>
    <w:p>
      <w:pPr>
        <w:ind w:right="420" w:firstLine="648"/>
        <w:spacing w:after="0" w:line="252" w:lineRule="auto"/>
        <w:rPr>
          <w:sz w:val="20"/>
          <w:szCs w:val="20"/>
          <w:color w:val="auto"/>
        </w:rPr>
      </w:pPr>
      <w:r>
        <w:rPr>
          <w:rFonts w:ascii="Arial" w:cs="Arial" w:eastAsia="Arial" w:hAnsi="Arial"/>
          <w:sz w:val="19"/>
          <w:szCs w:val="19"/>
          <w:color w:val="auto"/>
        </w:rPr>
        <w:t>The undersigned hereby joins and enters into this Joinder Agreement having acquired shares of Class A Common Stock as a Permitted Transferee of Siemens AG, a party to the Stockholders Agreement. By executing and delivering to the Corporation this Joinder Agreement, the undersigned hereby agrees to become a party to the Stockholders Agreement, to succeed to all of the rights and obligations of a “Stockholder” and an “Siemens Related Party” and to be fully bound by, and subject to, all of the covenants, terms and conditions of the Stockholders Agreement as though an original party thereto.</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Accordingly, the undersigned has executed and delivered this Joinder Agreement as of the 29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September,</w:t>
      </w:r>
    </w:p>
    <w:p>
      <w:pPr>
        <w:spacing w:after="0"/>
        <w:rPr>
          <w:sz w:val="20"/>
          <w:szCs w:val="20"/>
          <w:color w:val="auto"/>
        </w:rPr>
      </w:pPr>
      <w:r>
        <w:rPr>
          <w:rFonts w:ascii="Arial" w:cs="Arial" w:eastAsia="Arial" w:hAnsi="Arial"/>
          <w:sz w:val="22"/>
          <w:szCs w:val="22"/>
          <w:color w:val="auto"/>
        </w:rPr>
        <w:t>2022.</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1140"/>
          </w:cols>
          <w:pgMar w:left="420" w:top="104" w:right="339" w:bottom="1440" w:gutter="0" w:footer="0" w:header="0"/>
        </w:sectPr>
      </w:pPr>
    </w:p>
    <w:bookmarkStart w:id="123" w:name="page124"/>
    <w:bookmarkEnd w:id="123"/>
    <w:p>
      <w:pPr>
        <w:ind w:left="3520"/>
        <w:spacing w:after="0"/>
        <w:rPr>
          <w:sz w:val="20"/>
          <w:szCs w:val="20"/>
          <w:color w:val="auto"/>
        </w:rPr>
      </w:pPr>
      <w:r>
        <w:rPr>
          <w:rFonts w:ascii="Arial" w:cs="Arial" w:eastAsia="Arial" w:hAnsi="Arial"/>
          <w:sz w:val="21"/>
          <w:szCs w:val="21"/>
          <w:b w:val="1"/>
          <w:bCs w:val="1"/>
          <w:color w:val="auto"/>
        </w:rPr>
        <w:t>SIEMENS PENSION-TRUST E.V.</w:t>
      </w:r>
    </w:p>
    <w:p>
      <w:pPr>
        <w:spacing w:after="0" w:line="200" w:lineRule="exact"/>
        <w:rPr>
          <w:sz w:val="20"/>
          <w:szCs w:val="20"/>
          <w:color w:val="auto"/>
        </w:rPr>
      </w:pPr>
    </w:p>
    <w:p>
      <w:pPr>
        <w:spacing w:after="0" w:line="245"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By: : /s/ Peter Rathgeb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-17780</wp:posOffset>
            </wp:positionV>
            <wp:extent cx="10744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Name: Peter Rathgeb</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Title: Director</w:t>
      </w:r>
    </w:p>
    <w:p>
      <w:pPr>
        <w:spacing w:after="0" w:line="229"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By: /s/ Heiko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-17780</wp:posOffset>
            </wp:positionV>
            <wp:extent cx="10744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Name: Heiko Fischer</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Agreed and Accepted as of September 29,</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2022</w:t>
      </w:r>
    </w:p>
    <w:p>
      <w:pPr>
        <w:spacing w:after="0" w:line="200"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FLUENCE ENERGY, INC.</w:t>
      </w:r>
    </w:p>
    <w:p>
      <w:pPr>
        <w:spacing w:after="0" w:line="217"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-17780</wp:posOffset>
            </wp:positionV>
            <wp:extent cx="13830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Name: Francis A. Fuselier</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19"/>
          <w:szCs w:val="19"/>
          <w:color w:val="auto"/>
        </w:rPr>
        <w:t>SVP, General Counsel &amp; Secretary</w:t>
      </w:r>
    </w:p>
    <w:p>
      <w:pPr>
        <w:sectPr>
          <w:pgSz w:w="11900" w:h="16838" w:orient="portrait"/>
          <w:cols w:equalWidth="0" w:num="1">
            <w:col w:w="9019"/>
          </w:cols>
          <w:pgMar w:left="1440" w:top="1389"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FLUENCE ENERGY, INC.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xml:space="preserve">1 | </w:t>
      </w:r>
      <w:r>
        <w:rPr>
          <w:rFonts w:ascii="Arial" w:cs="Arial" w:eastAsia="Arial" w:hAnsi="Arial"/>
          <w:sz w:val="17"/>
          <w:szCs w:val="17"/>
          <w:color w:val="7F7F7F"/>
        </w:rPr>
        <w:t>Page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|US-DOCS\136640243.2||</w:t>
      </w:r>
    </w:p>
    <w:p>
      <w:pPr>
        <w:sectPr>
          <w:pgSz w:w="11900" w:h="16838" w:orient="portrait"/>
          <w:cols w:equalWidth="0" w:num="1">
            <w:col w:w="11240"/>
          </w:cols>
          <w:pgMar w:left="320" w:top="108"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t>SECTION 1 - PURPOSE</w:t>
      </w:r>
    </w:p>
    <w:p>
      <w:pPr>
        <w:spacing w:after="0" w:line="241"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The purpose of the Fluence Annual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motivate and reward Participants’ contribution to the achievement of the Company’s annual performance goals. This Plan constitutes a sub-plan of the Fluence Energy, Inc. 2021 Incentive Award Plan (the “</w:t>
      </w:r>
      <w:r>
        <w:rPr>
          <w:rFonts w:ascii="Arial" w:cs="Arial" w:eastAsia="Arial" w:hAnsi="Arial"/>
          <w:sz w:val="16"/>
          <w:szCs w:val="16"/>
          <w:u w:val="single" w:color="auto"/>
          <w:color w:val="auto"/>
        </w:rPr>
        <w:t>Incentive Plan</w:t>
      </w:r>
      <w:r>
        <w:rPr>
          <w:rFonts w:ascii="Arial" w:cs="Arial" w:eastAsia="Arial" w:hAnsi="Arial"/>
          <w:sz w:val="16"/>
          <w:szCs w:val="16"/>
          <w:color w:val="auto"/>
        </w:rPr>
        <w:t>”) for purposes of granting Other Stock or Cash Based Awards (as defined in the Incentive Plan) to certain Participants. This Plan and all Incentive Awards shall be subject to the terms and conditions of the Incentive Plan. In case of conflict between the Plan and other summaries or descriptions of the Plan, this Plan document shall govern and, in case of conflict between the Plan and the Incentive Plan, the Incentive Plan shall govern.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DEFINITIONS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Wherever used herein, the following terms shall have the meanings set forth below, unless otherwise expressly provided. Capitalized terms not specifically defined in this Plan have the meanings given to them in the Incentive Plan.</w:t>
      </w:r>
    </w:p>
    <w:p>
      <w:pPr>
        <w:spacing w:after="0" w:line="260" w:lineRule="exact"/>
        <w:rPr>
          <w:sz w:val="20"/>
          <w:szCs w:val="20"/>
          <w:color w:val="auto"/>
        </w:rPr>
      </w:pPr>
    </w:p>
    <w:p>
      <w:pPr>
        <w:ind w:left="1460" w:right="80" w:hanging="1061"/>
        <w:spacing w:after="0" w:line="181" w:lineRule="auto"/>
        <w:tabs>
          <w:tab w:leader="none" w:pos="1460" w:val="left"/>
        </w:tabs>
        <w:numPr>
          <w:ilvl w:val="0"/>
          <w:numId w:val="59"/>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Administrator</w:t>
      </w:r>
      <w:r>
        <w:rPr>
          <w:rFonts w:ascii="Arial" w:cs="Arial" w:eastAsia="Arial" w:hAnsi="Arial"/>
          <w:sz w:val="14"/>
          <w:szCs w:val="14"/>
          <w:color w:val="auto"/>
        </w:rPr>
        <w:t xml:space="preserve">” shall have the meaning set forth in the Incentive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Participant that is an Officer, the Administrator shall in all events be the Board or the Compensation Committee.</w:t>
      </w:r>
    </w:p>
    <w:p>
      <w:pPr>
        <w:spacing w:after="0" w:line="22" w:lineRule="exact"/>
        <w:rPr>
          <w:sz w:val="20"/>
          <w:szCs w:val="20"/>
          <w:color w:val="auto"/>
        </w:rPr>
      </w:pPr>
    </w:p>
    <w:p>
      <w:pPr>
        <w:ind w:left="1460" w:hanging="1061"/>
        <w:spacing w:after="0"/>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shall mean a Participant’s annualized base salary or wage rate from the Company.</w:t>
      </w:r>
    </w:p>
    <w:p>
      <w:pPr>
        <w:spacing w:after="0" w:line="32" w:lineRule="exact"/>
        <w:rPr>
          <w:sz w:val="20"/>
          <w:szCs w:val="20"/>
          <w:color w:val="auto"/>
        </w:rPr>
      </w:pPr>
    </w:p>
    <w:p>
      <w:pPr>
        <w:ind w:left="1460" w:right="60" w:hanging="1061"/>
        <w:spacing w:after="0"/>
        <w:tabs>
          <w:tab w:leader="none" w:pos="1460" w:val="left"/>
        </w:tabs>
        <w:numPr>
          <w:ilvl w:val="0"/>
          <w:numId w:val="61"/>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Business Scorecard</w:t>
      </w:r>
      <w:r>
        <w:rPr>
          <w:rFonts w:ascii="Arial" w:cs="Arial" w:eastAsia="Arial" w:hAnsi="Arial"/>
          <w:sz w:val="14"/>
          <w:szCs w:val="14"/>
          <w:color w:val="auto"/>
        </w:rPr>
        <w:t xml:space="preserve">” shall mean the achievement of the Financial Performance Goals and/or Strategic Performance Goals, as described in </w:t>
      </w:r>
      <w:r>
        <w:rPr>
          <w:rFonts w:ascii="Arial" w:cs="Arial" w:eastAsia="Arial" w:hAnsi="Arial"/>
          <w:sz w:val="14"/>
          <w:szCs w:val="14"/>
          <w:u w:val="single" w:color="auto"/>
          <w:color w:val="auto"/>
        </w:rPr>
        <w:t>Section 4.3</w:t>
      </w:r>
      <w:r>
        <w:rPr>
          <w:rFonts w:ascii="Arial" w:cs="Arial" w:eastAsia="Arial" w:hAnsi="Arial"/>
          <w:sz w:val="14"/>
          <w:szCs w:val="14"/>
          <w:color w:val="auto"/>
        </w:rPr>
        <w:t>.</w:t>
      </w:r>
    </w:p>
    <w:p>
      <w:pPr>
        <w:spacing w:after="0" w:line="68" w:lineRule="exact"/>
        <w:rPr>
          <w:sz w:val="20"/>
          <w:szCs w:val="20"/>
          <w:color w:val="auto"/>
        </w:rPr>
      </w:pPr>
    </w:p>
    <w:p>
      <w:pPr>
        <w:ind w:left="1460" w:hanging="1061"/>
        <w:spacing w:after="0"/>
        <w:tabs>
          <w:tab w:leader="none" w:pos="1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Fluence Energy, Inc., a Delaware corporation and any Successor thereto.</w:t>
      </w:r>
    </w:p>
    <w:p>
      <w:pPr>
        <w:spacing w:after="0" w:line="32" w:lineRule="exact"/>
        <w:rPr>
          <w:sz w:val="20"/>
          <w:szCs w:val="20"/>
          <w:color w:val="auto"/>
        </w:rPr>
      </w:pPr>
    </w:p>
    <w:p>
      <w:pPr>
        <w:ind w:left="1460" w:right="80" w:hanging="1061"/>
        <w:spacing w:after="0"/>
        <w:tabs>
          <w:tab w:leader="none" w:pos="1460" w:val="left"/>
        </w:tabs>
        <w:numPr>
          <w:ilvl w:val="0"/>
          <w:numId w:val="63"/>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Compensation Committee</w:t>
      </w:r>
      <w:r>
        <w:rPr>
          <w:rFonts w:ascii="Arial" w:cs="Arial" w:eastAsia="Arial" w:hAnsi="Arial"/>
          <w:sz w:val="14"/>
          <w:szCs w:val="14"/>
          <w:color w:val="auto"/>
        </w:rPr>
        <w:t>” shall mean the Compensation Committee of the Board (or such other committee of the Board as designated by the Board).</w:t>
      </w:r>
    </w:p>
    <w:p>
      <w:pPr>
        <w:spacing w:after="0" w:line="68" w:lineRule="exact"/>
        <w:rPr>
          <w:sz w:val="20"/>
          <w:szCs w:val="20"/>
          <w:color w:val="auto"/>
        </w:rPr>
      </w:pPr>
    </w:p>
    <w:p>
      <w:pPr>
        <w:ind w:left="1460" w:hanging="1061"/>
        <w:spacing w:after="0"/>
        <w:tabs>
          <w:tab w:leader="none" w:pos="1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Earnings</w:t>
      </w:r>
      <w:r>
        <w:rPr>
          <w:rFonts w:ascii="Arial" w:cs="Arial" w:eastAsia="Arial" w:hAnsi="Arial"/>
          <w:sz w:val="16"/>
          <w:szCs w:val="16"/>
          <w:color w:val="auto"/>
        </w:rPr>
        <w:t>” shall mean the Base Salary as of September 30 of the Plan Year.</w:t>
      </w:r>
    </w:p>
    <w:p>
      <w:pPr>
        <w:spacing w:after="0" w:line="32" w:lineRule="exact"/>
        <w:rPr>
          <w:sz w:val="20"/>
          <w:szCs w:val="20"/>
          <w:color w:val="auto"/>
        </w:rPr>
      </w:pPr>
    </w:p>
    <w:p>
      <w:pPr>
        <w:ind w:left="1460" w:hanging="1061"/>
        <w:spacing w:after="0"/>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Performance Goals</w:t>
      </w:r>
      <w:r>
        <w:rPr>
          <w:rFonts w:ascii="Arial" w:cs="Arial" w:eastAsia="Arial" w:hAnsi="Arial"/>
          <w:sz w:val="16"/>
          <w:szCs w:val="16"/>
          <w:color w:val="auto"/>
        </w:rPr>
        <w:t xml:space="preserve">” shall have the meaning as ascribed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32" w:lineRule="exact"/>
        <w:rPr>
          <w:sz w:val="20"/>
          <w:szCs w:val="20"/>
          <w:color w:val="auto"/>
        </w:rPr>
      </w:pPr>
    </w:p>
    <w:p>
      <w:pPr>
        <w:ind w:left="1460" w:right="80" w:hanging="1061"/>
        <w:spacing w:after="0" w:line="181" w:lineRule="auto"/>
        <w:tabs>
          <w:tab w:leader="none" w:pos="1460" w:val="left"/>
        </w:tabs>
        <w:numPr>
          <w:ilvl w:val="0"/>
          <w:numId w:val="66"/>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Incentive Award</w:t>
      </w:r>
      <w:r>
        <w:rPr>
          <w:rFonts w:ascii="Arial" w:cs="Arial" w:eastAsia="Arial" w:hAnsi="Arial"/>
          <w:sz w:val="14"/>
          <w:szCs w:val="14"/>
          <w:color w:val="auto"/>
        </w:rPr>
        <w:t>” shall mean the cash award earned by a Participant based on the achievement of the Business Scorecard results and achievement of the Participant’s Individual Performance Objectives, as applicable, and as calculated in accordance with the Plan.</w:t>
      </w:r>
    </w:p>
    <w:p>
      <w:pPr>
        <w:spacing w:after="0" w:line="22" w:lineRule="exact"/>
        <w:rPr>
          <w:sz w:val="20"/>
          <w:szCs w:val="20"/>
          <w:color w:val="auto"/>
        </w:rPr>
      </w:pPr>
    </w:p>
    <w:p>
      <w:pPr>
        <w:ind w:left="1460" w:hanging="1061"/>
        <w:spacing w:after="0"/>
        <w:tabs>
          <w:tab w:leader="none" w:pos="1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Individual Performance Objectives</w:t>
      </w:r>
      <w:r>
        <w:rPr>
          <w:rFonts w:ascii="Arial" w:cs="Arial" w:eastAsia="Arial" w:hAnsi="Arial"/>
          <w:sz w:val="16"/>
          <w:szCs w:val="16"/>
          <w:color w:val="auto"/>
        </w:rPr>
        <w:t xml:space="preserve">” shall have the meaning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w:t>
      </w:r>
    </w:p>
    <w:p>
      <w:pPr>
        <w:spacing w:after="0" w:line="32" w:lineRule="exact"/>
        <w:rPr>
          <w:sz w:val="20"/>
          <w:szCs w:val="20"/>
          <w:color w:val="auto"/>
        </w:rPr>
      </w:pPr>
    </w:p>
    <w:p>
      <w:pPr>
        <w:ind w:left="1460" w:right="80" w:hanging="1061"/>
        <w:spacing w:after="0" w:line="181" w:lineRule="auto"/>
        <w:tabs>
          <w:tab w:leader="none" w:pos="1460" w:val="left"/>
        </w:tabs>
        <w:numPr>
          <w:ilvl w:val="0"/>
          <w:numId w:val="68"/>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Officer</w:t>
      </w:r>
      <w:r>
        <w:rPr>
          <w:rFonts w:ascii="Arial" w:cs="Arial" w:eastAsia="Arial" w:hAnsi="Arial"/>
          <w:sz w:val="14"/>
          <w:szCs w:val="14"/>
          <w:color w:val="auto"/>
        </w:rPr>
        <w:t>” shall mean the Chief Executive Officer and any other officers who report to the Board or the Chief Executive Officer or otherwise serving as the executive leadership team of the Company, as determined by the Board.</w:t>
      </w:r>
    </w:p>
    <w:p>
      <w:pPr>
        <w:spacing w:after="0" w:line="22" w:lineRule="exact"/>
        <w:rPr>
          <w:sz w:val="20"/>
          <w:szCs w:val="20"/>
          <w:color w:val="auto"/>
        </w:rPr>
      </w:pPr>
    </w:p>
    <w:p>
      <w:pPr>
        <w:ind w:left="1460" w:right="80" w:hanging="1061"/>
        <w:spacing w:after="0"/>
        <w:tabs>
          <w:tab w:leader="none" w:pos="1460" w:val="left"/>
        </w:tabs>
        <w:numPr>
          <w:ilvl w:val="0"/>
          <w:numId w:val="69"/>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shall mean an Employee who is in a position that satisfies the defined eligibility criteria for participation in the Plan as stated in </w:t>
      </w:r>
      <w:r>
        <w:rPr>
          <w:rFonts w:ascii="Arial" w:cs="Arial" w:eastAsia="Arial" w:hAnsi="Arial"/>
          <w:sz w:val="14"/>
          <w:szCs w:val="14"/>
          <w:u w:val="single" w:color="auto"/>
          <w:color w:val="auto"/>
        </w:rPr>
        <w:t>Section 3</w:t>
      </w:r>
      <w:r>
        <w:rPr>
          <w:rFonts w:ascii="Arial" w:cs="Arial" w:eastAsia="Arial" w:hAnsi="Arial"/>
          <w:sz w:val="14"/>
          <w:szCs w:val="14"/>
          <w:color w:val="auto"/>
        </w:rPr>
        <w:t>.</w:t>
      </w:r>
    </w:p>
    <w:p>
      <w:pPr>
        <w:spacing w:after="0" w:line="68" w:lineRule="exact"/>
        <w:rPr>
          <w:sz w:val="20"/>
          <w:szCs w:val="20"/>
          <w:color w:val="auto"/>
        </w:rPr>
      </w:pPr>
    </w:p>
    <w:p>
      <w:pPr>
        <w:ind w:left="1460" w:right="80" w:hanging="1061"/>
        <w:spacing w:after="0" w:line="181" w:lineRule="auto"/>
        <w:tabs>
          <w:tab w:leader="none" w:pos="1460" w:val="left"/>
        </w:tabs>
        <w:numPr>
          <w:ilvl w:val="0"/>
          <w:numId w:val="70"/>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Plan Year</w:t>
      </w:r>
      <w:r>
        <w:rPr>
          <w:rFonts w:ascii="Arial" w:cs="Arial" w:eastAsia="Arial" w:hAnsi="Arial"/>
          <w:sz w:val="14"/>
          <w:szCs w:val="14"/>
          <w:color w:val="auto"/>
        </w:rPr>
        <w:t>” shall mean the fiscal year of the Company that extends from October 1 through September 30, as designated by the Committee from time to time.</w:t>
      </w:r>
    </w:p>
    <w:p>
      <w:pPr>
        <w:spacing w:after="0" w:line="22" w:lineRule="exact"/>
        <w:rPr>
          <w:sz w:val="20"/>
          <w:szCs w:val="20"/>
          <w:color w:val="auto"/>
        </w:rPr>
      </w:pPr>
    </w:p>
    <w:p>
      <w:pPr>
        <w:ind w:left="1460" w:right="80" w:hanging="1061"/>
        <w:spacing w:after="0" w:line="181" w:lineRule="auto"/>
        <w:tabs>
          <w:tab w:leader="none" w:pos="1460" w:val="left"/>
        </w:tabs>
        <w:numPr>
          <w:ilvl w:val="0"/>
          <w:numId w:val="71"/>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Retirement</w:t>
      </w:r>
      <w:r>
        <w:rPr>
          <w:rFonts w:ascii="Arial" w:cs="Arial" w:eastAsia="Arial" w:hAnsi="Arial"/>
          <w:sz w:val="14"/>
          <w:szCs w:val="14"/>
          <w:color w:val="auto"/>
        </w:rPr>
        <w:t>” shall mean that a Participant is (i) age 55 or older with 10 or more years of service, (ii) age 60 or older with 5 or more years of service, or (iii) age 65 or older on his or her date of termination.</w:t>
      </w:r>
    </w:p>
    <w:p>
      <w:pPr>
        <w:spacing w:after="0" w:line="22" w:lineRule="exact"/>
        <w:rPr>
          <w:sz w:val="20"/>
          <w:szCs w:val="20"/>
          <w:color w:val="auto"/>
        </w:rPr>
      </w:pPr>
    </w:p>
    <w:p>
      <w:pPr>
        <w:ind w:left="1460" w:hanging="1061"/>
        <w:spacing w:after="0"/>
        <w:tabs>
          <w:tab w:leader="none" w:pos="1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Strategic Performance Goals</w:t>
      </w:r>
      <w:r>
        <w:rPr>
          <w:rFonts w:ascii="Arial" w:cs="Arial" w:eastAsia="Arial" w:hAnsi="Arial"/>
          <w:sz w:val="16"/>
          <w:szCs w:val="16"/>
          <w:color w:val="auto"/>
        </w:rPr>
        <w:t xml:space="preserve">” shall have the meaning as ascribed in </w:t>
      </w:r>
      <w:r>
        <w:rPr>
          <w:rFonts w:ascii="Arial" w:cs="Arial" w:eastAsia="Arial" w:hAnsi="Arial"/>
          <w:sz w:val="16"/>
          <w:szCs w:val="16"/>
          <w:u w:val="single" w:color="auto"/>
          <w:color w:val="auto"/>
        </w:rPr>
        <w:t>Section 4.3</w:t>
      </w:r>
    </w:p>
    <w:p>
      <w:pPr>
        <w:spacing w:after="0" w:line="32" w:lineRule="exact"/>
        <w:rPr>
          <w:sz w:val="20"/>
          <w:szCs w:val="20"/>
          <w:color w:val="auto"/>
        </w:rPr>
      </w:pPr>
    </w:p>
    <w:p>
      <w:pPr>
        <w:ind w:left="1460" w:right="80" w:hanging="1061"/>
        <w:spacing w:after="0" w:line="181" w:lineRule="auto"/>
        <w:tabs>
          <w:tab w:leader="none" w:pos="1460" w:val="left"/>
        </w:tabs>
        <w:numPr>
          <w:ilvl w:val="0"/>
          <w:numId w:val="73"/>
        </w:numPr>
        <w:rPr>
          <w:rFonts w:ascii="Arial" w:cs="Arial" w:eastAsia="Arial" w:hAnsi="Arial"/>
          <w:sz w:val="27"/>
          <w:szCs w:val="27"/>
          <w:color w:val="auto"/>
          <w:vertAlign w:val="subscript"/>
        </w:rPr>
      </w:pPr>
      <w:r>
        <w:rPr>
          <w:rFonts w:ascii="Arial" w:cs="Arial" w:eastAsia="Arial" w:hAnsi="Arial"/>
          <w:sz w:val="14"/>
          <w:szCs w:val="14"/>
          <w:color w:val="auto"/>
        </w:rPr>
        <w:t>“</w:t>
      </w:r>
      <w:r>
        <w:rPr>
          <w:rFonts w:ascii="Arial" w:cs="Arial" w:eastAsia="Arial" w:hAnsi="Arial"/>
          <w:sz w:val="14"/>
          <w:szCs w:val="14"/>
          <w:u w:val="single" w:color="auto"/>
          <w:color w:val="auto"/>
        </w:rPr>
        <w:t>Successor</w:t>
      </w:r>
      <w:r>
        <w:rPr>
          <w:rFonts w:ascii="Arial" w:cs="Arial" w:eastAsia="Arial" w:hAnsi="Arial"/>
          <w:sz w:val="14"/>
          <w:szCs w:val="14"/>
          <w:color w:val="auto"/>
        </w:rPr>
        <w:t>” shall mean any successor to the Company, whether as the result of amalgamation, merger, consolidation, direct or indirect purchase, of all or substantially all the business and/or assets of the Company, or otherwise.</w:t>
      </w:r>
    </w:p>
    <w:p>
      <w:pPr>
        <w:spacing w:after="0" w:line="22" w:lineRule="exact"/>
        <w:rPr>
          <w:sz w:val="20"/>
          <w:szCs w:val="20"/>
          <w:color w:val="auto"/>
        </w:rPr>
      </w:pPr>
    </w:p>
    <w:p>
      <w:pPr>
        <w:ind w:left="1460" w:hanging="1061"/>
        <w:spacing w:after="0"/>
        <w:tabs>
          <w:tab w:leader="none" w:pos="1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Incentive Percentage</w:t>
      </w:r>
      <w:r>
        <w:rPr>
          <w:rFonts w:ascii="Arial" w:cs="Arial" w:eastAsia="Arial" w:hAnsi="Arial"/>
          <w:sz w:val="16"/>
          <w:szCs w:val="16"/>
          <w:color w:val="auto"/>
        </w:rPr>
        <w:t>” shall mean the fixed percentage of a Participant’s Eligible Earnings determined by Administrator.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ELIGIBILITY AND PARTICIPATION</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Eligibility Criteria for Participation:</w:t>
      </w:r>
      <w:r>
        <w:rPr>
          <w:rFonts w:ascii="Arial" w:cs="Arial" w:eastAsia="Arial" w:hAnsi="Arial"/>
          <w:sz w:val="16"/>
          <w:szCs w:val="16"/>
          <w:color w:val="auto"/>
        </w:rPr>
        <w:t xml:space="preserve"> All Employees may generally be eligible to participate in the Plan, subject to approval by the Administrator. The Administrator will determine which Employees will be eligible to participate as Participants in the Plan and the terms and conditions for such eligibility. Without limiting the foregoing, Employees participating in a sales incentive, commission arrangement, or any other incentive program may be excluded as Participants in the Plan, as determined by the Administrator.</w:t>
      </w:r>
    </w:p>
    <w:p>
      <w:pPr>
        <w:spacing w:after="0" w:line="195"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i w:val="1"/>
          <w:iCs w:val="1"/>
          <w:color w:val="auto"/>
        </w:rPr>
        <w:t xml:space="preserve">Participation: </w:t>
      </w:r>
      <w:r>
        <w:rPr>
          <w:rFonts w:ascii="Arial" w:cs="Arial" w:eastAsia="Arial" w:hAnsi="Arial"/>
          <w:sz w:val="16"/>
          <w:szCs w:val="16"/>
          <w:color w:val="auto"/>
        </w:rPr>
        <w:t>Participants in the Plan and the related Incentive Awards shall be approved by the Administrator.</w:t>
      </w:r>
    </w:p>
    <w:p>
      <w:pPr>
        <w:spacing w:after="0" w:line="22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Partial Plan Year Participation:</w:t>
      </w:r>
      <w:r>
        <w:rPr>
          <w:rFonts w:ascii="Arial" w:cs="Arial" w:eastAsia="Arial" w:hAnsi="Arial"/>
          <w:sz w:val="16"/>
          <w:szCs w:val="16"/>
          <w:color w:val="auto"/>
        </w:rPr>
        <w:t xml:space="preserve"> An Employee who becomes a Participant during the Plan Year either as a new hire, a rehire, or an internal job change that qualifies the Employee as a Participant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who has a hire date, a rehire date, or a job effective date prior to July 1 of the Plan Year may be eligible for partial plan year participation, as determined by the Administrator. In any such case, for purposes of calculating any Incentive Award, any such Incentive Award shall be pro-rated (based on the number of days employed during the applicable Plan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xml:space="preserve">2 | </w:t>
      </w:r>
      <w:r>
        <w:rPr>
          <w:rFonts w:ascii="Arial" w:cs="Arial" w:eastAsia="Arial" w:hAnsi="Arial"/>
          <w:sz w:val="17"/>
          <w:szCs w:val="17"/>
          <w:color w:val="7F7F7F"/>
        </w:rPr>
        <w:t>Page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|US-DOCS\136640243.2||</w:t>
      </w:r>
    </w:p>
    <w:p>
      <w:pPr>
        <w:sectPr>
          <w:pgSz w:w="11900" w:h="16838" w:orient="portrait"/>
          <w:cols w:equalWidth="0" w:num="1">
            <w:col w:w="11240"/>
          </w:cols>
          <w:pgMar w:left="320" w:top="1080" w:right="339" w:bottom="1440" w:gutter="0" w:footer="0" w:header="0"/>
        </w:sectPr>
      </w:pPr>
    </w:p>
    <w:bookmarkStart w:id="126" w:name="page127"/>
    <w:bookmarkEnd w:id="126"/>
    <w:p>
      <w:pPr>
        <w:jc w:val="both"/>
        <w:spacing w:after="0" w:line="23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Changes in Plan Assignment and/or Target Incentive Percentage:</w:t>
      </w:r>
      <w:r>
        <w:rPr>
          <w:rFonts w:ascii="Arial" w:cs="Arial" w:eastAsia="Arial" w:hAnsi="Arial"/>
          <w:sz w:val="16"/>
          <w:szCs w:val="16"/>
          <w:color w:val="auto"/>
        </w:rPr>
        <w:t xml:space="preserve"> Except as otherwise determined by the Administrator, if a Participant experiences a change in his or her position assignment or Eligible Earnings during the Plan Year, such Participant will be eligible to receive an Incentive Award based on his or her Target Incentive Percentage and Eligible Earnings in effect as of September 30 of the Plan Year.</w:t>
      </w:r>
    </w:p>
    <w:p>
      <w:pPr>
        <w:spacing w:after="0" w:line="19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Leave of Absence:</w:t>
      </w:r>
      <w:r>
        <w:rPr>
          <w:rFonts w:ascii="Arial" w:cs="Arial" w:eastAsia="Arial" w:hAnsi="Arial"/>
          <w:sz w:val="16"/>
          <w:szCs w:val="16"/>
          <w:color w:val="auto"/>
        </w:rPr>
        <w:t xml:space="preserve"> Unless otherwise determined by the Administrator, any Participant on any approved leave of absence during the applicable Plan Year shall be eligible for an Incentive Award calculated on a pro-rated basis, unless otherwise required by local law, payable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The Administrator will determine, in its sole discretion, the effect of all matters and questions relating to all leaves of absence from the Company, including whether such Participant is entitled to full payment or a pro-rated payment of the Incentive Award.</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No Right to Participation:</w:t>
      </w:r>
      <w:r>
        <w:rPr>
          <w:rFonts w:ascii="Arial" w:cs="Arial" w:eastAsia="Arial" w:hAnsi="Arial"/>
          <w:sz w:val="16"/>
          <w:szCs w:val="16"/>
          <w:color w:val="auto"/>
        </w:rPr>
        <w:t xml:space="preserve"> Participation by an Employee in the Plan in any prior Plan Year does not provide a right or entitlement to be selected as a Participant in the then-current Plan Year or any future period, unless determined by the Administrator.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 INCENTIVE AWARD DETERMINATION</w:t>
      </w:r>
    </w:p>
    <w:p>
      <w:pPr>
        <w:spacing w:after="0" w:line="22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Eligibility for Incentive Award:</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Sections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to be eligible to receive an Incentive Award, a Participant must be actively employed continuously in good standing by the Company or one of its Subsidiaries through the entire Plan Year (or partial Plan Year,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and the payment date of the Incentive Award.</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Payment of the Incentive Award</w:t>
      </w:r>
      <w:r>
        <w:rPr>
          <w:rFonts w:ascii="Arial" w:cs="Arial" w:eastAsia="Arial" w:hAnsi="Arial"/>
          <w:sz w:val="16"/>
          <w:szCs w:val="16"/>
          <w:color w:val="auto"/>
        </w:rPr>
        <w:t>. The amount of the Incentive Award for a Participant in a Plan Year will be based on the aggregate achievement of the Business Scorecard results and achievement of the Participant’s Individual Performance Objectives, as applicable, and as calculated in accordance with the Plan.</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Business Scorecard</w:t>
      </w:r>
      <w:r>
        <w:rPr>
          <w:rFonts w:ascii="Arial" w:cs="Arial" w:eastAsia="Arial" w:hAnsi="Arial"/>
          <w:sz w:val="16"/>
          <w:szCs w:val="16"/>
          <w:color w:val="auto"/>
        </w:rPr>
        <w:t>. All or a portion of the Incentive Award will be based on the aggregate achievement of the Business Scorecard. The Board or Compensation Committee will certify the achievement of the Business Scorecard within a reasonable period following the close of the applicable Plan Year. Unless otherwise determined by the Board or Compensation Committee:</w:t>
      </w:r>
    </w:p>
    <w:p>
      <w:pPr>
        <w:spacing w:after="0" w:line="195" w:lineRule="exact"/>
        <w:rPr>
          <w:sz w:val="20"/>
          <w:szCs w:val="20"/>
          <w:color w:val="auto"/>
        </w:rPr>
      </w:pPr>
    </w:p>
    <w:p>
      <w:pPr>
        <w:jc w:val="both"/>
        <w:ind w:left="660"/>
        <w:spacing w:after="0" w:line="218"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i w:val="1"/>
          <w:iCs w:val="1"/>
          <w:color w:val="auto"/>
        </w:rPr>
        <w:t>Financial Performance Goals:</w:t>
      </w:r>
      <w:r>
        <w:rPr>
          <w:rFonts w:ascii="Arial" w:cs="Arial" w:eastAsia="Arial" w:hAnsi="Arial"/>
          <w:sz w:val="16"/>
          <w:szCs w:val="16"/>
          <w:color w:val="auto"/>
        </w:rPr>
        <w:t xml:space="preserve"> A portion of the Business Scorecard may be based on the achievement of certain financial Performance Criteria, which will be determined by the Board or Compensation Committee (the </w:t>
      </w:r>
      <w:r>
        <w:rPr>
          <w:rFonts w:ascii="Arial" w:cs="Arial" w:eastAsia="Arial" w:hAnsi="Arial"/>
          <w:sz w:val="16"/>
          <w:szCs w:val="16"/>
          <w:u w:val="single" w:color="auto"/>
          <w:color w:val="auto"/>
        </w:rPr>
        <w:t>“Financial Performance Goals</w:t>
      </w:r>
      <w:r>
        <w:rPr>
          <w:rFonts w:ascii="Arial" w:cs="Arial" w:eastAsia="Arial" w:hAnsi="Arial"/>
          <w:sz w:val="16"/>
          <w:szCs w:val="16"/>
          <w:color w:val="auto"/>
        </w:rPr>
        <w:t>”). Each Financial Performance Goal may be assigned a weight and may be measured separately from any other Financial Performance Goals. Each Financial Performance Goal will contain the target achievement level (the “</w:t>
      </w:r>
      <w:r>
        <w:rPr>
          <w:rFonts w:ascii="Arial" w:cs="Arial" w:eastAsia="Arial" w:hAnsi="Arial"/>
          <w:sz w:val="16"/>
          <w:szCs w:val="16"/>
          <w:u w:val="single" w:color="auto"/>
          <w:color w:val="auto"/>
        </w:rPr>
        <w:t>Financial Performance Goal Target</w:t>
      </w:r>
      <w:r>
        <w:rPr>
          <w:rFonts w:ascii="Arial" w:cs="Arial" w:eastAsia="Arial" w:hAnsi="Arial"/>
          <w:sz w:val="16"/>
          <w:szCs w:val="16"/>
          <w:color w:val="auto"/>
        </w:rPr>
        <w:t>”) required to earn 100% of the portion of the Incentive Award that is based on such Financial Performance Goal. The Incentive Award payout percentages for each of the respective Financial Performance Goals will contain the minimum or threshold, the Financial Performance Goal Target, and the maximum payout opportunity as determined by the Board or Compensation Committee. Interpolation is used to calculate the payout levels between each payout percentage. Financial Performance Goals are typically measured on an annual basis but may be measured more or less frequently as determined by the Board or Compensation Committee. The weight of each Financial Performance Goal does not need to be the same for each Participant or for each Plan Year.</w:t>
      </w:r>
    </w:p>
    <w:p>
      <w:pPr>
        <w:spacing w:after="0" w:line="62" w:lineRule="exact"/>
        <w:rPr>
          <w:sz w:val="20"/>
          <w:szCs w:val="20"/>
          <w:color w:val="auto"/>
        </w:rPr>
      </w:pPr>
    </w:p>
    <w:p>
      <w:pPr>
        <w:jc w:val="both"/>
        <w:ind w:left="660"/>
        <w:spacing w:after="0"/>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i w:val="1"/>
          <w:iCs w:val="1"/>
          <w:color w:val="auto"/>
        </w:rPr>
        <w:t>Strategic Performance Goals:</w:t>
      </w:r>
      <w:r>
        <w:rPr>
          <w:rFonts w:ascii="Arial" w:cs="Arial" w:eastAsia="Arial" w:hAnsi="Arial"/>
          <w:sz w:val="16"/>
          <w:szCs w:val="16"/>
          <w:color w:val="auto"/>
        </w:rPr>
        <w:t xml:space="preserve"> A portion of the Business Scorecard may be based on the achievement of certain strategic Performance Criteria (“</w:t>
      </w:r>
      <w:r>
        <w:rPr>
          <w:rFonts w:ascii="Arial" w:cs="Arial" w:eastAsia="Arial" w:hAnsi="Arial"/>
          <w:sz w:val="16"/>
          <w:szCs w:val="16"/>
          <w:u w:val="single" w:color="auto"/>
          <w:color w:val="auto"/>
        </w:rPr>
        <w:t>Strategic Performance Goals</w:t>
      </w:r>
      <w:r>
        <w:rPr>
          <w:rFonts w:ascii="Arial" w:cs="Arial" w:eastAsia="Arial" w:hAnsi="Arial"/>
          <w:sz w:val="16"/>
          <w:szCs w:val="16"/>
          <w:color w:val="auto"/>
        </w:rPr>
        <w:t>”), as determined by the Board or Compensation Committee. Each Strategic Performance Goal is assigned a weight and is measured separate from the other Strategic Performance Goals. Each Strategic Performance Goal will contain the target achievement level (the “</w:t>
      </w:r>
      <w:r>
        <w:rPr>
          <w:rFonts w:ascii="Arial" w:cs="Arial" w:eastAsia="Arial" w:hAnsi="Arial"/>
          <w:sz w:val="16"/>
          <w:szCs w:val="16"/>
          <w:u w:val="single" w:color="auto"/>
          <w:color w:val="auto"/>
        </w:rPr>
        <w:t>Strategic Performance Goal Target</w:t>
      </w:r>
      <w:r>
        <w:rPr>
          <w:rFonts w:ascii="Arial" w:cs="Arial" w:eastAsia="Arial" w:hAnsi="Arial"/>
          <w:sz w:val="16"/>
          <w:szCs w:val="16"/>
          <w:color w:val="auto"/>
        </w:rPr>
        <w:t>”) required to earn 100% of the portion of the Incentive Award that is based on such Strategic Performance Goal. The Incentive Award payout percentages for each of the respective Strategic Performance Goals will contain the minimum or threshold, the Strategic Performance Goal Target, and the maximum payout opportunity as determined by the Board or Compensation Committee. The Board or Compensation Committee will determine the level of achievement of the Strategic Performance Goals in its discretion. Strategic Performance Goals are typically measured on an annual basis but may be measured more or less frequently as determined by the Board or Compensation Committee. The weight of each Strategic Performance Goal does not need to be the same for each Participant or for each Plan Year.</w:t>
      </w:r>
    </w:p>
    <w:p>
      <w:pPr>
        <w:spacing w:after="0" w:line="207"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Individual Performance Objectives</w:t>
      </w:r>
      <w:r>
        <w:rPr>
          <w:rFonts w:ascii="Arial" w:cs="Arial" w:eastAsia="Arial" w:hAnsi="Arial"/>
          <w:sz w:val="16"/>
          <w:szCs w:val="16"/>
          <w:color w:val="auto"/>
        </w:rPr>
        <w:t>: A portion of the Incentive Award may be based on the achievement of one or more Individual Performance Objectives. The Administrator will certify the achievement of the Individual Performance Objectives within a reasonable period following the close of the applicable Plan Year. The direct manager of each Participant may set forth individual performance objectives for each Participant in the Plan (the “</w:t>
      </w:r>
      <w:r>
        <w:rPr>
          <w:rFonts w:ascii="Arial" w:cs="Arial" w:eastAsia="Arial" w:hAnsi="Arial"/>
          <w:sz w:val="16"/>
          <w:szCs w:val="16"/>
          <w:u w:val="single" w:color="auto"/>
          <w:color w:val="auto"/>
        </w:rPr>
        <w:t>Individual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Performance Objectives</w:t>
      </w:r>
      <w:r>
        <w:rPr>
          <w:rFonts w:ascii="Arial" w:cs="Arial" w:eastAsia="Arial" w:hAnsi="Arial"/>
          <w:sz w:val="16"/>
          <w:szCs w:val="16"/>
          <w:color w:val="auto"/>
        </w:rPr>
        <w:t xml:space="preserve"> ”). The Board or Compensation Committee has sole discretion regarding the use of Individual Performance Objectives, including, but not limited to, assigning a weight to each Individual Performance Objective, modifying the total amount of the Incentive Award earned by any Participant in a Plan Year and not utilizing any Individual Performance Objectives for a Participant in a Plan Year. The type, weight and treatment of the Individual Performance Objectives does not need to be the same for each Participant or for each Plan Year and will be determined on an individual basis by the Board or Compensation Committee for each Plan Year. The Individual Performance Objectives are assessed using the Company’s individual performance rating scale in effect during the applicable Plan Year. Individual Performance Objectives are typically measured on an annual basis but may be measured more or less frequently as determined by the Administrator. The Administrator may set minimum or threshold, target and maximum payout opportunities with respect to the achievement of Individual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xml:space="preserve">3 | </w:t>
      </w:r>
      <w:r>
        <w:rPr>
          <w:rFonts w:ascii="Arial" w:cs="Arial" w:eastAsia="Arial" w:hAnsi="Arial"/>
          <w:sz w:val="17"/>
          <w:szCs w:val="17"/>
          <w:color w:val="7F7F7F"/>
        </w:rPr>
        <w:t>Page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|US-DOCS\136640243.2||</w:t>
      </w:r>
    </w:p>
    <w:p>
      <w:pPr>
        <w:sectPr>
          <w:pgSz w:w="11900" w:h="16838" w:orient="portrait"/>
          <w:cols w:equalWidth="0" w:num="1">
            <w:col w:w="11240"/>
          </w:cols>
          <w:pgMar w:left="320" w:top="1084" w:right="339" w:bottom="1440" w:gutter="0" w:footer="0" w:header="0"/>
        </w:sectPr>
      </w:pPr>
    </w:p>
    <w:bookmarkStart w:id="127" w:name="page128"/>
    <w:bookmarkEnd w:id="127"/>
    <w:p>
      <w:pPr>
        <w:jc w:val="both"/>
        <w:spacing w:after="0" w:line="23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Target Incentive Percentage and Award Levels:</w:t>
      </w:r>
      <w:r>
        <w:rPr>
          <w:rFonts w:ascii="Arial" w:cs="Arial" w:eastAsia="Arial" w:hAnsi="Arial"/>
          <w:sz w:val="16"/>
          <w:szCs w:val="16"/>
          <w:color w:val="auto"/>
        </w:rPr>
        <w:t xml:space="preserve"> A Participant’s Target Incentive Percentage will be based on such Participant’s job level in the Company. The Target Incentive Percentage will be established by the Administrator. The Target Incentive Percentage will be established for each Participant in the Plan for each applicable Plan Year.</w:t>
      </w:r>
    </w:p>
    <w:p>
      <w:pPr>
        <w:spacing w:after="0" w:line="6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i w:val="1"/>
          <w:iCs w:val="1"/>
          <w:color w:val="auto"/>
        </w:rPr>
        <w:t xml:space="preserve">Adjustments to Performance Goals and Metrics: </w:t>
      </w:r>
      <w:r>
        <w:rPr>
          <w:rFonts w:ascii="Arial" w:cs="Arial" w:eastAsia="Arial" w:hAnsi="Arial"/>
          <w:sz w:val="16"/>
          <w:szCs w:val="16"/>
          <w:color w:val="auto"/>
        </w:rPr>
        <w:t>Without limiting Article VIII of the Incentive Plan:</w:t>
      </w:r>
    </w:p>
    <w:p>
      <w:pPr>
        <w:spacing w:after="0" w:line="237" w:lineRule="exact"/>
        <w:rPr>
          <w:sz w:val="20"/>
          <w:szCs w:val="20"/>
          <w:color w:val="auto"/>
        </w:rPr>
      </w:pPr>
    </w:p>
    <w:p>
      <w:pPr>
        <w:jc w:val="both"/>
        <w:ind w:left="660"/>
        <w:spacing w:after="0" w:line="219" w:lineRule="auto"/>
        <w:rPr>
          <w:sz w:val="20"/>
          <w:szCs w:val="20"/>
          <w:color w:val="auto"/>
        </w:rPr>
      </w:pPr>
      <w:r>
        <w:rPr>
          <w:rFonts w:ascii="Arial" w:cs="Arial" w:eastAsia="Arial" w:hAnsi="Arial"/>
          <w:sz w:val="16"/>
          <w:szCs w:val="16"/>
          <w:color w:val="auto"/>
        </w:rPr>
        <w:t>4.6.1 The Board or Compensation Committee may in its discretion make adjustments to the Business Scorecard results for any Plan Year, or to any other performance metrics used to determine the amount of Incentive Awards, in recognition of unusual or nonrecurring events affecting the Company or the financial statements of the Company, or of changes in applicable laws, regulations, or accounting principles, whenever the Board or Compensation Committee determines that such adjustments are appropriate in order to prevent unintended dilution or enlargement of the benefits or potential benefits intended to be made available under this Plan.</w:t>
      </w:r>
    </w:p>
    <w:p>
      <w:pPr>
        <w:spacing w:after="0" w:line="214" w:lineRule="exact"/>
        <w:rPr>
          <w:sz w:val="20"/>
          <w:szCs w:val="20"/>
          <w:color w:val="auto"/>
        </w:rPr>
      </w:pPr>
    </w:p>
    <w:p>
      <w:pPr>
        <w:jc w:val="both"/>
        <w:ind w:left="660"/>
        <w:spacing w:after="0" w:line="219" w:lineRule="auto"/>
        <w:rPr>
          <w:sz w:val="20"/>
          <w:szCs w:val="20"/>
          <w:color w:val="auto"/>
        </w:rPr>
      </w:pPr>
      <w:r>
        <w:rPr>
          <w:rFonts w:ascii="Arial" w:cs="Arial" w:eastAsia="Arial" w:hAnsi="Arial"/>
          <w:sz w:val="16"/>
          <w:szCs w:val="16"/>
          <w:color w:val="auto"/>
        </w:rPr>
        <w:t>4.6.2 Whenever the business or assets of the Company are transferred to a Successor, the Successor may adopt or assume the Plan and all outstanding Incentive Awards (with such adjustments as the Board or Compensation Committee may determine to be appropriate) or, if the Plan is not assumed by the Successor, the Board or Compensation Committee may provide for payments to be made to Participants in the Plan in full satisfaction of their rights to Incentive Awards for the Plan Year in which such transaction occurs, in such amounts as the Board or Compensation Committee may in its discretion determine to be reasonable and equitable.</w:t>
      </w:r>
    </w:p>
    <w:p>
      <w:pPr>
        <w:spacing w:after="0" w:line="214" w:lineRule="exact"/>
        <w:rPr>
          <w:sz w:val="20"/>
          <w:szCs w:val="20"/>
          <w:color w:val="auto"/>
        </w:rPr>
      </w:pPr>
    </w:p>
    <w:p>
      <w:pPr>
        <w:jc w:val="both"/>
        <w:ind w:left="660"/>
        <w:spacing w:after="0" w:line="232" w:lineRule="auto"/>
        <w:rPr>
          <w:sz w:val="20"/>
          <w:szCs w:val="20"/>
          <w:color w:val="auto"/>
        </w:rPr>
      </w:pPr>
      <w:r>
        <w:rPr>
          <w:rFonts w:ascii="Arial" w:cs="Arial" w:eastAsia="Arial" w:hAnsi="Arial"/>
          <w:sz w:val="16"/>
          <w:szCs w:val="16"/>
          <w:color w:val="auto"/>
        </w:rPr>
        <w:t>4.6.3 The determination by the Board or Compensation Committee of any adjustments to be made pursuant to this Section 4.6 shall be conclusive and binding on all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5 – PAYMENT OF INCENTIVE AWARDS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Form and Timing of Payment:</w:t>
      </w:r>
      <w:r>
        <w:rPr>
          <w:rFonts w:ascii="Arial" w:cs="Arial" w:eastAsia="Arial" w:hAnsi="Arial"/>
          <w:sz w:val="16"/>
          <w:szCs w:val="16"/>
          <w:color w:val="auto"/>
        </w:rPr>
        <w:t xml:space="preserve"> Payment of Incentive Awards shall be made in a lump sum, in cash (or other form as determined appropriate by the Board or Compensation Committee), subject to applicable payroll tax and required withholdings, after the end of the Plan Year following the final determination of achievement of the Financial Performance Goals, Strategic Performance Goals and Individual Performance Goals, provided that, except as set forth in Sections 3.5 and 6 the Participant must be actively employed continuously in good standing by the Company or one of its Subsidiaries on the date that such payment is made. Payment of the Incentive Award shall be made no later than the last day of the third month following the last day of the Plan Year.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6 – TERMINATION OF EMPLOYMENT</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Termination of Employment Due to Voluntary Resignation:</w:t>
      </w:r>
      <w:r>
        <w:rPr>
          <w:rFonts w:ascii="Arial" w:cs="Arial" w:eastAsia="Arial" w:hAnsi="Arial"/>
          <w:sz w:val="16"/>
          <w:szCs w:val="16"/>
          <w:color w:val="auto"/>
        </w:rPr>
        <w:t xml:space="preserve"> In the event a Participant’s employment is terminated due to voluntary resignation, except for Retirement, at any time prior to payment, the Incentive Award shall be forfeited, and the Participant shall not be entitled to payment.</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Termination of Employment for Cause:</w:t>
      </w:r>
      <w:r>
        <w:rPr>
          <w:rFonts w:ascii="Arial" w:cs="Arial" w:eastAsia="Arial" w:hAnsi="Arial"/>
          <w:sz w:val="16"/>
          <w:szCs w:val="16"/>
          <w:color w:val="auto"/>
        </w:rPr>
        <w:t xml:space="preserve"> In the event a Participant’s employment is terminated for Cause, at any time prior to payment, the Incentive Award shall be forfeited, and the Participant shall not be entitled to payment.</w:t>
      </w:r>
    </w:p>
    <w:p>
      <w:pPr>
        <w:spacing w:after="0" w:line="190"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Termination of Employment Due to Death or Disability:</w:t>
      </w:r>
      <w:r>
        <w:rPr>
          <w:rFonts w:ascii="Arial" w:cs="Arial" w:eastAsia="Arial" w:hAnsi="Arial"/>
          <w:sz w:val="16"/>
          <w:szCs w:val="16"/>
          <w:color w:val="auto"/>
        </w:rPr>
        <w:t xml:space="preserve"> In the case of a Participant’s termination due to death or Disability prior to the end of the Plan Year, the Incentive Award shall be considered earned based on target performance, prorated based on the number of days employed during the Plan Year, and paid within sixty (60) days following the termination date. In the case the termination as a result of death or Disability occurs after the Plan Year end but before the payment date, the Incentive Award shall be considered earned based upon actual attainment of the Business Scorecard results and Individual Performance Objectives, as applicable, and paid at the same time as other Participants.</w:t>
      </w:r>
    </w:p>
    <w:p>
      <w:pPr>
        <w:spacing w:after="0" w:line="194"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Termination of Employment due to Involuntary Termination Without Cause:</w:t>
      </w:r>
      <w:r>
        <w:rPr>
          <w:rFonts w:ascii="Arial" w:cs="Arial" w:eastAsia="Arial" w:hAnsi="Arial"/>
          <w:sz w:val="16"/>
          <w:szCs w:val="16"/>
          <w:color w:val="auto"/>
        </w:rPr>
        <w:t xml:space="preserve"> Unless provided otherwise in any other agreement between the Company and a Participant, in the event a Participant’s employment is involuntarily terminated by the Company without Cause prior to the end of the Plan Year, provided that termination occurs on or following the first business day of the third quarter of the Plan Year, the Incentive Award shall be considered earned based on actual attainment of the Business Scorecard results and Individual Performance Goals, as applicable, prorated based on the number of days employed during the Plan Year, and paid at the same time as other Participants, provided that such payment shall be made no later than the last day of the third month following the last day of the Plan Year. In the case such termination occurs after the Plan Year end but before the payment of the Incentive Award, the Incentive Award shall be considered earned based on actual attainment of the Business Scorecard results and Individual Performance Goals, as applicable, and paid at the same time as other Participants, provided that such payment shall be made no later than the last day of the third month following the last day of the Plan Year. For the avoidance of doubt, to the extent a Participant’s employment is involuntarily terminated by the Company without Cause during the first and second quarters of the Plan Year, the Incentive Award shall be forfeited and the Participant shall not be entitled to payment.</w:t>
      </w:r>
    </w:p>
    <w:p>
      <w:pPr>
        <w:spacing w:after="0" w:line="199"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Termination of Employment due to Retirement:</w:t>
      </w:r>
      <w:r>
        <w:rPr>
          <w:rFonts w:ascii="Arial" w:cs="Arial" w:eastAsia="Arial" w:hAnsi="Arial"/>
          <w:sz w:val="16"/>
          <w:szCs w:val="16"/>
          <w:color w:val="auto"/>
        </w:rPr>
        <w:t xml:space="preserve"> In the event a Participant’s employment is terminated due to Retirement, provided that such termination occurs on or following the first business day of the third quarter of the Plan Year, the Incentive Award shall be considered earned based on actual attainment of the Business Scorecard results and Individual Performance Goals, as applicable, prorated based on the number of days employed during the Plan Year, and paid at the same time as other Participants, provided that such payment shall be made no later than the last day of the third month following the last day of the Plan Year. In the event that termination due to Retirement occurs after the Plan Year end but before the payment of the Incentive Award, the Incentive Award shall be considered earned based on actual attainment of the Business Scorecard results and Individual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xml:space="preserve">4 | </w:t>
      </w:r>
      <w:r>
        <w:rPr>
          <w:rFonts w:ascii="Arial" w:cs="Arial" w:eastAsia="Arial" w:hAnsi="Arial"/>
          <w:sz w:val="17"/>
          <w:szCs w:val="17"/>
          <w:color w:val="7F7F7F"/>
        </w:rPr>
        <w:t>Page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|US-DOCS\136640243.2||</w:t>
      </w:r>
    </w:p>
    <w:p>
      <w:pPr>
        <w:sectPr>
          <w:pgSz w:w="11900" w:h="16838" w:orient="portrait"/>
          <w:cols w:equalWidth="0" w:num="1">
            <w:col w:w="11240"/>
          </w:cols>
          <w:pgMar w:left="320" w:top="1084" w:right="339" w:bottom="1440" w:gutter="0" w:footer="0" w:header="0"/>
        </w:sectPr>
      </w:pPr>
    </w:p>
    <w:bookmarkStart w:id="128" w:name="page129"/>
    <w:bookmarkEnd w:id="128"/>
    <w:p>
      <w:pPr>
        <w:jc w:val="both"/>
        <w:spacing w:after="0" w:line="225" w:lineRule="auto"/>
        <w:rPr>
          <w:sz w:val="20"/>
          <w:szCs w:val="20"/>
          <w:color w:val="auto"/>
        </w:rPr>
      </w:pPr>
      <w:r>
        <w:rPr>
          <w:rFonts w:ascii="Arial" w:cs="Arial" w:eastAsia="Arial" w:hAnsi="Arial"/>
          <w:sz w:val="16"/>
          <w:szCs w:val="16"/>
          <w:color w:val="auto"/>
        </w:rPr>
        <w:t>as applicable, and paid at the same time as other Participants, provided that such payment shall be made no later the last day of the third month following the last day of the Plan Year. For the avoidance of doubt, to the extent a Participant’s employment is terminated due to Retirement during the first and second quarters of the Plan Year, the Incentive Award shall be forfeited and the Participant shall not be entitled to payment.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Officers: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w:t>
      </w:r>
      <w:r>
        <w:rPr>
          <w:rFonts w:ascii="Arial" w:cs="Arial" w:eastAsia="Arial" w:hAnsi="Arial"/>
          <w:sz w:val="16"/>
          <w:szCs w:val="16"/>
          <w:color w:val="auto"/>
        </w:rPr>
        <w:t>, in the event an Officer Participant’s employment is involuntarily terminated by the Company without Cause, the payment of any Incentive Award shall be governed by the Executive Severance Plan.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7 – ADMINISTRATION, AMENDMENT AND TERMINATION</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Administration:</w:t>
      </w:r>
      <w:r>
        <w:rPr>
          <w:rFonts w:ascii="Arial" w:cs="Arial" w:eastAsia="Arial" w:hAnsi="Arial"/>
          <w:sz w:val="16"/>
          <w:szCs w:val="16"/>
          <w:color w:val="auto"/>
        </w:rPr>
        <w:t xml:space="preserve"> The Plan is administered by the Administrator, unless otherwise stated throughout the Plan. The Administrator has authority to determine which Employees receive Incentive Awards, grant Incentive Awards and set Incentive Award terms and conditions, subject to the conditions and limitations in the Plan. The Administrator also has the authority to take all actions and make all determinations under the Plan, to interpret the Plan and to adopt, amend and repeal Plan administrative rules, guidelines and practices as it deems advisable. The Administrator may correct defects and ambiguities, supply omissions and reconcile inconsistencies in the Plan or any Incentive Award as it deems necessary or appropriate to administer the Plan and any Incentive Awards. The Administrator’s determinations under the Plan are in its sole discretion and will be final and binding on all persons having or claiming any interest in the Plan or any Incentive Award. To the extent Applicable Laws permit, the Administrator may delegate any or all of its powers under the Plan to one or more Committees. The Administrator may abolish any Committee or re-vest in itself any previously delegated authority at any time.</w:t>
      </w:r>
    </w:p>
    <w:p>
      <w:pPr>
        <w:spacing w:after="0" w:line="196"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Amendment and Termination:</w:t>
      </w:r>
      <w:r>
        <w:rPr>
          <w:rFonts w:ascii="Arial" w:cs="Arial" w:eastAsia="Arial" w:hAnsi="Arial"/>
          <w:sz w:val="16"/>
          <w:szCs w:val="16"/>
          <w:color w:val="auto"/>
        </w:rPr>
        <w:t xml:space="preserve"> The Board and the Compensation Committee shall each have authority to alter, amend, modify, suspend or terminate the Plan, in whole or in part, at any time and from time-to-time. Notwithstanding any other provision of this Plan to the contrary, the Board or the Compensation Committee may amend this Plan to take effect retroactively or otherwise, as deemed necessary or advisable for the purpose of conforming this Plan to any</w:t>
      </w:r>
    </w:p>
    <w:p>
      <w:pPr>
        <w:jc w:val="both"/>
        <w:spacing w:after="0" w:line="221" w:lineRule="auto"/>
        <w:rPr>
          <w:sz w:val="20"/>
          <w:szCs w:val="20"/>
          <w:color w:val="auto"/>
        </w:rPr>
      </w:pPr>
      <w:r>
        <w:rPr>
          <w:rFonts w:ascii="Arial" w:cs="Arial" w:eastAsia="Arial" w:hAnsi="Arial"/>
          <w:sz w:val="16"/>
          <w:szCs w:val="16"/>
          <w:color w:val="auto"/>
        </w:rPr>
        <w:t>present or future law relating to plans of this or similar nature (including, but not limited to, Section 409A, the Dodd-Frank Wall Street Reform and Consumer Protection Act, the Sarbanes-Oxley Act of 2022 and any rules or regulations promulgated thereunder)), and to the administrative regulations and rulings promulgated thereunder, or the listing requirements of any exchange on which the Company’s shares are traded. Each Participant agrees to any amendment made pursuant to this Section 7.2 of this Plan without further consideration or action.</w:t>
      </w:r>
    </w:p>
    <w:p>
      <w:pPr>
        <w:spacing w:after="0" w:line="197"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Right of Offset:</w:t>
      </w:r>
      <w:r>
        <w:rPr>
          <w:rFonts w:ascii="Arial" w:cs="Arial" w:eastAsia="Arial" w:hAnsi="Arial"/>
          <w:sz w:val="16"/>
          <w:szCs w:val="16"/>
          <w:color w:val="auto"/>
        </w:rPr>
        <w:t xml:space="preserve"> The Company may, to the extent permitted by applicable law, and the extent such action will not cause Participants to be subject to any additional tax under Section 409A, deduct from and set off against any amounts the Company may owe to the Participant from time to time, including amounts payable in connection with any payment, owed as wages, fringe benefits, or other compensation owed to the Participant, including, without limitation payments with respect to Incentive Awards under made under the Plan, such amounts as may be owed by the Participant to the Company, although the Participant shall remain liable for any part of the Participant’s payment obligation not satisfied through such deduction and setoff. Each Participant agrees to any deduction or setoff under this Section 7.4.</w:t>
      </w:r>
    </w:p>
    <w:p>
      <w:pPr>
        <w:spacing w:after="0" w:line="198"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Unfunded Plan:</w:t>
      </w:r>
      <w:r>
        <w:rPr>
          <w:rFonts w:ascii="Arial" w:cs="Arial" w:eastAsia="Arial" w:hAnsi="Arial"/>
          <w:sz w:val="16"/>
          <w:szCs w:val="16"/>
          <w:color w:val="auto"/>
        </w:rPr>
        <w:t xml:space="preserve"> Participants shall have no right, title, or interest whatsoever in or to any investments that the Company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under this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this Plan.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Clawbacks:</w:t>
      </w:r>
      <w:r>
        <w:rPr>
          <w:rFonts w:ascii="Arial" w:cs="Arial" w:eastAsia="Arial" w:hAnsi="Arial"/>
          <w:sz w:val="16"/>
          <w:szCs w:val="16"/>
          <w:color w:val="auto"/>
        </w:rPr>
        <w:t xml:space="preserve"> All Incentive Awards (including any proceeds, gains or other economic benefit the Participant actually or constructively receives upon receipt of any Incentive Award) will be subject to any Company claw-back policy as in effect from time to time, including any claw-back policy adopted to comply with Applicable Laws (including the Dodd-Frank Wall Street Reform and Consumer Protection Act and any rules or regulations promulgated thereunder).</w:t>
      </w:r>
    </w:p>
    <w:p>
      <w:pPr>
        <w:spacing w:after="0" w:line="33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i w:val="1"/>
          <w:iCs w:val="1"/>
          <w:color w:val="auto"/>
        </w:rPr>
        <w:t>Section 409A</w:t>
      </w:r>
      <w:r>
        <w:rPr>
          <w:rFonts w:ascii="Arial" w:cs="Arial" w:eastAsia="Arial" w:hAnsi="Arial"/>
          <w:sz w:val="16"/>
          <w:szCs w:val="16"/>
          <w:color w:val="auto"/>
        </w:rPr>
        <w:t>. Section 10.6 of the Incentive Plan is hereby incorporated by reference,</w:t>
      </w:r>
      <w:r>
        <w:rPr>
          <w:rFonts w:ascii="Arial" w:cs="Arial" w:eastAsia="Arial" w:hAnsi="Arial"/>
          <w:sz w:val="16"/>
          <w:szCs w:val="16"/>
          <w:i w:val="1"/>
          <w:iCs w:val="1"/>
          <w:color w:val="auto"/>
        </w:rPr>
        <w:t xml:space="preserve"> mutatis mutandis</w:t>
      </w:r>
      <w:r>
        <w:rPr>
          <w:rFonts w:ascii="Arial" w:cs="Arial" w:eastAsia="Arial" w:hAnsi="Arial"/>
          <w:sz w:val="16"/>
          <w:szCs w:val="16"/>
          <w:color w:val="auto"/>
        </w:rPr>
        <w:t>.</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The Plan and all Incentive Awards will be governed by and interpreted in accordance with the laws of the State of Delaware, disregarding any state’s choice-of-law principles requiring the application of a jurisdiction’s laws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600"/>
        <w:spacing w:after="0"/>
        <w:rPr>
          <w:sz w:val="20"/>
          <w:szCs w:val="20"/>
          <w:color w:val="auto"/>
        </w:rPr>
      </w:pPr>
      <w:r>
        <w:rPr>
          <w:rFonts w:ascii="Arial" w:cs="Arial" w:eastAsia="Arial" w:hAnsi="Arial"/>
          <w:sz w:val="17"/>
          <w:szCs w:val="17"/>
          <w:color w:val="auto"/>
        </w:rPr>
        <w:t xml:space="preserve">5 | </w:t>
      </w:r>
      <w:r>
        <w:rPr>
          <w:rFonts w:ascii="Arial" w:cs="Arial" w:eastAsia="Arial" w:hAnsi="Arial"/>
          <w:sz w:val="17"/>
          <w:szCs w:val="17"/>
          <w:color w:val="7F7F7F"/>
        </w:rPr>
        <w:t>Page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|US-DOCS\136640243.2||</w:t>
      </w:r>
    </w:p>
    <w:p>
      <w:pPr>
        <w:sectPr>
          <w:pgSz w:w="11900" w:h="16838" w:orient="portrait"/>
          <w:cols w:equalWidth="0" w:num="1">
            <w:col w:w="11240"/>
          </w:cols>
          <w:pgMar w:left="320" w:top="110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Fluence Energy, Inc.</w:t>
      </w:r>
    </w:p>
    <w:p>
      <w:pPr>
        <w:jc w:val="center"/>
        <w:spacing w:after="0"/>
        <w:rPr>
          <w:sz w:val="20"/>
          <w:szCs w:val="20"/>
          <w:color w:val="auto"/>
        </w:rPr>
      </w:pPr>
      <w:r>
        <w:rPr>
          <w:rFonts w:ascii="Arial" w:cs="Arial" w:eastAsia="Arial" w:hAnsi="Arial"/>
          <w:sz w:val="22"/>
          <w:szCs w:val="22"/>
          <w:b w:val="1"/>
          <w:bCs w:val="1"/>
          <w:color w:val="auto"/>
        </w:rPr>
        <w:t>Non-Employee Independent Director Compensation Policy</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Non-employee independent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Fluence Energy,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Independent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and equity compensation described in this Policy shall be paid or be made, as applicable, automatically and without further action of the Board, to each member of the Board who (a) is not an employee of the Company or any parent or subsidiary of the Company and (b) was not nominated to the Board by AES Grid Stability, LLC (“AES”), Siemens Industry, Inc.(“Siemens”) or Qatar Holding LLC (“QHL”) or any of their respective affiliates pursuant to their respective nomination rights set forth in the Stockholders Agreement, dated as of October 27, 2021, as may be amended or modified from time to time, by and among the Company, AES, Siemens and QHL (each, a “</w:t>
      </w:r>
      <w:r>
        <w:rPr>
          <w:rFonts w:ascii="Arial" w:cs="Arial" w:eastAsia="Arial" w:hAnsi="Arial"/>
          <w:sz w:val="19"/>
          <w:szCs w:val="19"/>
          <w:b w:val="1"/>
          <w:bCs w:val="1"/>
          <w:i w:val="1"/>
          <w:iCs w:val="1"/>
          <w:color w:val="auto"/>
        </w:rPr>
        <w:t>Non-Employee Independent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who may be eligible to receive such cash or equity compensation, unless such Non-Employee Independent Director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declines the receipt of such cash or equity compensation by written notice to the Company. The terms and conditions of this Policy supersedes any prior cash and/or equity compensation arrangements for service as a member of the Board between the Company and any of its Non-Employee Independent Directors and between any subsidiary of the Company and any of its non-employee independent directors. </w:t>
      </w:r>
      <w:r>
        <w:rPr>
          <w:rFonts w:ascii="Arial" w:cs="Arial" w:eastAsia="Arial" w:hAnsi="Arial"/>
          <w:sz w:val="19"/>
          <w:szCs w:val="19"/>
          <w:color w:val="252525"/>
        </w:rPr>
        <w:t>This Policy shall remain in effect until it is amended or rescinded by further action of the Board.</w:t>
      </w:r>
    </w:p>
    <w:p>
      <w:pPr>
        <w:spacing w:after="0" w:line="160"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right="20" w:firstLine="1304"/>
        <w:spacing w:after="0" w:line="232" w:lineRule="auto"/>
        <w:tabs>
          <w:tab w:leader="none" w:pos="1941"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Annual Retainers</w:t>
      </w:r>
      <w:r>
        <w:rPr>
          <w:rFonts w:ascii="Arial" w:cs="Arial" w:eastAsia="Arial" w:hAnsi="Arial"/>
          <w:sz w:val="22"/>
          <w:szCs w:val="22"/>
          <w:color w:val="auto"/>
        </w:rPr>
        <w:t>. Each Non-Employee Independent Director shall receive an annual cash retainer of $60,000 for service on the Board.</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Retainers</w:t>
      </w:r>
      <w:r>
        <w:rPr>
          <w:rFonts w:ascii="Arial" w:cs="Arial" w:eastAsia="Arial" w:hAnsi="Arial"/>
          <w:sz w:val="22"/>
          <w:szCs w:val="22"/>
          <w:color w:val="auto"/>
        </w:rPr>
        <w:t>. In addition, a Non-Employee Independent Director shall receive the following annual cash retainers:</w:t>
      </w:r>
    </w:p>
    <w:p>
      <w:pPr>
        <w:spacing w:after="0" w:line="158" w:lineRule="exact"/>
        <w:rPr>
          <w:rFonts w:ascii="Arial" w:cs="Arial" w:eastAsia="Arial" w:hAnsi="Arial"/>
          <w:sz w:val="22"/>
          <w:szCs w:val="22"/>
          <w:color w:val="auto"/>
        </w:rPr>
      </w:pPr>
    </w:p>
    <w:p>
      <w:pPr>
        <w:ind w:firstLine="1952"/>
        <w:spacing w:after="0" w:line="232" w:lineRule="auto"/>
        <w:tabs>
          <w:tab w:leader="none" w:pos="2580"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Chairperson of the Board</w:t>
      </w:r>
      <w:r>
        <w:rPr>
          <w:rFonts w:ascii="Arial" w:cs="Arial" w:eastAsia="Arial" w:hAnsi="Arial"/>
          <w:sz w:val="22"/>
          <w:szCs w:val="22"/>
          <w:color w:val="auto"/>
        </w:rPr>
        <w:t>. A Non-Employee Independent Director serving as Chairperson of the Board shall receive an additional annual cash retainer of $35,000 for such service.</w:t>
      </w:r>
    </w:p>
    <w:p>
      <w:pPr>
        <w:spacing w:after="0" w:line="158" w:lineRule="exact"/>
        <w:rPr>
          <w:rFonts w:ascii="Arial" w:cs="Arial" w:eastAsia="Arial" w:hAnsi="Arial"/>
          <w:sz w:val="22"/>
          <w:szCs w:val="22"/>
          <w:color w:val="auto"/>
        </w:rPr>
      </w:pPr>
    </w:p>
    <w:p>
      <w:pPr>
        <w:ind w:firstLine="1952"/>
        <w:spacing w:after="0" w:line="232" w:lineRule="auto"/>
        <w:tabs>
          <w:tab w:leader="none" w:pos="2586"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Audit Committee</w:t>
      </w:r>
      <w:r>
        <w:rPr>
          <w:rFonts w:ascii="Arial" w:cs="Arial" w:eastAsia="Arial" w:hAnsi="Arial"/>
          <w:sz w:val="22"/>
          <w:szCs w:val="22"/>
          <w:color w:val="auto"/>
        </w:rPr>
        <w:t>. A Non-Employee Independent Director serving as Chairperson of the Audit Committee shall receive an additional annual cash retainer of $15,000 for such service.</w:t>
      </w:r>
    </w:p>
    <w:p>
      <w:pPr>
        <w:spacing w:after="0" w:line="158" w:lineRule="exact"/>
        <w:rPr>
          <w:rFonts w:ascii="Arial" w:cs="Arial" w:eastAsia="Arial" w:hAnsi="Arial"/>
          <w:sz w:val="22"/>
          <w:szCs w:val="22"/>
          <w:color w:val="auto"/>
        </w:rPr>
      </w:pPr>
    </w:p>
    <w:p>
      <w:pPr>
        <w:ind w:firstLine="1952"/>
        <w:spacing w:after="0" w:line="247" w:lineRule="auto"/>
        <w:tabs>
          <w:tab w:leader="none" w:pos="2592" w:val="left"/>
        </w:tabs>
        <w:numPr>
          <w:ilvl w:val="2"/>
          <w:numId w:val="75"/>
        </w:numPr>
        <w:rPr>
          <w:rFonts w:ascii="Arial" w:cs="Arial" w:eastAsia="Arial" w:hAnsi="Arial"/>
          <w:sz w:val="21"/>
          <w:szCs w:val="21"/>
          <w:color w:val="auto"/>
        </w:rPr>
      </w:pPr>
      <w:r>
        <w:rPr>
          <w:rFonts w:ascii="Arial" w:cs="Arial" w:eastAsia="Arial" w:hAnsi="Arial"/>
          <w:sz w:val="21"/>
          <w:szCs w:val="21"/>
          <w:u w:val="single" w:color="auto"/>
          <w:color w:val="auto"/>
        </w:rPr>
        <w:t>Compensation Committee</w:t>
      </w:r>
      <w:r>
        <w:rPr>
          <w:rFonts w:ascii="Arial" w:cs="Arial" w:eastAsia="Arial" w:hAnsi="Arial"/>
          <w:sz w:val="21"/>
          <w:szCs w:val="21"/>
          <w:color w:val="auto"/>
        </w:rPr>
        <w:t>. A Non-Employee Independent Director serving as Chairperson of the Compensation Committee shall receive an additional annual cash retainer of $10,000 for such service.</w:t>
      </w:r>
    </w:p>
    <w:p>
      <w:pPr>
        <w:spacing w:after="0" w:line="150" w:lineRule="exact"/>
        <w:rPr>
          <w:rFonts w:ascii="Arial" w:cs="Arial" w:eastAsia="Arial" w:hAnsi="Arial"/>
          <w:sz w:val="21"/>
          <w:szCs w:val="21"/>
          <w:color w:val="auto"/>
        </w:rPr>
      </w:pPr>
    </w:p>
    <w:p>
      <w:pPr>
        <w:jc w:val="both"/>
        <w:ind w:firstLine="1952"/>
        <w:spacing w:after="0" w:line="223" w:lineRule="auto"/>
        <w:tabs>
          <w:tab w:leader="none" w:pos="2580" w:val="left"/>
        </w:tabs>
        <w:numPr>
          <w:ilvl w:val="2"/>
          <w:numId w:val="75"/>
        </w:numPr>
        <w:rPr>
          <w:rFonts w:ascii="Arial" w:cs="Arial" w:eastAsia="Arial" w:hAnsi="Arial"/>
          <w:sz w:val="22"/>
          <w:szCs w:val="22"/>
          <w:color w:val="auto"/>
        </w:rPr>
      </w:pP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 A Non-Employee Independent Director serving as Chairperson of the Nominating and Corporate Governance Committee shall receive an additional annual retainer of $10,000 for such service.</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41"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Payment of Retainers</w:t>
      </w:r>
      <w:r>
        <w:rPr>
          <w:rFonts w:ascii="Arial" w:cs="Arial" w:eastAsia="Arial" w:hAnsi="Arial"/>
          <w:sz w:val="19"/>
          <w:szCs w:val="19"/>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Independent Director does not serve as a Non-Employee Independent Director, or in the applicable positions described in Section 1(b), for an entire calendar quarter, such Non-Employee Independent Director shall receive a prorated portion of the retainer(s) otherwise payable to such Non-Employee Independent Director for such calendar quarter pursuant to Sections 1(a) and 1(b), with such prorated portion determined by multiplying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|US-DOCS\124714157.6||</w:t>
      </w:r>
    </w:p>
    <w:p>
      <w:pPr>
        <w:sectPr>
          <w:pgSz w:w="11900" w:h="16838" w:orient="portrait"/>
          <w:cols w:equalWidth="0" w:num="1">
            <w:col w:w="11240"/>
          </w:cols>
          <w:pgMar w:left="320" w:top="98" w:right="339" w:bottom="1440" w:gutter="0" w:footer="0" w:header="0"/>
        </w:sectPr>
      </w:pPr>
    </w:p>
    <w:bookmarkStart w:id="130" w:name="page131"/>
    <w:bookmarkEnd w:id="130"/>
    <w:p>
      <w:pPr>
        <w:jc w:val="both"/>
        <w:ind w:right="20"/>
        <w:spacing w:after="0" w:line="268" w:lineRule="auto"/>
        <w:rPr>
          <w:sz w:val="20"/>
          <w:szCs w:val="20"/>
          <w:color w:val="auto"/>
        </w:rPr>
      </w:pPr>
      <w:r>
        <w:rPr>
          <w:rFonts w:ascii="Arial" w:cs="Arial" w:eastAsia="Arial" w:hAnsi="Arial"/>
          <w:sz w:val="19"/>
          <w:szCs w:val="19"/>
          <w:color w:val="auto"/>
        </w:rPr>
        <w:t>otherwise payable retainer(s) by a fraction, the numerator of which is the number of days during which the Non-Employee Independent Director serves as a Non-Employee Independent Director or in the applicable positions described in Section 1(b) during the applicable calendar quarter and the denominator of which is the number of days in the applicable calendar quarter.</w:t>
      </w:r>
    </w:p>
    <w:p>
      <w:pPr>
        <w:spacing w:after="0" w:line="132" w:lineRule="exact"/>
        <w:rPr>
          <w:sz w:val="20"/>
          <w:szCs w:val="20"/>
          <w:color w:val="auto"/>
        </w:rPr>
      </w:pPr>
    </w:p>
    <w:p>
      <w:pPr>
        <w:jc w:val="both"/>
        <w:ind w:firstLine="656"/>
        <w:spacing w:after="0" w:line="212"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 Non-Employee Independent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w:t>
      </w:r>
      <w:r>
        <w:rPr>
          <w:rFonts w:ascii="Arial" w:cs="Arial" w:eastAsia="Arial" w:hAnsi="Arial"/>
          <w:sz w:val="22"/>
          <w:szCs w:val="22"/>
          <w:b w:val="1"/>
          <w:bCs w:val="1"/>
          <w:i w:val="1"/>
          <w:iCs w:val="1"/>
          <w:color w:val="auto"/>
        </w:rPr>
        <w:t>Equity Plan</w:t>
      </w:r>
      <w:r>
        <w:rPr>
          <w:rFonts w:ascii="Arial" w:cs="Arial" w:eastAsia="Arial" w:hAnsi="Arial"/>
          <w:sz w:val="22"/>
          <w:szCs w:val="22"/>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63" w:lineRule="exact"/>
        <w:rPr>
          <w:rFonts w:ascii="Arial" w:cs="Arial" w:eastAsia="Arial" w:hAnsi="Arial"/>
          <w:sz w:val="22"/>
          <w:szCs w:val="22"/>
          <w:color w:val="auto"/>
        </w:rPr>
      </w:pPr>
    </w:p>
    <w:p>
      <w:pPr>
        <w:jc w:val="both"/>
        <w:ind w:firstLine="1304"/>
        <w:spacing w:after="0" w:line="246" w:lineRule="auto"/>
        <w:tabs>
          <w:tab w:leader="none" w:pos="1941"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Annual Awards</w:t>
      </w:r>
      <w:r>
        <w:rPr>
          <w:rFonts w:ascii="Arial" w:cs="Arial" w:eastAsia="Arial" w:hAnsi="Arial"/>
          <w:sz w:val="19"/>
          <w:szCs w:val="19"/>
          <w:color w:val="auto"/>
        </w:rPr>
        <w:t>. Each Non-Employee Independent Director who (i) serves on the Board as of the date of any annual meeting of the Company’s stockholders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and (ii) will continue to serve as a Non-Employee Independent Director immediately following such Annual Meeting, shall be automatically granted, on the date of such Annual Meeting, an award of restricted stock units that has an aggregate fair value on the date of grant of $170,000 (as determined in accordance with ASC 718 and subject to adjustment as provided in the Equity Plan). The awards described in this Section 2(a) shall be referred to as the “</w:t>
      </w:r>
      <w:r>
        <w:rPr>
          <w:rFonts w:ascii="Arial" w:cs="Arial" w:eastAsia="Arial" w:hAnsi="Arial"/>
          <w:sz w:val="19"/>
          <w:szCs w:val="19"/>
          <w:b w:val="1"/>
          <w:bCs w:val="1"/>
          <w:i w:val="1"/>
          <w:iCs w:val="1"/>
          <w:color w:val="auto"/>
        </w:rPr>
        <w:t>Annual Awards</w:t>
      </w:r>
      <w:r>
        <w:rPr>
          <w:rFonts w:ascii="Arial" w:cs="Arial" w:eastAsia="Arial" w:hAnsi="Arial"/>
          <w:sz w:val="19"/>
          <w:szCs w:val="19"/>
          <w:color w:val="auto"/>
        </w:rPr>
        <w:t>.” For the avoidance of doubt, a Non-Employee Independent Director elected for the first time to the Board at an Annual Meeting shall receive only an Annual Award in connection with such election, and shall not receive any Initial Award on the date of such Annual Meeting as well.</w:t>
      </w:r>
    </w:p>
    <w:p>
      <w:pPr>
        <w:spacing w:after="0" w:line="152" w:lineRule="exact"/>
        <w:rPr>
          <w:rFonts w:ascii="Arial" w:cs="Arial" w:eastAsia="Arial" w:hAnsi="Arial"/>
          <w:sz w:val="19"/>
          <w:szCs w:val="19"/>
          <w:color w:val="auto"/>
        </w:rPr>
      </w:pPr>
    </w:p>
    <w:p>
      <w:pPr>
        <w:jc w:val="both"/>
        <w:ind w:firstLine="1304"/>
        <w:spacing w:after="0" w:line="219" w:lineRule="auto"/>
        <w:tabs>
          <w:tab w:leader="none" w:pos="1939"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Initial Awards</w:t>
      </w:r>
      <w:r>
        <w:rPr>
          <w:rFonts w:ascii="Arial" w:cs="Arial" w:eastAsia="Arial" w:hAnsi="Arial"/>
          <w:sz w:val="21"/>
          <w:szCs w:val="21"/>
          <w:color w:val="auto"/>
        </w:rPr>
        <w:t>. Except as otherwise determined by the Board, each Non-Employee Independent Director who is initially elected or appointed to the on any date other than the date of an Annual Meeting shall be automatically granted, on the date of such Non-Employee Independent Director’s initial election or appointment (such Non-Employee Independent Director’s “</w:t>
      </w:r>
      <w:r>
        <w:rPr>
          <w:rFonts w:ascii="Arial" w:cs="Arial" w:eastAsia="Arial" w:hAnsi="Arial"/>
          <w:sz w:val="21"/>
          <w:szCs w:val="21"/>
          <w:b w:val="1"/>
          <w:bCs w:val="1"/>
          <w:i w:val="1"/>
          <w:iCs w:val="1"/>
          <w:color w:val="auto"/>
        </w:rPr>
        <w:t>Start Date</w:t>
      </w:r>
      <w:r>
        <w:rPr>
          <w:rFonts w:ascii="Arial" w:cs="Arial" w:eastAsia="Arial" w:hAnsi="Arial"/>
          <w:sz w:val="21"/>
          <w:szCs w:val="21"/>
          <w:color w:val="auto"/>
        </w:rPr>
        <w:t>”), an award of restricted stock units that has an aggregate fair value on such Non-Employee Independent Director’s Start Date equal to the product of (i) $170,000 (as determined in accordance with ASC 718) and (ii) a fraction, the numerator of which is (x) 365 minus (y) the number of days in the period beginning on the date of the Annual Meeting immediately preceding such Non-Employee Independent Director’s Start Date and ending on such Non-Employee Independent Director’s Start Date and the denominator of which is 365 (with the number of shares of common stock underlying each such award subject to adjustment as provided in the Equity Plan). The awards described in this Section 2(b) shall be referred to as “</w:t>
      </w:r>
      <w:r>
        <w:rPr>
          <w:rFonts w:ascii="Arial" w:cs="Arial" w:eastAsia="Arial" w:hAnsi="Arial"/>
          <w:sz w:val="21"/>
          <w:szCs w:val="21"/>
          <w:b w:val="1"/>
          <w:bCs w:val="1"/>
          <w:i w:val="1"/>
          <w:iCs w:val="1"/>
          <w:color w:val="auto"/>
        </w:rPr>
        <w:t>Initial Awards</w:t>
      </w:r>
      <w:r>
        <w:rPr>
          <w:rFonts w:ascii="Arial" w:cs="Arial" w:eastAsia="Arial" w:hAnsi="Arial"/>
          <w:sz w:val="21"/>
          <w:szCs w:val="21"/>
          <w:i w:val="1"/>
          <w:iCs w:val="1"/>
          <w:color w:val="auto"/>
        </w:rPr>
        <w:t>.</w:t>
      </w:r>
      <w:r>
        <w:rPr>
          <w:rFonts w:ascii="Arial" w:cs="Arial" w:eastAsia="Arial" w:hAnsi="Arial"/>
          <w:sz w:val="21"/>
          <w:szCs w:val="21"/>
          <w:color w:val="auto"/>
        </w:rPr>
        <w:t>” For the avoidance of doubt, no Non-Employee Independent Director shall be granted more than one Initial Award.</w:t>
      </w:r>
    </w:p>
    <w:p>
      <w:pPr>
        <w:spacing w:after="0" w:line="168" w:lineRule="exact"/>
        <w:rPr>
          <w:rFonts w:ascii="Arial" w:cs="Arial" w:eastAsia="Arial" w:hAnsi="Arial"/>
          <w:sz w:val="21"/>
          <w:szCs w:val="21"/>
          <w:color w:val="auto"/>
        </w:rPr>
      </w:pPr>
    </w:p>
    <w:p>
      <w:pPr>
        <w:jc w:val="both"/>
        <w:ind w:firstLine="1304"/>
        <w:spacing w:after="0" w:line="252" w:lineRule="auto"/>
        <w:tabs>
          <w:tab w:leader="none" w:pos="1941"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w:t>
      </w:r>
    </w:p>
    <w:p>
      <w:pPr>
        <w:spacing w:after="0" w:line="148" w:lineRule="exact"/>
        <w:rPr>
          <w:rFonts w:ascii="Arial" w:cs="Arial" w:eastAsia="Arial" w:hAnsi="Arial"/>
          <w:sz w:val="19"/>
          <w:szCs w:val="19"/>
          <w:color w:val="auto"/>
        </w:rPr>
      </w:pPr>
    </w:p>
    <w:p>
      <w:pPr>
        <w:jc w:val="both"/>
        <w:ind w:right="20" w:firstLine="1304"/>
        <w:spacing w:after="0" w:line="268" w:lineRule="auto"/>
        <w:tabs>
          <w:tab w:leader="none" w:pos="1939"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Vesting of Awards Granted to Non-Employee Independent Directors</w:t>
      </w:r>
      <w:r>
        <w:rPr>
          <w:rFonts w:ascii="Arial" w:cs="Arial" w:eastAsia="Arial" w:hAnsi="Arial"/>
          <w:sz w:val="19"/>
          <w:szCs w:val="19"/>
          <w:color w:val="auto"/>
        </w:rPr>
        <w:t>. Each Annual Award and Initial Award shall vest on the first anniversary of the date of grant, subject to the Non-Employee Independent Director continuing in service on the Board through the applicable vesting date. No portion of an Annual Award or Initial Award that is unvested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|US-DOCS\124714157.6||</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34" w:lineRule="auto"/>
        <w:rPr>
          <w:sz w:val="20"/>
          <w:szCs w:val="20"/>
          <w:color w:val="auto"/>
        </w:rPr>
      </w:pPr>
      <w:r>
        <w:rPr>
          <w:rFonts w:ascii="Arial" w:cs="Arial" w:eastAsia="Arial" w:hAnsi="Arial"/>
          <w:sz w:val="21"/>
          <w:szCs w:val="21"/>
          <w:color w:val="auto"/>
        </w:rPr>
        <w:t>the time of a Non-Employee Independent Director’s termination of service on the Board shall become vested thereafter. All of a Non-Employee Independent Director’s Annual Awards and Initial Awards shall vest in full immediately prior to the occurrence of a Change in Control (as defined in the Equity Plan), to the extent outstanding at such time.</w:t>
      </w:r>
    </w:p>
    <w:p>
      <w:pPr>
        <w:spacing w:after="0" w:line="158" w:lineRule="exact"/>
        <w:rPr>
          <w:sz w:val="20"/>
          <w:szCs w:val="20"/>
          <w:color w:val="auto"/>
        </w:rPr>
      </w:pPr>
    </w:p>
    <w:p>
      <w:pPr>
        <w:jc w:val="both"/>
        <w:ind w:firstLine="656"/>
        <w:spacing w:after="0" w:line="22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Review of Policy</w:t>
      </w:r>
      <w:r>
        <w:rPr>
          <w:rFonts w:ascii="Arial" w:cs="Arial" w:eastAsia="Arial" w:hAnsi="Arial"/>
          <w:sz w:val="22"/>
          <w:szCs w:val="22"/>
          <w:color w:val="auto"/>
        </w:rPr>
        <w:t xml:space="preserve">. </w:t>
      </w:r>
      <w:r>
        <w:rPr>
          <w:rFonts w:ascii="Arial" w:cs="Arial" w:eastAsia="Arial" w:hAnsi="Arial"/>
          <w:sz w:val="22"/>
          <w:szCs w:val="22"/>
          <w:color w:val="252525"/>
        </w:rPr>
        <w:t>The Compensation Committee shall review this Policy periodically and may recommend any</w:t>
      </w:r>
      <w:r>
        <w:rPr>
          <w:rFonts w:ascii="Arial" w:cs="Arial" w:eastAsia="Arial" w:hAnsi="Arial"/>
          <w:sz w:val="22"/>
          <w:szCs w:val="22"/>
          <w:color w:val="auto"/>
        </w:rPr>
        <w:t xml:space="preserve"> </w:t>
      </w:r>
      <w:r>
        <w:rPr>
          <w:rFonts w:ascii="Arial" w:cs="Arial" w:eastAsia="Arial" w:hAnsi="Arial"/>
          <w:sz w:val="22"/>
          <w:szCs w:val="22"/>
          <w:color w:val="252525"/>
        </w:rPr>
        <w:t>modifications to the Board. The Board will determine any changes to be made to this Policy based on the Compensation Committee's recommendations.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Revised by the Board of Directors of Fluence Energy, Inc. on December 12, 2022.</w:t>
      </w:r>
    </w:p>
    <w:p>
      <w:pPr>
        <w:spacing w:after="0" w:line="17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|US-DOCS\124714157.6||</w:t>
      </w:r>
    </w:p>
    <w:p>
      <w:pPr>
        <w:sectPr>
          <w:pgSz w:w="11900" w:h="16838" w:orient="portrait"/>
          <w:cols w:equalWidth="0" w:num="1">
            <w:col w:w="11240"/>
          </w:cols>
          <w:pgMar w:left="320" w:top="140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10.26</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20"/>
          <w:szCs w:val="20"/>
          <w:b w:val="1"/>
          <w:bCs w:val="1"/>
          <w:color w:val="auto"/>
        </w:rPr>
        <w:t>AMENDMENT NO. 1 TO REVOLVING CREDIT AGREEMENT</w:t>
      </w:r>
    </w:p>
    <w:p>
      <w:pPr>
        <w:spacing w:after="0" w:line="229" w:lineRule="exact"/>
        <w:rPr>
          <w:sz w:val="20"/>
          <w:szCs w:val="20"/>
          <w:color w:val="auto"/>
        </w:rPr>
      </w:pPr>
    </w:p>
    <w:p>
      <w:pPr>
        <w:ind w:left="660"/>
        <w:spacing w:after="0"/>
        <w:tabs>
          <w:tab w:leader="none" w:pos="1300" w:val="left"/>
          <w:tab w:leader="none" w:pos="2820" w:val="left"/>
          <w:tab w:leader="none" w:pos="3380" w:val="left"/>
          <w:tab w:leader="none" w:pos="3660" w:val="left"/>
          <w:tab w:leader="none" w:pos="4140" w:val="left"/>
          <w:tab w:leader="none" w:pos="5540" w:val="left"/>
          <w:tab w:leader="none" w:pos="6500" w:val="left"/>
          <w:tab w:leader="none" w:pos="7980" w:val="left"/>
        </w:tabs>
        <w:rPr>
          <w:sz w:val="20"/>
          <w:szCs w:val="20"/>
          <w:color w:val="auto"/>
        </w:rPr>
      </w:pPr>
      <w:r>
        <w:rPr>
          <w:rFonts w:ascii="Arial" w:cs="Arial" w:eastAsia="Arial" w:hAnsi="Arial"/>
          <w:sz w:val="20"/>
          <w:szCs w:val="20"/>
          <w:b w:val="1"/>
          <w:bCs w:val="1"/>
          <w:color w:val="auto"/>
        </w:rPr>
        <w:t>THIS</w:t>
        <w:tab/>
        <w:t>AMENDMENT</w:t>
        <w:tab/>
        <w:t>NO.</w:t>
        <w:tab/>
        <w:t>1</w:t>
        <w:tab/>
        <w:t>TO</w:t>
        <w:tab/>
        <w:t>REVOLVING</w:t>
        <w:tab/>
        <w:t>CREDIT</w:t>
        <w:tab/>
        <w:t>AGREEMENT</w:t>
      </w:r>
      <w:r>
        <w:rPr>
          <w:sz w:val="20"/>
          <w:szCs w:val="20"/>
          <w:color w:val="auto"/>
        </w:rPr>
        <w:tab/>
      </w:r>
      <w:r>
        <w:rPr>
          <w:rFonts w:ascii="Arial" w:cs="Arial" w:eastAsia="Arial" w:hAnsi="Arial"/>
          <w:sz w:val="19"/>
          <w:szCs w:val="19"/>
          <w:color w:val="auto"/>
        </w:rPr>
        <w:t>(this</w:t>
      </w:r>
    </w:p>
    <w:p>
      <w:pPr>
        <w:spacing w:after="0" w:line="8"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dated as of November 15, 2022, is entered into by and among </w:t>
      </w:r>
      <w:r>
        <w:rPr>
          <w:rFonts w:ascii="Arial" w:cs="Arial" w:eastAsia="Arial" w:hAnsi="Arial"/>
          <w:sz w:val="19"/>
          <w:szCs w:val="19"/>
          <w:b w:val="1"/>
          <w:bCs w:val="1"/>
          <w:color w:val="auto"/>
        </w:rPr>
        <w:t>FLUENCE ENERGY, INC.</w:t>
      </w:r>
      <w:r>
        <w:rPr>
          <w:rFonts w:ascii="Arial" w:cs="Arial" w:eastAsia="Arial" w:hAnsi="Arial"/>
          <w:sz w:val="19"/>
          <w:szCs w:val="19"/>
          <w:color w:val="auto"/>
        </w:rPr>
        <w:t>, a Delaware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FLUENCE ENERGY, LLC</w:t>
      </w:r>
      <w:r>
        <w:rPr>
          <w:rFonts w:ascii="Arial" w:cs="Arial" w:eastAsia="Arial" w:hAnsi="Arial"/>
          <w:sz w:val="19"/>
          <w:szCs w:val="19"/>
          <w:color w:val="auto"/>
        </w:rPr>
        <w:t>,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Guarantors party hereto, each Lender party 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in connection with that certain Revolving Credit Agreement, dated as of November 1,</w:t>
      </w:r>
    </w:p>
    <w:p>
      <w:pPr>
        <w:spacing w:after="0" w:line="224" w:lineRule="auto"/>
        <w:rPr>
          <w:sz w:val="20"/>
          <w:szCs w:val="20"/>
          <w:color w:val="auto"/>
        </w:rPr>
      </w:pPr>
      <w:r>
        <w:rPr>
          <w:rFonts w:ascii="Arial" w:cs="Arial" w:eastAsia="Arial" w:hAnsi="Arial"/>
          <w:sz w:val="19"/>
          <w:szCs w:val="19"/>
          <w:color w:val="auto"/>
        </w:rPr>
        <w:t>2021 (as it may be amended, modified, supplemented, restated or amended and restated from time to time, the “</w:t>
      </w:r>
      <w:r>
        <w:rPr>
          <w:rFonts w:ascii="Arial" w:cs="Arial" w:eastAsia="Arial" w:hAnsi="Arial"/>
          <w:sz w:val="19"/>
          <w:szCs w:val="19"/>
          <w:u w:val="single" w:color="auto"/>
          <w:color w:val="auto"/>
        </w:rPr>
        <w:t>Credit</w:t>
      </w:r>
    </w:p>
    <w:p>
      <w:pPr>
        <w:ind w:right="20"/>
        <w:spacing w:after="0" w:line="220" w:lineRule="auto"/>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entered into by and among the Borrower, the Parent, the Guarantors from time to time party thereto, the Administrative Agent and the Lenders from time to time party thereto.</w:t>
      </w:r>
    </w:p>
    <w:p>
      <w:pPr>
        <w:spacing w:after="0" w:line="204"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Borrower requested that the Lenders party hereto (constituting Required Lenders) amend the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accordance with Section 10.02 of the Credit Agreement) in certain respects, and such Lenders are willing to do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w:t>
      </w:r>
    </w:p>
    <w:p>
      <w:pPr>
        <w:spacing w:after="0" w:line="194" w:lineRule="exact"/>
        <w:rPr>
          <w:sz w:val="20"/>
          <w:szCs w:val="20"/>
          <w:color w:val="auto"/>
        </w:rPr>
      </w:pPr>
    </w:p>
    <w:p>
      <w:pPr>
        <w:ind w:right="120" w:firstLine="510"/>
        <w:spacing w:after="0" w:line="239"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execution hereof and other good and valuable consideration,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hereby agree as follows:</w:t>
      </w:r>
    </w:p>
    <w:p>
      <w:pPr>
        <w:spacing w:after="0" w:line="209" w:lineRule="exact"/>
        <w:rPr>
          <w:sz w:val="20"/>
          <w:szCs w:val="20"/>
          <w:color w:val="auto"/>
        </w:rPr>
      </w:pPr>
    </w:p>
    <w:p>
      <w:pPr>
        <w:ind w:right="60" w:firstLine="1302"/>
        <w:spacing w:after="0" w:line="276" w:lineRule="auto"/>
        <w:tabs>
          <w:tab w:leader="none" w:pos="1485" w:val="left"/>
        </w:tabs>
        <w:numPr>
          <w:ilvl w:val="1"/>
          <w:numId w:val="78"/>
        </w:numPr>
        <w:rPr>
          <w:rFonts w:ascii="Arial" w:cs="Arial" w:eastAsia="Arial" w:hAnsi="Arial"/>
          <w:sz w:val="21"/>
          <w:szCs w:val="21"/>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herein and not otherwise defined herein have the meanings given in the Credit Agreement.</w:t>
      </w:r>
    </w:p>
    <w:p>
      <w:pPr>
        <w:spacing w:after="0" w:line="200" w:lineRule="exact"/>
        <w:rPr>
          <w:rFonts w:ascii="Arial" w:cs="Arial" w:eastAsia="Arial" w:hAnsi="Arial"/>
          <w:sz w:val="21"/>
          <w:szCs w:val="21"/>
          <w:color w:val="auto"/>
        </w:rPr>
      </w:pPr>
    </w:p>
    <w:p>
      <w:pPr>
        <w:ind w:right="60" w:firstLine="1302"/>
        <w:spacing w:after="0" w:line="247" w:lineRule="auto"/>
        <w:tabs>
          <w:tab w:leader="none" w:pos="1485" w:val="left"/>
        </w:tabs>
        <w:numPr>
          <w:ilvl w:val="1"/>
          <w:numId w:val="78"/>
        </w:numPr>
        <w:rPr>
          <w:rFonts w:ascii="Arial" w:cs="Arial" w:eastAsia="Arial" w:hAnsi="Arial"/>
          <w:sz w:val="21"/>
          <w:szCs w:val="21"/>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Subject to the occurrence of the Amendment Effective Date (as defined in </w:t>
      </w:r>
      <w:r>
        <w:rPr>
          <w:rFonts w:ascii="Arial" w:cs="Arial" w:eastAsia="Arial" w:hAnsi="Arial"/>
          <w:sz w:val="19"/>
          <w:szCs w:val="19"/>
          <w:u w:val="single" w:color="auto"/>
          <w:color w:val="auto"/>
        </w:rPr>
        <w:t>Section 3</w:t>
      </w:r>
      <w:r>
        <w:rPr>
          <w:rFonts w:ascii="Arial" w:cs="Arial" w:eastAsia="Arial" w:hAnsi="Arial"/>
          <w:sz w:val="19"/>
          <w:szCs w:val="19"/>
          <w:color w:val="auto"/>
        </w:rPr>
        <w:t>), Section 6.01 (Indebtedness) of the Credit Agreement is hereby amended by replacing clause</w:t>
      </w:r>
    </w:p>
    <w:p>
      <w:pPr>
        <w:spacing w:after="0" w:line="1" w:lineRule="exact"/>
        <w:rPr>
          <w:rFonts w:ascii="Arial" w:cs="Arial" w:eastAsia="Arial" w:hAnsi="Arial"/>
          <w:sz w:val="21"/>
          <w:szCs w:val="21"/>
          <w:color w:val="auto"/>
        </w:rPr>
      </w:pPr>
    </w:p>
    <w:p>
      <w:pPr>
        <w:ind w:left="280" w:hanging="274"/>
        <w:spacing w:after="0"/>
        <w:tabs>
          <w:tab w:leader="none" w:pos="2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 its entirety with the following:</w:t>
      </w:r>
    </w:p>
    <w:p>
      <w:pPr>
        <w:spacing w:after="0" w:line="200" w:lineRule="exact"/>
        <w:rPr>
          <w:sz w:val="20"/>
          <w:szCs w:val="20"/>
          <w:color w:val="auto"/>
        </w:rPr>
      </w:pPr>
    </w:p>
    <w:p>
      <w:pPr>
        <w:ind w:left="1300" w:firstLine="2"/>
        <w:spacing w:after="0" w:line="212" w:lineRule="auto"/>
        <w:tabs>
          <w:tab w:leader="none" w:pos="15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Indebtedness incurred under the Citi Supplier Financing Agreement, only to the extent (i) such agreement pertains to ordinary course supplier financing arrangements and</w:t>
      </w:r>
    </w:p>
    <w:p>
      <w:pPr>
        <w:spacing w:after="0" w:line="1" w:lineRule="exact"/>
        <w:rPr>
          <w:rFonts w:ascii="Arial" w:cs="Arial" w:eastAsia="Arial" w:hAnsi="Arial"/>
          <w:sz w:val="20"/>
          <w:szCs w:val="20"/>
          <w:color w:val="auto"/>
        </w:rPr>
      </w:pPr>
    </w:p>
    <w:p>
      <w:pPr>
        <w:ind w:left="1600" w:hanging="298"/>
        <w:spacing w:after="0" w:line="211" w:lineRule="auto"/>
        <w:tabs>
          <w:tab w:leader="none" w:pos="16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aggregate principal amount of Indebtedness outstanding thereunder does not exceed</w:t>
      </w:r>
    </w:p>
    <w:p>
      <w:pPr>
        <w:jc w:val="both"/>
        <w:ind w:left="1300"/>
        <w:spacing w:after="0" w:line="212" w:lineRule="auto"/>
        <w:rPr>
          <w:rFonts w:ascii="Arial" w:cs="Arial" w:eastAsia="Arial" w:hAnsi="Arial"/>
          <w:sz w:val="20"/>
          <w:szCs w:val="20"/>
          <w:color w:val="auto"/>
        </w:rPr>
      </w:pPr>
      <w:r>
        <w:rPr>
          <w:rFonts w:ascii="Arial" w:cs="Arial" w:eastAsia="Arial" w:hAnsi="Arial"/>
          <w:sz w:val="20"/>
          <w:szCs w:val="20"/>
          <w:color w:val="auto"/>
        </w:rPr>
        <w:t>$200.0 million at any time; provided, however, that the Borrower shall be in compliance with Section 6.10 on a Pro Forma Basis on each date that it incurs Indebtedness under the Citi Supplier Financing Agreement that results in the outstanding amount thereunder exceeding $100.0 million (such excess amount, the “</w:t>
      </w:r>
      <w:r>
        <w:rPr>
          <w:rFonts w:ascii="Arial" w:cs="Arial" w:eastAsia="Arial" w:hAnsi="Arial"/>
          <w:sz w:val="20"/>
          <w:szCs w:val="20"/>
          <w:u w:val="single" w:color="auto"/>
          <w:color w:val="auto"/>
        </w:rPr>
        <w:t>Supplier</w:t>
      </w:r>
      <w:r>
        <w:rPr>
          <w:rFonts w:ascii="Arial" w:cs="Arial" w:eastAsia="Arial" w:hAnsi="Arial"/>
          <w:sz w:val="20"/>
          <w:szCs w:val="20"/>
          <w:color w:val="auto"/>
        </w:rPr>
        <w:t xml:space="preserve"> </w:t>
      </w:r>
      <w:r>
        <w:rPr>
          <w:rFonts w:ascii="Arial" w:cs="Arial" w:eastAsia="Arial" w:hAnsi="Arial"/>
          <w:sz w:val="20"/>
          <w:szCs w:val="20"/>
          <w:u w:val="single" w:color="auto"/>
          <w:color w:val="auto"/>
        </w:rPr>
        <w:t>Financing Excess Amount</w:t>
      </w:r>
      <w:r>
        <w:rPr>
          <w:rFonts w:ascii="Arial" w:cs="Arial" w:eastAsia="Arial" w:hAnsi="Arial"/>
          <w:sz w:val="20"/>
          <w:szCs w:val="20"/>
          <w:color w:val="auto"/>
        </w:rPr>
        <w:t>”), it being understood and agreed that solely for the purposes of such pro forma calculation the amount of “Total Liquidity” shall be deemed reduced by the Supplier Financing Excess Amount then outstanding;</w:t>
      </w:r>
    </w:p>
    <w:p>
      <w:pPr>
        <w:spacing w:after="0" w:line="223" w:lineRule="exact"/>
        <w:rPr>
          <w:sz w:val="20"/>
          <w:szCs w:val="20"/>
          <w:color w:val="auto"/>
        </w:rPr>
      </w:pPr>
    </w:p>
    <w:p>
      <w:pPr>
        <w:ind w:right="360" w:firstLine="1302"/>
        <w:spacing w:after="0" w:line="261" w:lineRule="auto"/>
        <w:tabs>
          <w:tab w:leader="none" w:pos="1485"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will become effective upon the date on which the following conditions precedent are first satisfied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w:t>
      </w:r>
    </w:p>
    <w:p>
      <w:pPr>
        <w:spacing w:after="0" w:line="215" w:lineRule="exact"/>
        <w:rPr>
          <w:rFonts w:ascii="Arial" w:cs="Arial" w:eastAsia="Arial" w:hAnsi="Arial"/>
          <w:sz w:val="21"/>
          <w:szCs w:val="21"/>
          <w:color w:val="auto"/>
        </w:rPr>
      </w:pPr>
    </w:p>
    <w:p>
      <w:pPr>
        <w:ind w:firstLine="1949"/>
        <w:spacing w:after="0" w:line="276" w:lineRule="auto"/>
        <w:tabs>
          <w:tab w:leader="none" w:pos="2791" w:val="left"/>
        </w:tabs>
        <w:numPr>
          <w:ilvl w:val="1"/>
          <w:numId w:val="82"/>
        </w:numPr>
        <w:rPr>
          <w:rFonts w:ascii="Arial" w:cs="Arial" w:eastAsia="Arial" w:hAnsi="Arial"/>
          <w:sz w:val="21"/>
          <w:szCs w:val="21"/>
          <w:color w:val="auto"/>
        </w:rPr>
      </w:pPr>
      <w:r>
        <w:rPr>
          <w:rFonts w:ascii="Arial" w:cs="Arial" w:eastAsia="Arial" w:hAnsi="Arial"/>
          <w:sz w:val="19"/>
          <w:szCs w:val="19"/>
          <w:color w:val="auto"/>
        </w:rPr>
        <w:t>The Administrative Agent shall have received from the Parent, the Borrower, each other Loan Party and the Lenders constituting the Required Lenders an executed counterpart of this Amendment; and</w:t>
      </w:r>
    </w:p>
    <w:p>
      <w:pPr>
        <w:spacing w:after="0" w:line="254" w:lineRule="exact"/>
        <w:rPr>
          <w:rFonts w:ascii="Arial" w:cs="Arial" w:eastAsia="Arial" w:hAnsi="Arial"/>
          <w:sz w:val="21"/>
          <w:szCs w:val="21"/>
          <w:color w:val="auto"/>
        </w:rPr>
      </w:pPr>
    </w:p>
    <w:p>
      <w:pPr>
        <w:jc w:val="both"/>
        <w:ind w:right="20" w:firstLine="1949"/>
        <w:spacing w:after="0" w:line="218" w:lineRule="auto"/>
        <w:tabs>
          <w:tab w:leader="none" w:pos="2789" w:val="left"/>
        </w:tabs>
        <w:numPr>
          <w:ilvl w:val="1"/>
          <w:numId w:val="82"/>
        </w:numPr>
        <w:rPr>
          <w:rFonts w:ascii="Arial" w:cs="Arial" w:eastAsia="Arial" w:hAnsi="Arial"/>
          <w:sz w:val="22"/>
          <w:szCs w:val="22"/>
          <w:color w:val="auto"/>
        </w:rPr>
      </w:pPr>
      <w:r>
        <w:rPr>
          <w:rFonts w:ascii="Arial" w:cs="Arial" w:eastAsia="Arial" w:hAnsi="Arial"/>
          <w:sz w:val="20"/>
          <w:szCs w:val="20"/>
          <w:color w:val="auto"/>
        </w:rPr>
        <w:t>The Borrower shall have paid to the Administrative Agent all fees required to be paid pursuant to the Credit Agreement, and all other amounts which are payable pursuant to Section 10.03(a) of the Credit Agreement on or prior to the Amendment Effective Date (in the case of expenses, to the extent invoiced in reasonable detail at least one (1) Business Day prior to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WEIL:\98791041\11\64101.0067</w:t>
      </w:r>
    </w:p>
    <w:p>
      <w:pPr>
        <w:sectPr>
          <w:pgSz w:w="11900" w:h="16838" w:orient="portrait"/>
          <w:cols w:equalWidth="0" w:num="1">
            <w:col w:w="10040"/>
          </w:cols>
          <w:pgMar w:left="1420" w:top="1134" w:right="439" w:bottom="1440" w:gutter="0" w:footer="0" w:header="0"/>
        </w:sectPr>
      </w:pPr>
    </w:p>
    <w:bookmarkStart w:id="133" w:name="page134"/>
    <w:bookmarkEnd w:id="133"/>
    <w:p>
      <w:pPr>
        <w:ind w:left="1020" w:right="160" w:firstLine="1302"/>
        <w:spacing w:after="0" w:line="261" w:lineRule="auto"/>
        <w:tabs>
          <w:tab w:leader="none" w:pos="2505" w:val="left"/>
        </w:tabs>
        <w:numPr>
          <w:ilvl w:val="0"/>
          <w:numId w:val="83"/>
        </w:numPr>
        <w:rPr>
          <w:rFonts w:ascii="Arial" w:cs="Arial" w:eastAsia="Arial" w:hAnsi="Arial"/>
          <w:sz w:val="21"/>
          <w:szCs w:val="21"/>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Loan Party represents and warrants, as of the date hereof, that, after giving effect to the provisions of this Amendment:</w:t>
      </w:r>
    </w:p>
    <w:p>
      <w:pPr>
        <w:spacing w:after="0" w:line="201" w:lineRule="exact"/>
        <w:rPr>
          <w:rFonts w:ascii="Arial" w:cs="Arial" w:eastAsia="Arial" w:hAnsi="Arial"/>
          <w:sz w:val="21"/>
          <w:szCs w:val="21"/>
          <w:color w:val="auto"/>
        </w:rPr>
      </w:pPr>
    </w:p>
    <w:p>
      <w:pPr>
        <w:jc w:val="both"/>
        <w:ind w:left="1020" w:right="20" w:firstLine="1949"/>
        <w:spacing w:after="0" w:line="222" w:lineRule="auto"/>
        <w:tabs>
          <w:tab w:leader="none" w:pos="3811" w:val="left"/>
        </w:tabs>
        <w:numPr>
          <w:ilvl w:val="1"/>
          <w:numId w:val="83"/>
        </w:numPr>
        <w:rPr>
          <w:rFonts w:ascii="Arial" w:cs="Arial" w:eastAsia="Arial" w:hAnsi="Arial"/>
          <w:sz w:val="21"/>
          <w:szCs w:val="21"/>
          <w:color w:val="auto"/>
        </w:rPr>
      </w:pPr>
      <w:r>
        <w:rPr>
          <w:rFonts w:ascii="Arial" w:cs="Arial" w:eastAsia="Arial" w:hAnsi="Arial"/>
          <w:sz w:val="19"/>
          <w:szCs w:val="19"/>
          <w:color w:val="auto"/>
        </w:rPr>
        <w:t xml:space="preserve">each of the representations and warranties of the Loan Parties contained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of the Credit Agreement or any other Loan Document shall be true and correct, in all material respects (unless already qualified by materiality or “Material Adverse Effect” in which case, they shall be true and correct in all respects), on and as of the date hereof, except to the extent that such representations and warranties specifically refer to an earlier date, in which case they shall be true and correct, in all material respects (unless already qualified by materiality or “Material Adverse Effect”, in which case, they shall be true and correct in all respects), as of such earlier date; and</w:t>
      </w:r>
    </w:p>
    <w:p>
      <w:pPr>
        <w:spacing w:after="0" w:line="224" w:lineRule="exact"/>
        <w:rPr>
          <w:rFonts w:ascii="Arial" w:cs="Arial" w:eastAsia="Arial" w:hAnsi="Arial"/>
          <w:sz w:val="21"/>
          <w:szCs w:val="21"/>
          <w:color w:val="auto"/>
        </w:rPr>
      </w:pPr>
    </w:p>
    <w:p>
      <w:pPr>
        <w:ind w:left="1020" w:firstLine="1949"/>
        <w:spacing w:after="0" w:line="250" w:lineRule="auto"/>
        <w:tabs>
          <w:tab w:leader="none" w:pos="3810" w:val="left"/>
        </w:tabs>
        <w:numPr>
          <w:ilvl w:val="1"/>
          <w:numId w:val="83"/>
        </w:numPr>
        <w:rPr>
          <w:rFonts w:ascii="Arial" w:cs="Arial" w:eastAsia="Arial" w:hAnsi="Arial"/>
          <w:sz w:val="22"/>
          <w:szCs w:val="22"/>
          <w:color w:val="auto"/>
        </w:rPr>
      </w:pPr>
      <w:r>
        <w:rPr>
          <w:rFonts w:ascii="Arial" w:cs="Arial" w:eastAsia="Arial" w:hAnsi="Arial"/>
          <w:sz w:val="20"/>
          <w:szCs w:val="20"/>
          <w:color w:val="auto"/>
        </w:rPr>
        <w:t>no Default or Event of Default has occurred or is continuing, or would result, from this Amendment, or the transactions contemplated hereby.</w:t>
      </w:r>
    </w:p>
    <w:p>
      <w:pPr>
        <w:spacing w:after="0" w:line="209" w:lineRule="exact"/>
        <w:rPr>
          <w:rFonts w:ascii="Arial" w:cs="Arial" w:eastAsia="Arial" w:hAnsi="Arial"/>
          <w:sz w:val="22"/>
          <w:szCs w:val="22"/>
          <w:color w:val="auto"/>
        </w:rPr>
      </w:pPr>
    </w:p>
    <w:p>
      <w:pPr>
        <w:ind w:left="2600" w:hanging="279"/>
        <w:spacing w:after="0"/>
        <w:tabs>
          <w:tab w:leader="none" w:pos="2600" w:val="left"/>
        </w:tabs>
        <w:numPr>
          <w:ilvl w:val="0"/>
          <w:numId w:val="83"/>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jc w:val="both"/>
        <w:ind w:left="1020" w:firstLine="1949"/>
        <w:spacing w:after="0" w:line="236" w:lineRule="auto"/>
        <w:tabs>
          <w:tab w:leader="none" w:pos="3811" w:val="left"/>
        </w:tabs>
        <w:numPr>
          <w:ilvl w:val="1"/>
          <w:numId w:val="83"/>
        </w:numPr>
        <w:rPr>
          <w:rFonts w:ascii="Arial" w:cs="Arial" w:eastAsia="Arial" w:hAnsi="Arial"/>
          <w:sz w:val="19"/>
          <w:szCs w:val="19"/>
          <w:color w:val="auto"/>
        </w:rPr>
      </w:pPr>
      <w:r>
        <w:rPr>
          <w:rFonts w:ascii="Arial" w:cs="Arial" w:eastAsia="Arial" w:hAnsi="Arial"/>
          <w:sz w:val="18"/>
          <w:szCs w:val="18"/>
          <w:color w:val="auto"/>
        </w:rPr>
        <w:t>By executing and delivering a copy of this Amendment, the Borrower and each other Loan Party hereby reaffirms its prior grant and the validity of the Liens granted by it pursuant to the Security Documents, affirms, acknowledges and confirms all of its guaranty and other obligations and liabilities under the Credit Agreement, as amended hereby, and each other Loan Document to which it is a party, all in accordance with respective the terms thereof, and acknowledges and agrees that such obligations and liabilities continue in full force and effect in respect of, and to secure, the Obligations under the Credit Agreement and the other Loan Documents, in each case after giving effect to this Amendment.</w:t>
      </w:r>
    </w:p>
    <w:p>
      <w:pPr>
        <w:spacing w:after="0" w:line="211" w:lineRule="exact"/>
        <w:rPr>
          <w:rFonts w:ascii="Arial" w:cs="Arial" w:eastAsia="Arial" w:hAnsi="Arial"/>
          <w:sz w:val="19"/>
          <w:szCs w:val="19"/>
          <w:color w:val="auto"/>
        </w:rPr>
      </w:pPr>
    </w:p>
    <w:p>
      <w:pPr>
        <w:jc w:val="both"/>
        <w:ind w:left="1020" w:firstLine="1949"/>
        <w:spacing w:after="0" w:line="222" w:lineRule="auto"/>
        <w:tabs>
          <w:tab w:leader="none" w:pos="3810" w:val="left"/>
        </w:tabs>
        <w:numPr>
          <w:ilvl w:val="1"/>
          <w:numId w:val="83"/>
        </w:numPr>
        <w:rPr>
          <w:rFonts w:ascii="Arial" w:cs="Arial" w:eastAsia="Arial" w:hAnsi="Arial"/>
          <w:sz w:val="21"/>
          <w:szCs w:val="21"/>
          <w:color w:val="auto"/>
        </w:rPr>
      </w:pPr>
      <w:r>
        <w:rPr>
          <w:rFonts w:ascii="Arial" w:cs="Arial" w:eastAsia="Arial" w:hAnsi="Arial"/>
          <w:sz w:val="19"/>
          <w:szCs w:val="19"/>
          <w:color w:val="auto"/>
        </w:rPr>
        <w:t>This Amendment may be executed in any number of counterparts and by different parties hereto in separate counterparts, each of which when so executed shall be deemed to be an original and all of which taken together shall constitute one and the same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24" w:lineRule="exact"/>
        <w:rPr>
          <w:rFonts w:ascii="Arial" w:cs="Arial" w:eastAsia="Arial" w:hAnsi="Arial"/>
          <w:sz w:val="21"/>
          <w:szCs w:val="21"/>
          <w:color w:val="auto"/>
        </w:rPr>
      </w:pPr>
    </w:p>
    <w:p>
      <w:pPr>
        <w:jc w:val="both"/>
        <w:ind w:left="1020" w:firstLine="1949"/>
        <w:spacing w:after="0" w:line="244" w:lineRule="auto"/>
        <w:tabs>
          <w:tab w:leader="none" w:pos="3811" w:val="left"/>
        </w:tabs>
        <w:numPr>
          <w:ilvl w:val="1"/>
          <w:numId w:val="83"/>
        </w:numPr>
        <w:rPr>
          <w:rFonts w:ascii="Arial" w:cs="Arial" w:eastAsia="Arial" w:hAnsi="Arial"/>
          <w:sz w:val="22"/>
          <w:szCs w:val="22"/>
          <w:color w:val="auto"/>
        </w:rPr>
      </w:pPr>
      <w:r>
        <w:rPr>
          <w:rFonts w:ascii="Arial" w:cs="Arial" w:eastAsia="Arial" w:hAnsi="Arial"/>
          <w:sz w:val="20"/>
          <w:szCs w:val="20"/>
          <w:color w:val="auto"/>
        </w:rPr>
        <w:t xml:space="preserve">SECTION 10.09 (GOVERNING LAW; JURISDICTION; CONSENT TO SERVICE OF PROCESS) AND SECTION 10.10 (WAIVER OF JURY TRIAL) OF THE CREDIT AGREEMENT ARE HEREBY INCORPORATED BY REFERENCE </w:t>
      </w:r>
      <w:r>
        <w:rPr>
          <w:rFonts w:ascii="Arial" w:cs="Arial" w:eastAsia="Arial" w:hAnsi="Arial"/>
          <w:sz w:val="20"/>
          <w:szCs w:val="20"/>
          <w:i w:val="1"/>
          <w:iCs w:val="1"/>
          <w:color w:val="auto"/>
        </w:rPr>
        <w:t>MUTATIS MUTANDIS.</w:t>
      </w:r>
    </w:p>
    <w:p>
      <w:pPr>
        <w:spacing w:after="0" w:line="220" w:lineRule="exact"/>
        <w:rPr>
          <w:rFonts w:ascii="Arial" w:cs="Arial" w:eastAsia="Arial" w:hAnsi="Arial"/>
          <w:sz w:val="22"/>
          <w:szCs w:val="22"/>
          <w:color w:val="auto"/>
        </w:rPr>
      </w:pPr>
    </w:p>
    <w:p>
      <w:pPr>
        <w:jc w:val="both"/>
        <w:ind w:left="1020" w:firstLine="1949"/>
        <w:spacing w:after="0" w:line="220" w:lineRule="auto"/>
        <w:tabs>
          <w:tab w:leader="none" w:pos="3809" w:val="left"/>
        </w:tabs>
        <w:numPr>
          <w:ilvl w:val="1"/>
          <w:numId w:val="83"/>
        </w:numPr>
        <w:rPr>
          <w:rFonts w:ascii="Arial" w:cs="Arial" w:eastAsia="Arial" w:hAnsi="Arial"/>
          <w:sz w:val="21"/>
          <w:szCs w:val="21"/>
          <w:color w:val="auto"/>
        </w:rPr>
      </w:pPr>
      <w:r>
        <w:rPr>
          <w:rFonts w:ascii="Arial" w:cs="Arial" w:eastAsia="Arial" w:hAnsi="Arial"/>
          <w:sz w:val="19"/>
          <w:szCs w:val="19"/>
          <w:color w:val="auto"/>
        </w:rPr>
        <w:t>The parties hereto agree that from the Amendment Effective Date, this Amendment and the Credit Agreement shall be construed as a single agreement and this Amendment is a Loan Document. Except as expressly set forth herein, this Amendment shall not modify, limit, impair, constitute a waiver of or otherwise affect the rights and remedies of the Lenders or the Administrative Agent under the Credit Agreement or any other Loan Document, and shall not (and shall not be deemed to) alter, modify, amend or in any way affect any of the terms, conditions, obligations, covenants or agreements of the Borrower and each other Loan Party contained in the Credit Agreement or any other provision of the Credit Agreement or of any other Loan Document, all of which are ratified and affirmed by the Borrower and each Loan Party, as applicable, in all respects and shall continue in full force and effect. This Amendment shall not constitute a novation of the Credit Agreement or any of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60"/>
          </w:cols>
          <w:pgMar w:left="400" w:top="1432" w:right="439" w:bottom="1440" w:gutter="0" w:footer="0" w:header="0"/>
        </w:sectPr>
      </w:pPr>
    </w:p>
    <w:bookmarkStart w:id="134" w:name="page135"/>
    <w:bookmarkEnd w:id="134"/>
    <w:p>
      <w:pPr>
        <w:ind w:left="2060"/>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9019"/>
          </w:cols>
          <w:pgMar w:left="1440" w:top="1392" w:right="1440"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Amendment to be duly executed as of the date first above written.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FLUENCE ENERGY, LLC</w:t>
      </w:r>
    </w:p>
    <w:p>
      <w:pP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spacing w:after="0" w:line="23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074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 Manavendra Sial</w:t>
      </w:r>
    </w:p>
    <w:p>
      <w:pPr>
        <w:ind w:left="660"/>
        <w:spacing w:after="0"/>
        <w:rPr>
          <w:sz w:val="20"/>
          <w:szCs w:val="20"/>
          <w:color w:val="auto"/>
        </w:rPr>
      </w:pPr>
      <w:r>
        <w:rPr>
          <w:rFonts w:ascii="Arial" w:cs="Arial" w:eastAsia="Arial" w:hAnsi="Arial"/>
          <w:sz w:val="20"/>
          <w:szCs w:val="20"/>
          <w:color w:val="auto"/>
        </w:rPr>
        <w:t>Title: Senior Vice President and Chief Financial Officer</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6433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164338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 Francis A. Fuselier</w:t>
      </w:r>
    </w:p>
    <w:p>
      <w:pPr>
        <w:ind w:left="660"/>
        <w:spacing w:after="0"/>
        <w:rPr>
          <w:sz w:val="20"/>
          <w:szCs w:val="20"/>
          <w:color w:val="auto"/>
        </w:rPr>
      </w:pPr>
      <w:r>
        <w:rPr>
          <w:rFonts w:ascii="Arial" w:cs="Arial" w:eastAsia="Arial" w:hAnsi="Arial"/>
          <w:sz w:val="20"/>
          <w:szCs w:val="20"/>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880"/>
          </w:cols>
          <w:pgMar w:left="320" w:top="1399" w:right="6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074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Manavendra Sial</w:t>
      </w:r>
    </w:p>
    <w:p>
      <w:pPr>
        <w:ind w:left="660"/>
        <w:spacing w:after="0"/>
        <w:rPr>
          <w:sz w:val="20"/>
          <w:szCs w:val="20"/>
          <w:color w:val="auto"/>
        </w:rPr>
      </w:pPr>
      <w:r>
        <w:rPr>
          <w:rFonts w:ascii="Arial" w:cs="Arial" w:eastAsia="Arial" w:hAnsi="Arial"/>
          <w:sz w:val="20"/>
          <w:szCs w:val="20"/>
          <w:color w:val="auto"/>
        </w:rPr>
        <w:t>Title: Senior Vice President &amp; Chief Financial Officer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6433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164338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Francis A. Fuselier</w:t>
      </w:r>
    </w:p>
    <w:p>
      <w:pPr>
        <w:ind w:left="660"/>
        <w:spacing w:after="0"/>
        <w:rPr>
          <w:sz w:val="20"/>
          <w:szCs w:val="20"/>
          <w:color w:val="auto"/>
        </w:rPr>
      </w:pPr>
      <w:r>
        <w:rPr>
          <w:rFonts w:ascii="Arial" w:cs="Arial" w:eastAsia="Arial" w:hAnsi="Arial"/>
          <w:sz w:val="20"/>
          <w:szCs w:val="20"/>
          <w:color w:val="auto"/>
        </w:rPr>
        <w:t>Title: Senior Vice President,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FLUENCE ENERGY, GMBH</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Markus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395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Markus Meyer</w:t>
      </w:r>
    </w:p>
    <w:p>
      <w:pPr>
        <w:ind w:left="660"/>
        <w:spacing w:after="0"/>
        <w:rPr>
          <w:sz w:val="20"/>
          <w:szCs w:val="20"/>
          <w:color w:val="auto"/>
        </w:rPr>
      </w:pPr>
      <w:r>
        <w:rPr>
          <w:rFonts w:ascii="Arial" w:cs="Arial" w:eastAsia="Arial" w:hAnsi="Arial"/>
          <w:sz w:val="20"/>
          <w:szCs w:val="20"/>
          <w:color w:val="auto"/>
        </w:rPr>
        <w:t>Title: Managing Director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Gillessen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633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156337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Michael Gillessen</w:t>
      </w:r>
    </w:p>
    <w:p>
      <w:pPr>
        <w:ind w:left="6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Executed as an agreement.</w:t>
      </w:r>
    </w:p>
    <w:p>
      <w:pPr>
        <w:spacing w:after="0" w:line="49" w:lineRule="exact"/>
        <w:rPr>
          <w:sz w:val="20"/>
          <w:szCs w:val="20"/>
          <w:color w:val="auto"/>
        </w:rPr>
      </w:pPr>
    </w:p>
    <w:p>
      <w:pPr>
        <w:ind w:left="20" w:right="5039"/>
        <w:spacing w:after="0" w:line="282" w:lineRule="auto"/>
        <w:rPr>
          <w:sz w:val="20"/>
          <w:szCs w:val="20"/>
          <w:color w:val="auto"/>
        </w:rPr>
      </w:pPr>
      <w:r>
        <w:rPr>
          <w:rFonts w:ascii="Arial" w:cs="Arial" w:eastAsia="Arial" w:hAnsi="Arial"/>
          <w:sz w:val="18"/>
          <w:szCs w:val="18"/>
          <w:color w:val="auto"/>
        </w:rPr>
        <w:t xml:space="preserve">Signed by </w:t>
      </w:r>
      <w:r>
        <w:rPr>
          <w:rFonts w:ascii="Arial" w:cs="Arial" w:eastAsia="Arial" w:hAnsi="Arial"/>
          <w:sz w:val="18"/>
          <w:szCs w:val="18"/>
          <w:b w:val="1"/>
          <w:bCs w:val="1"/>
          <w:color w:val="auto"/>
        </w:rPr>
        <w:t>Fluence Energy Pty Ltd</w:t>
      </w:r>
      <w:r>
        <w:rPr>
          <w:rFonts w:ascii="Arial" w:cs="Arial" w:eastAsia="Arial" w:hAnsi="Arial"/>
          <w:sz w:val="18"/>
          <w:szCs w:val="18"/>
          <w:color w:val="auto"/>
        </w:rPr>
        <w:t xml:space="preserve"> in accordance with section 127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by: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gridSpan w:val="3"/>
          </w:tcPr>
          <w:p>
            <w:pPr>
              <w:spacing w:after="0"/>
              <w:rPr>
                <w:sz w:val="20"/>
                <w:szCs w:val="20"/>
                <w:color w:val="auto"/>
              </w:rPr>
            </w:pPr>
            <w:r>
              <w:rPr>
                <w:rFonts w:ascii="Arial" w:cs="Arial" w:eastAsia="Arial" w:hAnsi="Arial"/>
                <w:sz w:val="18"/>
                <w:szCs w:val="18"/>
                <w:color w:val="auto"/>
              </w:rPr>
              <w:t>/s/ Andrew Kelley</w:t>
            </w:r>
          </w:p>
        </w:tc>
        <w:tc>
          <w:tcPr>
            <w:tcW w:w="2440" w:type="dxa"/>
            <w:vAlign w:val="bottom"/>
            <w:gridSpan w:val="3"/>
          </w:tcPr>
          <w:p>
            <w:pPr>
              <w:spacing w:after="0"/>
              <w:rPr>
                <w:sz w:val="20"/>
                <w:szCs w:val="20"/>
                <w:color w:val="auto"/>
              </w:rPr>
            </w:pPr>
            <w:r>
              <w:rPr>
                <w:rFonts w:ascii="Arial" w:cs="Arial" w:eastAsia="Arial" w:hAnsi="Arial"/>
                <w:sz w:val="18"/>
                <w:szCs w:val="18"/>
                <w:color w:val="auto"/>
              </w:rPr>
              <w:t>/s/ Richard Ward</w:t>
            </w:r>
          </w:p>
        </w:tc>
      </w:tr>
      <w:tr>
        <w:trPr>
          <w:trHeight w:val="20"/>
        </w:trPr>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9"/>
        </w:trPr>
        <w:tc>
          <w:tcPr>
            <w:tcW w:w="5640" w:type="dxa"/>
            <w:vAlign w:val="bottom"/>
            <w:gridSpan w:val="3"/>
          </w:tcPr>
          <w:p>
            <w:pPr>
              <w:spacing w:after="0"/>
              <w:rPr>
                <w:sz w:val="20"/>
                <w:szCs w:val="20"/>
                <w:color w:val="auto"/>
              </w:rPr>
            </w:pPr>
            <w:r>
              <w:rPr>
                <w:rFonts w:ascii="Arial" w:cs="Arial" w:eastAsia="Arial" w:hAnsi="Arial"/>
                <w:sz w:val="18"/>
                <w:szCs w:val="18"/>
                <w:color w:val="auto"/>
              </w:rPr>
              <w:t>Signature of director</w:t>
            </w:r>
          </w:p>
        </w:tc>
        <w:tc>
          <w:tcPr>
            <w:tcW w:w="2440" w:type="dxa"/>
            <w:vAlign w:val="bottom"/>
            <w:gridSpan w:val="3"/>
          </w:tcPr>
          <w:p>
            <w:pPr>
              <w:spacing w:after="0"/>
              <w:rPr>
                <w:sz w:val="20"/>
                <w:szCs w:val="20"/>
                <w:color w:val="auto"/>
              </w:rPr>
            </w:pPr>
            <w:r>
              <w:rPr>
                <w:rFonts w:ascii="Arial" w:cs="Arial" w:eastAsia="Arial" w:hAnsi="Arial"/>
                <w:sz w:val="18"/>
                <w:szCs w:val="18"/>
                <w:color w:val="auto"/>
              </w:rPr>
              <w:t>Signature of director/secretary</w:t>
            </w:r>
          </w:p>
        </w:tc>
      </w:tr>
      <w:tr>
        <w:trPr>
          <w:trHeight w:val="190"/>
        </w:trPr>
        <w:tc>
          <w:tcPr>
            <w:tcW w:w="1120" w:type="dxa"/>
            <w:vAlign w:val="bottom"/>
          </w:tcPr>
          <w:p>
            <w:pPr>
              <w:spacing w:after="0" w:line="190" w:lineRule="exact"/>
              <w:rPr>
                <w:sz w:val="20"/>
                <w:szCs w:val="20"/>
                <w:color w:val="auto"/>
              </w:rPr>
            </w:pPr>
            <w:r>
              <w:rPr>
                <w:rFonts w:ascii="Arial" w:cs="Arial" w:eastAsia="Arial" w:hAnsi="Arial"/>
                <w:sz w:val="18"/>
                <w:szCs w:val="18"/>
                <w:color w:val="auto"/>
                <w:w w:val="95"/>
              </w:rPr>
              <w:t>Andrew Kelley</w:t>
            </w:r>
          </w:p>
        </w:tc>
        <w:tc>
          <w:tcPr>
            <w:tcW w:w="4520" w:type="dxa"/>
            <w:vAlign w:val="bottom"/>
            <w:gridSpan w:val="2"/>
          </w:tcPr>
          <w:p>
            <w:pPr>
              <w:spacing w:after="0"/>
              <w:rPr>
                <w:sz w:val="16"/>
                <w:szCs w:val="16"/>
                <w:color w:val="auto"/>
              </w:rPr>
            </w:pPr>
          </w:p>
        </w:tc>
        <w:tc>
          <w:tcPr>
            <w:tcW w:w="2440" w:type="dxa"/>
            <w:vAlign w:val="bottom"/>
            <w:gridSpan w:val="3"/>
          </w:tcPr>
          <w:p>
            <w:pPr>
              <w:spacing w:after="0" w:line="190" w:lineRule="exact"/>
              <w:rPr>
                <w:sz w:val="20"/>
                <w:szCs w:val="20"/>
                <w:color w:val="auto"/>
              </w:rPr>
            </w:pPr>
            <w:r>
              <w:rPr>
                <w:rFonts w:ascii="Arial" w:cs="Arial" w:eastAsia="Arial" w:hAnsi="Arial"/>
                <w:sz w:val="18"/>
                <w:szCs w:val="18"/>
                <w:color w:val="auto"/>
              </w:rPr>
              <w:t>Richard Ward</w:t>
            </w:r>
          </w:p>
        </w:tc>
      </w:tr>
      <w:tr>
        <w:trPr>
          <w:trHeight w:val="20"/>
        </w:trPr>
        <w:tc>
          <w:tcPr>
            <w:tcW w:w="1120" w:type="dxa"/>
            <w:vAlign w:val="bottom"/>
            <w:shd w:val="clear" w:color="auto" w:fill="000000"/>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250"/>
        </w:trPr>
        <w:tc>
          <w:tcPr>
            <w:tcW w:w="5640" w:type="dxa"/>
            <w:vAlign w:val="bottom"/>
            <w:gridSpan w:val="3"/>
          </w:tcPr>
          <w:p>
            <w:pPr>
              <w:spacing w:after="0"/>
              <w:rPr>
                <w:sz w:val="20"/>
                <w:szCs w:val="20"/>
                <w:color w:val="auto"/>
              </w:rPr>
            </w:pPr>
            <w:r>
              <w:rPr>
                <w:rFonts w:ascii="Arial" w:cs="Arial" w:eastAsia="Arial" w:hAnsi="Arial"/>
                <w:sz w:val="18"/>
                <w:szCs w:val="18"/>
                <w:color w:val="auto"/>
              </w:rPr>
              <w:t>Name of director (print)</w:t>
            </w:r>
          </w:p>
        </w:tc>
        <w:tc>
          <w:tcPr>
            <w:tcW w:w="2440" w:type="dxa"/>
            <w:vAlign w:val="bottom"/>
            <w:gridSpan w:val="3"/>
          </w:tcPr>
          <w:p>
            <w:pPr>
              <w:spacing w:after="0"/>
              <w:rPr>
                <w:sz w:val="20"/>
                <w:szCs w:val="20"/>
                <w:color w:val="auto"/>
              </w:rPr>
            </w:pPr>
            <w:r>
              <w:rPr>
                <w:rFonts w:ascii="Arial" w:cs="Arial" w:eastAsia="Arial" w:hAnsi="Arial"/>
                <w:sz w:val="18"/>
                <w:szCs w:val="18"/>
                <w:color w:val="auto"/>
                <w:w w:val="91"/>
              </w:rPr>
              <w:t>Name of director/secretary (print)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39" w:name="page140"/>
    <w:bookmarkEnd w:id="139"/>
    <w:p>
      <w:pPr>
        <w:ind w:right="4259"/>
        <w:spacing w:after="0" w:line="239" w:lineRule="auto"/>
        <w:rPr>
          <w:sz w:val="20"/>
          <w:szCs w:val="20"/>
          <w:color w:val="auto"/>
        </w:rPr>
      </w:pPr>
      <w:r>
        <w:rPr>
          <w:rFonts w:ascii="Arial" w:cs="Arial" w:eastAsia="Arial" w:hAnsi="Arial"/>
          <w:sz w:val="20"/>
          <w:szCs w:val="20"/>
          <w:b w:val="1"/>
          <w:bCs w:val="1"/>
          <w:color w:val="auto"/>
        </w:rPr>
        <w:t xml:space="preserve">FLUENCE ENERGY GLOBAL PRODUCTION OPERATION, LLC </w:t>
      </w:r>
      <w:r>
        <w:rPr>
          <w:rFonts w:ascii="Arial" w:cs="Arial" w:eastAsia="Arial" w:hAnsi="Arial"/>
          <w:sz w:val="20"/>
          <w:szCs w:val="20"/>
          <w:color w:val="auto"/>
        </w:rPr>
        <w:t>as a Loan Party</w:t>
      </w:r>
    </w:p>
    <w:p>
      <w:pPr>
        <w:spacing w:after="0" w:line="200" w:lineRule="exact"/>
        <w:rPr>
          <w:sz w:val="20"/>
          <w:szCs w:val="20"/>
          <w:color w:val="auto"/>
        </w:rPr>
      </w:pP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074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Manavendra Sial</w:t>
      </w:r>
    </w:p>
    <w:p>
      <w:pPr>
        <w:ind w:left="660"/>
        <w:spacing w:after="0"/>
        <w:rPr>
          <w:sz w:val="20"/>
          <w:szCs w:val="20"/>
          <w:color w:val="auto"/>
        </w:rPr>
      </w:pPr>
      <w:r>
        <w:rPr>
          <w:rFonts w:ascii="Arial" w:cs="Arial" w:eastAsia="Arial" w:hAnsi="Arial"/>
          <w:sz w:val="20"/>
          <w:szCs w:val="20"/>
          <w:color w:val="auto"/>
        </w:rPr>
        <w:t>Title: Senior Vice President &amp; Chief Financial Officer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6433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164338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Francis A. Fuselier</w:t>
      </w:r>
    </w:p>
    <w:p>
      <w:pPr>
        <w:ind w:left="660"/>
        <w:spacing w:after="0"/>
        <w:rPr>
          <w:sz w:val="20"/>
          <w:szCs w:val="20"/>
          <w:color w:val="auto"/>
        </w:rPr>
      </w:pPr>
      <w:r>
        <w:rPr>
          <w:rFonts w:ascii="Arial" w:cs="Arial" w:eastAsia="Arial" w:hAnsi="Arial"/>
          <w:sz w:val="20"/>
          <w:szCs w:val="20"/>
          <w:color w:val="auto"/>
        </w:rPr>
        <w:t>Title: Senior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9" w:right="1440"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FLUENCE ENERGY INC.</w:t>
      </w:r>
    </w:p>
    <w:p>
      <w:pPr>
        <w:spacing w:after="0"/>
        <w:rPr>
          <w:sz w:val="20"/>
          <w:szCs w:val="20"/>
          <w:color w:val="auto"/>
        </w:rPr>
      </w:pPr>
      <w:r>
        <w:rPr>
          <w:rFonts w:ascii="Arial" w:cs="Arial" w:eastAsia="Arial" w:hAnsi="Arial"/>
          <w:sz w:val="20"/>
          <w:szCs w:val="20"/>
          <w:color w:val="auto"/>
        </w:rPr>
        <w:t>as a Loan Party</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Dong Hoon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4624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1462405"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Dong Hoon Lee</w:t>
      </w:r>
    </w:p>
    <w:p>
      <w:pPr>
        <w:ind w:left="660"/>
        <w:spacing w:after="0"/>
        <w:rPr>
          <w:sz w:val="20"/>
          <w:szCs w:val="20"/>
          <w:color w:val="auto"/>
        </w:rPr>
      </w:pPr>
      <w:r>
        <w:rPr>
          <w:rFonts w:ascii="Arial" w:cs="Arial" w:eastAsia="Arial" w:hAnsi="Arial"/>
          <w:sz w:val="20"/>
          <w:szCs w:val="20"/>
          <w:color w:val="auto"/>
        </w:rPr>
        <w:t>Title: President</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Edgard Tordecilla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5544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Edgard Tordecilla</w:t>
      </w:r>
    </w:p>
    <w:p>
      <w:pPr>
        <w:ind w:left="660"/>
        <w:spacing w:after="0"/>
        <w:rPr>
          <w:sz w:val="20"/>
          <w:szCs w:val="20"/>
          <w:color w:val="auto"/>
        </w:rPr>
      </w:pPr>
      <w:r>
        <w:rPr>
          <w:rFonts w:ascii="Arial" w:cs="Arial" w:eastAsia="Arial" w:hAnsi="Arial"/>
          <w:sz w:val="20"/>
          <w:szCs w:val="20"/>
          <w:color w:val="auto"/>
        </w:rPr>
        <w:t>Title: Finance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JPMORGAN CHASE BANK, N.A.</w:t>
      </w:r>
    </w:p>
    <w:p>
      <w:pPr>
        <w:spacing w:after="0"/>
        <w:rPr>
          <w:sz w:val="20"/>
          <w:szCs w:val="20"/>
          <w:color w:val="auto"/>
        </w:rPr>
      </w:pPr>
      <w:r>
        <w:rPr>
          <w:rFonts w:ascii="Arial" w:cs="Arial" w:eastAsia="Arial" w:hAnsi="Arial"/>
          <w:sz w:val="20"/>
          <w:szCs w:val="20"/>
          <w:color w:val="auto"/>
        </w:rPr>
        <w:t>as the Administrative Agent and a Lender</w:t>
      </w:r>
    </w:p>
    <w:p>
      <w:pPr>
        <w:spacing w:after="0" w:line="200" w:lineRule="exact"/>
        <w:rPr>
          <w:sz w:val="20"/>
          <w:szCs w:val="20"/>
          <w:color w:val="auto"/>
        </w:rPr>
      </w:pP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423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Arina Mavilian</w:t>
      </w:r>
    </w:p>
    <w:p>
      <w:pPr>
        <w:ind w:left="66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Tim Kok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13563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Tim Kok</w:t>
      </w:r>
    </w:p>
    <w:p>
      <w:pPr>
        <w:ind w:left="6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-7620</wp:posOffset>
            </wp:positionV>
            <wp:extent cx="2016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 Christopher J. Heitker</w:t>
      </w:r>
    </w:p>
    <w:p>
      <w:pPr>
        <w:ind w:left="66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Warren Veech III</w:t>
            </w:r>
          </w:p>
        </w:tc>
      </w:tr>
      <w:tr>
        <w:trPr>
          <w:trHeight w:val="179"/>
        </w:trPr>
        <w:tc>
          <w:tcPr>
            <w:tcW w:w="500" w:type="dxa"/>
            <w:vAlign w:val="bottom"/>
          </w:tcPr>
          <w:p>
            <w:pPr>
              <w:spacing w:after="0"/>
              <w:rPr>
                <w:sz w:val="15"/>
                <w:szCs w:val="15"/>
                <w:color w:val="auto"/>
              </w:rPr>
            </w:pPr>
          </w:p>
        </w:tc>
        <w:tc>
          <w:tcPr>
            <w:tcW w:w="2780" w:type="dxa"/>
            <w:vAlign w:val="bottom"/>
          </w:tcPr>
          <w:p>
            <w:pPr>
              <w:ind w:left="160"/>
              <w:spacing w:after="0" w:line="179" w:lineRule="exact"/>
              <w:rPr>
                <w:sz w:val="20"/>
                <w:szCs w:val="20"/>
                <w:color w:val="auto"/>
              </w:rPr>
            </w:pPr>
            <w:r>
              <w:rPr>
                <w:rFonts w:ascii="Arial" w:cs="Arial" w:eastAsia="Arial" w:hAnsi="Arial"/>
                <w:sz w:val="20"/>
                <w:szCs w:val="20"/>
                <w:color w:val="auto"/>
              </w:rPr>
              <w:t>Name: Warren Veech III</w:t>
            </w:r>
          </w:p>
        </w:tc>
      </w:tr>
      <w:tr>
        <w:trPr>
          <w:trHeight w:val="250"/>
        </w:trPr>
        <w:tc>
          <w:tcPr>
            <w:tcW w:w="500" w:type="dxa"/>
            <w:vAlign w:val="bottom"/>
          </w:tcPr>
          <w:p>
            <w:pPr>
              <w:spacing w:after="0"/>
              <w:rPr>
                <w:sz w:val="21"/>
                <w:szCs w:val="21"/>
                <w:color w:val="auto"/>
              </w:rPr>
            </w:pPr>
          </w:p>
        </w:tc>
        <w:tc>
          <w:tcPr>
            <w:tcW w:w="2780" w:type="dxa"/>
            <w:vAlign w:val="bottom"/>
          </w:tcPr>
          <w:p>
            <w:pPr>
              <w:ind w:left="16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b w:val="1"/>
          <w:bCs w:val="1"/>
          <w:color w:val="auto"/>
        </w:rPr>
        <w:t>CITICORP NORTH AMERICA, INC.,</w:t>
      </w:r>
    </w:p>
    <w:p>
      <w:pPr>
        <w:spacing w:after="0"/>
        <w:rPr>
          <w:sz w:val="20"/>
          <w:szCs w:val="20"/>
          <w:color w:val="auto"/>
        </w:rPr>
      </w:pPr>
      <w:r>
        <w:rPr>
          <w:rFonts w:ascii="Arial" w:cs="Arial" w:eastAsia="Arial" w:hAnsi="Arial"/>
          <w:sz w:val="20"/>
          <w:szCs w:val="20"/>
          <w:color w:val="auto"/>
        </w:rPr>
        <w:t>as a Lender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84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Ashwani Khubani</w:t>
            </w:r>
          </w:p>
        </w:tc>
      </w:tr>
      <w:tr>
        <w:trPr>
          <w:trHeight w:val="179"/>
        </w:trPr>
        <w:tc>
          <w:tcPr>
            <w:tcW w:w="500" w:type="dxa"/>
            <w:vAlign w:val="bottom"/>
          </w:tcPr>
          <w:p>
            <w:pPr>
              <w:spacing w:after="0"/>
              <w:rPr>
                <w:sz w:val="15"/>
                <w:szCs w:val="15"/>
                <w:color w:val="auto"/>
              </w:rPr>
            </w:pPr>
          </w:p>
        </w:tc>
        <w:tc>
          <w:tcPr>
            <w:tcW w:w="2840" w:type="dxa"/>
            <w:vAlign w:val="bottom"/>
          </w:tcPr>
          <w:p>
            <w:pPr>
              <w:ind w:left="160"/>
              <w:spacing w:after="0" w:line="179" w:lineRule="exact"/>
              <w:rPr>
                <w:sz w:val="20"/>
                <w:szCs w:val="20"/>
                <w:color w:val="auto"/>
              </w:rPr>
            </w:pPr>
            <w:r>
              <w:rPr>
                <w:rFonts w:ascii="Arial" w:cs="Arial" w:eastAsia="Arial" w:hAnsi="Arial"/>
                <w:sz w:val="20"/>
                <w:szCs w:val="20"/>
                <w:color w:val="auto"/>
              </w:rPr>
              <w:t>Name: Ashwani Khubani</w:t>
            </w:r>
          </w:p>
        </w:tc>
      </w:tr>
      <w:tr>
        <w:trPr>
          <w:trHeight w:val="250"/>
        </w:trPr>
        <w:tc>
          <w:tcPr>
            <w:tcW w:w="500" w:type="dxa"/>
            <w:vAlign w:val="bottom"/>
          </w:tcPr>
          <w:p>
            <w:pPr>
              <w:spacing w:after="0"/>
              <w:rPr>
                <w:sz w:val="21"/>
                <w:szCs w:val="21"/>
                <w:color w:val="auto"/>
              </w:rPr>
            </w:pPr>
          </w:p>
        </w:tc>
        <w:tc>
          <w:tcPr>
            <w:tcW w:w="2840" w:type="dxa"/>
            <w:vAlign w:val="bottom"/>
          </w:tcPr>
          <w:p>
            <w:pPr>
              <w:ind w:left="16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UBS AG, STAMFORD BRANCH</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Dionne Robinson</w:t>
            </w:r>
          </w:p>
        </w:tc>
        <w:tc>
          <w:tcPr>
            <w:tcW w:w="160" w:type="dxa"/>
            <w:vAlign w:val="bottom"/>
          </w:tcPr>
          <w:p>
            <w:pPr>
              <w:spacing w:after="0"/>
              <w:rPr>
                <w:sz w:val="19"/>
                <w:szCs w:val="19"/>
                <w:color w:val="auto"/>
              </w:rPr>
            </w:pPr>
          </w:p>
        </w:tc>
      </w:tr>
      <w:tr>
        <w:trPr>
          <w:trHeight w:val="179"/>
        </w:trPr>
        <w:tc>
          <w:tcPr>
            <w:tcW w:w="500" w:type="dxa"/>
            <w:vAlign w:val="bottom"/>
          </w:tcPr>
          <w:p>
            <w:pPr>
              <w:spacing w:after="0"/>
              <w:rPr>
                <w:sz w:val="15"/>
                <w:szCs w:val="15"/>
                <w:color w:val="auto"/>
              </w:rPr>
            </w:pPr>
          </w:p>
        </w:tc>
        <w:tc>
          <w:tcPr>
            <w:tcW w:w="2400" w:type="dxa"/>
            <w:vAlign w:val="bottom"/>
          </w:tcPr>
          <w:p>
            <w:pPr>
              <w:ind w:left="160"/>
              <w:spacing w:after="0" w:line="179" w:lineRule="exact"/>
              <w:rPr>
                <w:sz w:val="20"/>
                <w:szCs w:val="20"/>
                <w:color w:val="auto"/>
              </w:rPr>
            </w:pPr>
            <w:r>
              <w:rPr>
                <w:rFonts w:ascii="Arial" w:cs="Arial" w:eastAsia="Arial" w:hAnsi="Arial"/>
                <w:sz w:val="20"/>
                <w:szCs w:val="20"/>
                <w:color w:val="auto"/>
              </w:rPr>
              <w:t>Name: Dionne Robinson</w:t>
            </w:r>
          </w:p>
        </w:tc>
        <w:tc>
          <w:tcPr>
            <w:tcW w:w="16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400" w:type="dxa"/>
            <w:vAlign w:val="bottom"/>
          </w:tcPr>
          <w:p>
            <w:pPr>
              <w:ind w:left="160"/>
              <w:spacing w:after="0"/>
              <w:rPr>
                <w:sz w:val="20"/>
                <w:szCs w:val="20"/>
                <w:color w:val="auto"/>
              </w:rPr>
            </w:pPr>
            <w:r>
              <w:rPr>
                <w:rFonts w:ascii="Arial" w:cs="Arial" w:eastAsia="Arial" w:hAnsi="Arial"/>
                <w:sz w:val="20"/>
                <w:szCs w:val="20"/>
                <w:color w:val="auto"/>
              </w:rPr>
              <w:t>Title: Associate Director</w:t>
            </w:r>
          </w:p>
        </w:tc>
        <w:tc>
          <w:tcPr>
            <w:tcW w:w="160" w:type="dxa"/>
            <w:vAlign w:val="bottom"/>
          </w:tcPr>
          <w:p>
            <w:pPr>
              <w:spacing w:after="0"/>
              <w:rPr>
                <w:sz w:val="21"/>
                <w:szCs w:val="21"/>
                <w:color w:val="auto"/>
              </w:rPr>
            </w:pPr>
          </w:p>
        </w:tc>
      </w:tr>
      <w:tr>
        <w:trPr>
          <w:trHeight w:val="387"/>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0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Danielle Calo</w:t>
            </w:r>
          </w:p>
        </w:tc>
        <w:tc>
          <w:tcPr>
            <w:tcW w:w="160" w:type="dxa"/>
            <w:vAlign w:val="bottom"/>
            <w:tcBorders>
              <w:bottom w:val="single" w:sz="8" w:color="auto"/>
            </w:tcBorders>
          </w:tcPr>
          <w:p>
            <w:pPr>
              <w:spacing w:after="0"/>
              <w:rPr>
                <w:sz w:val="24"/>
                <w:szCs w:val="24"/>
                <w:color w:val="auto"/>
              </w:rPr>
            </w:pPr>
          </w:p>
        </w:tc>
      </w:tr>
      <w:tr>
        <w:trPr>
          <w:trHeight w:val="179"/>
        </w:trPr>
        <w:tc>
          <w:tcPr>
            <w:tcW w:w="500" w:type="dxa"/>
            <w:vAlign w:val="bottom"/>
          </w:tcPr>
          <w:p>
            <w:pPr>
              <w:spacing w:after="0"/>
              <w:rPr>
                <w:sz w:val="15"/>
                <w:szCs w:val="15"/>
                <w:color w:val="auto"/>
              </w:rPr>
            </w:pPr>
          </w:p>
        </w:tc>
        <w:tc>
          <w:tcPr>
            <w:tcW w:w="2400" w:type="dxa"/>
            <w:vAlign w:val="bottom"/>
          </w:tcPr>
          <w:p>
            <w:pPr>
              <w:ind w:left="160"/>
              <w:spacing w:after="0" w:line="179" w:lineRule="exact"/>
              <w:rPr>
                <w:sz w:val="20"/>
                <w:szCs w:val="20"/>
                <w:color w:val="auto"/>
              </w:rPr>
            </w:pPr>
            <w:r>
              <w:rPr>
                <w:rFonts w:ascii="Arial" w:cs="Arial" w:eastAsia="Arial" w:hAnsi="Arial"/>
                <w:sz w:val="20"/>
                <w:szCs w:val="20"/>
                <w:color w:val="auto"/>
              </w:rPr>
              <w:t>Name: Danielle Calo</w:t>
            </w:r>
          </w:p>
        </w:tc>
        <w:tc>
          <w:tcPr>
            <w:tcW w:w="16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400" w:type="dxa"/>
            <w:vAlign w:val="bottom"/>
          </w:tcPr>
          <w:p>
            <w:pPr>
              <w:ind w:left="160"/>
              <w:spacing w:after="0"/>
              <w:rPr>
                <w:sz w:val="20"/>
                <w:szCs w:val="20"/>
                <w:color w:val="auto"/>
              </w:rPr>
            </w:pPr>
            <w:r>
              <w:rPr>
                <w:rFonts w:ascii="Arial" w:cs="Arial" w:eastAsia="Arial" w:hAnsi="Arial"/>
                <w:sz w:val="20"/>
                <w:szCs w:val="20"/>
                <w:color w:val="auto"/>
              </w:rPr>
              <w:t>Title: Associate Director</w:t>
            </w:r>
          </w:p>
        </w:tc>
        <w:tc>
          <w:tcPr>
            <w:tcW w:w="1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b w:val="1"/>
          <w:bCs w:val="1"/>
          <w:color w:val="auto"/>
        </w:rPr>
        <w:t>HSBC BANK USA, NATIONAL ASSOCIATION</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28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/s/ Jessica Smith</w:t>
            </w:r>
          </w:p>
        </w:tc>
      </w:tr>
      <w:tr>
        <w:trPr>
          <w:trHeight w:val="179"/>
        </w:trPr>
        <w:tc>
          <w:tcPr>
            <w:tcW w:w="500" w:type="dxa"/>
            <w:vAlign w:val="bottom"/>
          </w:tcPr>
          <w:p>
            <w:pPr>
              <w:spacing w:after="0"/>
              <w:rPr>
                <w:sz w:val="15"/>
                <w:szCs w:val="15"/>
                <w:color w:val="auto"/>
              </w:rPr>
            </w:pPr>
          </w:p>
        </w:tc>
        <w:tc>
          <w:tcPr>
            <w:tcW w:w="2280" w:type="dxa"/>
            <w:vAlign w:val="bottom"/>
          </w:tcPr>
          <w:p>
            <w:pPr>
              <w:ind w:left="160"/>
              <w:spacing w:after="0" w:line="179" w:lineRule="exact"/>
              <w:rPr>
                <w:sz w:val="20"/>
                <w:szCs w:val="20"/>
                <w:color w:val="auto"/>
              </w:rPr>
            </w:pPr>
            <w:r>
              <w:rPr>
                <w:rFonts w:ascii="Arial" w:cs="Arial" w:eastAsia="Arial" w:hAnsi="Arial"/>
                <w:sz w:val="20"/>
                <w:szCs w:val="20"/>
                <w:color w:val="auto"/>
              </w:rPr>
              <w:t>Name: Jessica Smith</w:t>
            </w:r>
          </w:p>
        </w:tc>
      </w:tr>
      <w:tr>
        <w:trPr>
          <w:trHeight w:val="250"/>
        </w:trPr>
        <w:tc>
          <w:tcPr>
            <w:tcW w:w="500" w:type="dxa"/>
            <w:vAlign w:val="bottom"/>
          </w:tcPr>
          <w:p>
            <w:pPr>
              <w:spacing w:after="0"/>
              <w:rPr>
                <w:sz w:val="21"/>
                <w:szCs w:val="21"/>
                <w:color w:val="auto"/>
              </w:rPr>
            </w:pPr>
          </w:p>
        </w:tc>
        <w:tc>
          <w:tcPr>
            <w:tcW w:w="2280" w:type="dxa"/>
            <w:vAlign w:val="bottom"/>
          </w:tcPr>
          <w:p>
            <w:pPr>
              <w:ind w:left="16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ROYAL BANK OF CANADA</w:t>
      </w:r>
      <w:r>
        <w:rPr>
          <w:rFonts w:ascii="Arial" w:cs="Arial" w:eastAsia="Arial" w:hAnsi="Arial"/>
          <w:sz w:val="20"/>
          <w:szCs w:val="20"/>
          <w:color w:val="auto"/>
        </w:rPr>
        <w:t>,</w:t>
      </w:r>
    </w:p>
    <w:p>
      <w:pPr>
        <w:spacing w:after="0"/>
        <w:rPr>
          <w:sz w:val="20"/>
          <w:szCs w:val="20"/>
          <w:color w:val="auto"/>
        </w:rPr>
      </w:pPr>
      <w:r>
        <w:rPr>
          <w:rFonts w:ascii="Arial" w:cs="Arial" w:eastAsia="Arial" w:hAnsi="Arial"/>
          <w:sz w:val="20"/>
          <w:szCs w:val="20"/>
          <w:color w:val="auto"/>
        </w:rPr>
        <w:t>as a Lender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340" w:type="dxa"/>
            <w:vAlign w:val="bottom"/>
            <w:gridSpan w:val="2"/>
          </w:tcPr>
          <w:p>
            <w:pPr>
              <w:ind w:left="180"/>
              <w:spacing w:after="0"/>
              <w:rPr>
                <w:sz w:val="20"/>
                <w:szCs w:val="20"/>
                <w:color w:val="auto"/>
              </w:rPr>
            </w:pPr>
            <w:r>
              <w:rPr>
                <w:rFonts w:ascii="Arial" w:cs="Arial" w:eastAsia="Arial" w:hAnsi="Arial"/>
                <w:sz w:val="20"/>
                <w:szCs w:val="20"/>
                <w:color w:val="auto"/>
              </w:rPr>
              <w:t>/s/ Martina Wellik</w:t>
            </w:r>
          </w:p>
        </w:tc>
      </w:tr>
      <w:tr>
        <w:trPr>
          <w:trHeight w:val="179"/>
        </w:trPr>
        <w:tc>
          <w:tcPr>
            <w:tcW w:w="500" w:type="dxa"/>
            <w:vAlign w:val="bottom"/>
          </w:tcPr>
          <w:p>
            <w:pPr>
              <w:spacing w:after="0"/>
              <w:rPr>
                <w:sz w:val="15"/>
                <w:szCs w:val="15"/>
                <w:color w:val="auto"/>
              </w:rPr>
            </w:pPr>
          </w:p>
        </w:tc>
        <w:tc>
          <w:tcPr>
            <w:tcW w:w="2220" w:type="dxa"/>
            <w:vAlign w:val="bottom"/>
            <w:tcBorders>
              <w:top w:val="single" w:sz="8" w:color="auto"/>
            </w:tcBorders>
          </w:tcPr>
          <w:p>
            <w:pPr>
              <w:ind w:left="160"/>
              <w:spacing w:after="0" w:line="179" w:lineRule="exact"/>
              <w:rPr>
                <w:sz w:val="20"/>
                <w:szCs w:val="20"/>
                <w:color w:val="auto"/>
              </w:rPr>
            </w:pPr>
            <w:r>
              <w:rPr>
                <w:rFonts w:ascii="Arial" w:cs="Arial" w:eastAsia="Arial" w:hAnsi="Arial"/>
                <w:sz w:val="20"/>
                <w:szCs w:val="20"/>
                <w:color w:val="auto"/>
              </w:rPr>
              <w:t>Name: Martina Wellik</w:t>
            </w:r>
          </w:p>
        </w:tc>
        <w:tc>
          <w:tcPr>
            <w:tcW w:w="120" w:type="dxa"/>
            <w:vAlign w:val="bottom"/>
          </w:tcPr>
          <w:p>
            <w:pPr>
              <w:spacing w:after="0"/>
              <w:rPr>
                <w:sz w:val="15"/>
                <w:szCs w:val="15"/>
                <w:color w:val="auto"/>
              </w:rPr>
            </w:pPr>
          </w:p>
        </w:tc>
      </w:tr>
      <w:tr>
        <w:trPr>
          <w:trHeight w:val="250"/>
        </w:trPr>
        <w:tc>
          <w:tcPr>
            <w:tcW w:w="500" w:type="dxa"/>
            <w:vAlign w:val="bottom"/>
          </w:tcPr>
          <w:p>
            <w:pPr>
              <w:spacing w:after="0"/>
              <w:rPr>
                <w:sz w:val="21"/>
                <w:szCs w:val="21"/>
                <w:color w:val="auto"/>
              </w:rPr>
            </w:pPr>
          </w:p>
        </w:tc>
        <w:tc>
          <w:tcPr>
            <w:tcW w:w="2340" w:type="dxa"/>
            <w:vAlign w:val="bottom"/>
            <w:gridSpan w:val="2"/>
          </w:tcPr>
          <w:p>
            <w:pPr>
              <w:ind w:left="160"/>
              <w:spacing w:after="0"/>
              <w:rPr>
                <w:sz w:val="20"/>
                <w:szCs w:val="20"/>
                <w:color w:val="auto"/>
              </w:rPr>
            </w:pPr>
            <w:r>
              <w:rPr>
                <w:rFonts w:ascii="Arial" w:cs="Arial" w:eastAsia="Arial" w:hAnsi="Arial"/>
                <w:sz w:val="20"/>
                <w:szCs w:val="20"/>
                <w:color w:val="auto"/>
                <w:w w:val="92"/>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2579"/>
        <w:spacing w:after="0"/>
        <w:rPr>
          <w:sz w:val="20"/>
          <w:szCs w:val="20"/>
          <w:color w:val="auto"/>
        </w:rPr>
      </w:pPr>
      <w:r>
        <w:rPr>
          <w:rFonts w:ascii="Arial" w:cs="Arial" w:eastAsia="Arial" w:hAnsi="Arial"/>
          <w:sz w:val="20"/>
          <w:szCs w:val="20"/>
          <w:color w:val="auto"/>
        </w:rPr>
        <w:t>[Signature Page to Amendment No. 1 (Fluence)]</w:t>
      </w:r>
    </w:p>
    <w:p>
      <w:pPr>
        <w:sectPr>
          <w:pgSz w:w="11900" w:h="16838" w:orient="portrait"/>
          <w:cols w:equalWidth="0" w:num="1">
            <w:col w:w="10139"/>
          </w:cols>
          <w:pgMar w:left="320" w:top="1394" w:right="1440"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56"/>
        </w:trPr>
        <w:tc>
          <w:tcPr>
            <w:tcW w:w="4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420" w:type="dxa"/>
            <w:vAlign w:val="bottom"/>
          </w:tcPr>
          <w:p>
            <w:pPr>
              <w:ind w:left="4380"/>
              <w:spacing w:after="0"/>
              <w:rPr>
                <w:sz w:val="20"/>
                <w:szCs w:val="20"/>
                <w:color w:val="auto"/>
              </w:rPr>
            </w:pPr>
            <w:r>
              <w:rPr>
                <w:rFonts w:ascii="Arial" w:cs="Arial" w:eastAsia="Arial" w:hAnsi="Arial"/>
                <w:sz w:val="20"/>
                <w:szCs w:val="20"/>
                <w:b w:val="1"/>
                <w:bCs w:val="1"/>
                <w:color w:val="auto"/>
                <w:w w:val="89"/>
              </w:rPr>
              <w:t>Exhibit 21.1</w:t>
            </w:r>
          </w:p>
        </w:tc>
      </w:tr>
      <w:tr>
        <w:trPr>
          <w:trHeight w:val="671"/>
        </w:trPr>
        <w:tc>
          <w:tcPr>
            <w:tcW w:w="4220" w:type="dxa"/>
            <w:vAlign w:val="bottom"/>
          </w:tcPr>
          <w:p>
            <w:pPr>
              <w:spacing w:after="0"/>
              <w:rPr>
                <w:sz w:val="24"/>
                <w:szCs w:val="24"/>
                <w:color w:val="auto"/>
              </w:rPr>
            </w:pPr>
          </w:p>
        </w:tc>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Subsidiaries of Fluence Energy, Inc.</w:t>
            </w:r>
          </w:p>
        </w:tc>
      </w:tr>
      <w:tr>
        <w:trPr>
          <w:trHeight w:val="189"/>
        </w:trPr>
        <w:tc>
          <w:tcPr>
            <w:tcW w:w="4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18"/>
        </w:trPr>
        <w:tc>
          <w:tcPr>
            <w:tcW w:w="4220" w:type="dxa"/>
            <w:vAlign w:val="bottom"/>
            <w:tcBorders>
              <w:left w:val="single" w:sz="8" w:color="auto"/>
            </w:tcBorders>
          </w:tcPr>
          <w:p>
            <w:pPr>
              <w:ind w:left="2460"/>
              <w:spacing w:after="0"/>
              <w:rPr>
                <w:sz w:val="20"/>
                <w:szCs w:val="20"/>
                <w:color w:val="auto"/>
              </w:rPr>
            </w:pPr>
            <w:r>
              <w:rPr>
                <w:rFonts w:ascii="Arial" w:cs="Arial" w:eastAsia="Arial" w:hAnsi="Arial"/>
                <w:sz w:val="18"/>
                <w:szCs w:val="18"/>
                <w:b w:val="1"/>
                <w:bCs w:val="1"/>
                <w:color w:val="auto"/>
              </w:rPr>
              <w:t>Legal Name</w:t>
            </w:r>
          </w:p>
        </w:tc>
        <w:tc>
          <w:tcPr>
            <w:tcW w:w="162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State or Other Jurisdiction of Incorporation</w:t>
            </w:r>
          </w:p>
        </w:tc>
      </w:tr>
      <w:tr>
        <w:trPr>
          <w:trHeight w:val="234"/>
        </w:trPr>
        <w:tc>
          <w:tcPr>
            <w:tcW w:w="4220" w:type="dxa"/>
            <w:vAlign w:val="bottom"/>
            <w:tcBorders>
              <w:lef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2080"/>
              <w:spacing w:after="0"/>
              <w:rPr>
                <w:sz w:val="20"/>
                <w:szCs w:val="20"/>
                <w:color w:val="auto"/>
              </w:rPr>
            </w:pPr>
            <w:r>
              <w:rPr>
                <w:rFonts w:ascii="Arial" w:cs="Arial" w:eastAsia="Arial" w:hAnsi="Arial"/>
                <w:sz w:val="18"/>
                <w:szCs w:val="18"/>
                <w:b w:val="1"/>
                <w:bCs w:val="1"/>
                <w:color w:val="auto"/>
              </w:rPr>
              <w:t>or Organization</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LLC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GmbH</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Pty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Global Production Operation, LLC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0"/>
              </w:rPr>
              <w:t>Fluence Energy Singapore Energy Singapore PTE.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Inc.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B.V.</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AG</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Energy Chile SpA</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Chile</w:t>
            </w:r>
          </w:p>
        </w:tc>
      </w:tr>
      <w:tr>
        <w:trPr>
          <w:trHeight w:val="41"/>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Fluence BESS India Private Limited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India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399"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97" w:lineRule="exact"/>
        <w:rPr>
          <w:sz w:val="20"/>
          <w:szCs w:val="20"/>
          <w:color w:val="auto"/>
        </w:rPr>
      </w:pPr>
    </w:p>
    <w:p>
      <w:pPr>
        <w:ind w:right="140"/>
        <w:spacing w:after="0" w:line="296" w:lineRule="auto"/>
        <w:rPr>
          <w:sz w:val="20"/>
          <w:szCs w:val="20"/>
          <w:color w:val="auto"/>
        </w:rPr>
      </w:pPr>
      <w:r>
        <w:rPr>
          <w:rFonts w:ascii="Arial" w:cs="Arial" w:eastAsia="Arial" w:hAnsi="Arial"/>
          <w:sz w:val="18"/>
          <w:szCs w:val="18"/>
          <w:color w:val="auto"/>
        </w:rPr>
        <w:t>We consent to the incorporation by reference in the Registration Statement (Form S-8 No. 333-260544) pertaining to the Fluence Energy, Inc. 2021 Incentive Award Plan, Fluence Energy, LLC Phantom Equity Incentive Plan and the 2020 Unit Option Plan of Fluence Energy, LLC of our report dated December 13, 2022, with respect to the consolidated financial statements of Fluence Energy, Inc. included in this Annual Report (Form 10-K) for the year ended September 30, 2022.</w:t>
      </w:r>
    </w:p>
    <w:p>
      <w:pPr>
        <w:spacing w:after="0" w:line="26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2022</w:t>
      </w:r>
    </w:p>
    <w:p>
      <w:pPr>
        <w:sectPr>
          <w:pgSz w:w="11900" w:h="16838" w:orient="portrait"/>
          <w:cols w:equalWidth="0" w:num="1">
            <w:col w:w="11240"/>
          </w:cols>
          <w:pgMar w:left="320" w:top="10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FLUENCE ENERGY, INC.</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POWER OF ATTORNEY</w:t>
      </w:r>
    </w:p>
    <w:p>
      <w:pPr>
        <w:spacing w:after="0" w:line="185" w:lineRule="exact"/>
        <w:rPr>
          <w:sz w:val="20"/>
          <w:szCs w:val="20"/>
          <w:color w:val="auto"/>
        </w:rPr>
      </w:pPr>
    </w:p>
    <w:p>
      <w:pPr>
        <w:ind w:right="20" w:firstLine="1296"/>
        <w:spacing w:after="0" w:line="241" w:lineRule="auto"/>
        <w:rPr>
          <w:sz w:val="20"/>
          <w:szCs w:val="20"/>
          <w:color w:val="auto"/>
        </w:rPr>
      </w:pPr>
      <w:r>
        <w:rPr>
          <w:rFonts w:ascii="Arial" w:cs="Arial" w:eastAsia="Arial" w:hAnsi="Arial"/>
          <w:sz w:val="19"/>
          <w:szCs w:val="19"/>
          <w:color w:val="auto"/>
        </w:rPr>
        <w:t>Each of the undersigned, in the capacity or capacities set forth below, hereby constitutes and appoints Julian Nebreda, Manavendra Sial, and Francis A. Fuselier, and each of them separately, as the true and lawful attorneys-in-fact and agents of the undersigned, with full power of substitution and revocation, for and in the name, place and stead of the undersigned, in any and all capacities, to sign on the behalf of the undersigned the Annual Report on Form 10-K of Fluence Energy, Inc. for the fiscal year ended September 30, 2022, and any amendment or supplement thereto; and to file such Annual Report on Form</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22"/>
          <w:szCs w:val="22"/>
          <w:color w:val="auto"/>
        </w:rPr>
        <w:t>10-K, and any such amendment or supplement, with the Securities and Exchange Commission and any other appropriate agency pursuant to applicable laws and regulations.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40" w:type="dxa"/>
            <w:vAlign w:val="bottom"/>
            <w:gridSpan w:val="3"/>
          </w:tcPr>
          <w:p>
            <w:pPr>
              <w:spacing w:after="0"/>
              <w:rPr>
                <w:sz w:val="20"/>
                <w:szCs w:val="20"/>
                <w:color w:val="auto"/>
              </w:rPr>
            </w:pPr>
            <w:r>
              <w:rPr>
                <w:rFonts w:ascii="Arial" w:cs="Arial" w:eastAsia="Arial" w:hAnsi="Arial"/>
                <w:sz w:val="22"/>
                <w:szCs w:val="22"/>
                <w:b w:val="1"/>
                <w:bCs w:val="1"/>
                <w:color w:val="auto"/>
              </w:rPr>
              <w:t>Name</w:t>
            </w:r>
          </w:p>
        </w:tc>
        <w:tc>
          <w:tcPr>
            <w:tcW w:w="1460" w:type="dxa"/>
            <w:vAlign w:val="bottom"/>
            <w:gridSpan w:val="9"/>
          </w:tcPr>
          <w:p>
            <w:pPr>
              <w:spacing w:after="0"/>
              <w:rPr>
                <w:sz w:val="20"/>
                <w:szCs w:val="20"/>
                <w:color w:val="auto"/>
              </w:rPr>
            </w:pPr>
            <w:r>
              <w:rPr>
                <w:rFonts w:ascii="Arial" w:cs="Arial" w:eastAsia="Arial" w:hAnsi="Arial"/>
                <w:sz w:val="22"/>
                <w:szCs w:val="22"/>
                <w:b w:val="1"/>
                <w:bCs w:val="1"/>
                <w:color w:val="auto"/>
              </w:rPr>
              <w:t>Title</w:t>
            </w:r>
          </w:p>
        </w:tc>
        <w:tc>
          <w:tcPr>
            <w:tcW w:w="800" w:type="dxa"/>
            <w:vAlign w:val="bottom"/>
          </w:tcPr>
          <w:p>
            <w:pPr>
              <w:ind w:left="40"/>
              <w:spacing w:after="0"/>
              <w:rPr>
                <w:sz w:val="20"/>
                <w:szCs w:val="20"/>
                <w:color w:val="auto"/>
              </w:rPr>
            </w:pPr>
            <w:r>
              <w:rPr>
                <w:rFonts w:ascii="Arial" w:cs="Arial" w:eastAsia="Arial" w:hAnsi="Arial"/>
                <w:sz w:val="22"/>
                <w:szCs w:val="22"/>
                <w:b w:val="1"/>
                <w:bCs w:val="1"/>
                <w:color w:val="auto"/>
              </w:rPr>
              <w:t>Date</w:t>
            </w:r>
          </w:p>
        </w:tc>
        <w:tc>
          <w:tcPr>
            <w:tcW w:w="1940" w:type="dxa"/>
            <w:vAlign w:val="bottom"/>
          </w:tcPr>
          <w:p>
            <w:pPr>
              <w:spacing w:after="0"/>
              <w:rPr>
                <w:sz w:val="24"/>
                <w:szCs w:val="24"/>
                <w:color w:val="auto"/>
              </w:rPr>
            </w:pPr>
          </w:p>
        </w:tc>
      </w:tr>
      <w:tr>
        <w:trPr>
          <w:trHeight w:val="408"/>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Herman Bulls</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6"/>
          </w:tcPr>
          <w:p>
            <w:pPr>
              <w:ind w:left="80"/>
              <w:spacing w:after="0"/>
              <w:rPr>
                <w:sz w:val="20"/>
                <w:szCs w:val="20"/>
                <w:color w:val="auto"/>
              </w:rPr>
            </w:pPr>
            <w:r>
              <w:rPr>
                <w:rFonts w:ascii="Arial" w:cs="Arial" w:eastAsia="Arial" w:hAnsi="Arial"/>
                <w:sz w:val="22"/>
                <w:szCs w:val="22"/>
                <w:color w:val="auto"/>
                <w:w w:val="88"/>
              </w:rPr>
              <w:t>Chairman of the Board</w:t>
            </w:r>
          </w:p>
        </w:tc>
        <w:tc>
          <w:tcPr>
            <w:tcW w:w="1940" w:type="dxa"/>
            <w:vAlign w:val="bottom"/>
          </w:tcPr>
          <w:p>
            <w:pPr>
              <w:jc w:val="right"/>
              <w:spacing w:after="0"/>
              <w:rPr>
                <w:sz w:val="20"/>
                <w:szCs w:val="20"/>
                <w:color w:val="auto"/>
              </w:rPr>
            </w:pPr>
            <w:r>
              <w:rPr>
                <w:rFonts w:ascii="Arial" w:cs="Arial" w:eastAsia="Arial" w:hAnsi="Arial"/>
                <w:sz w:val="22"/>
                <w:szCs w:val="22"/>
                <w:color w:val="auto"/>
              </w:rPr>
              <w:t>October 13,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Herman Bulls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gridSpan w:val="3"/>
          </w:tcPr>
          <w:p>
            <w:pPr>
              <w:spacing w:after="0"/>
              <w:rPr>
                <w:sz w:val="20"/>
                <w:szCs w:val="20"/>
                <w:color w:val="auto"/>
              </w:rPr>
            </w:pPr>
            <w:r>
              <w:rPr>
                <w:rFonts w:ascii="Arial" w:cs="Arial" w:eastAsia="Arial" w:hAnsi="Arial"/>
                <w:sz w:val="22"/>
                <w:szCs w:val="22"/>
                <w:color w:val="auto"/>
              </w:rPr>
              <w:t>/s/ Ricardo Falu</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320"/>
              <w:spacing w:after="0"/>
              <w:rPr>
                <w:sz w:val="20"/>
                <w:szCs w:val="20"/>
                <w:color w:val="auto"/>
              </w:rPr>
            </w:pPr>
            <w:r>
              <w:rPr>
                <w:rFonts w:ascii="Arial" w:cs="Arial" w:eastAsia="Arial" w:hAnsi="Arial"/>
                <w:sz w:val="22"/>
                <w:szCs w:val="22"/>
                <w:color w:val="auto"/>
              </w:rPr>
              <w:t>October 23, 2022</w:t>
            </w:r>
          </w:p>
        </w:tc>
      </w:tr>
      <w:tr>
        <w:trPr>
          <w:trHeight w:val="268"/>
        </w:trPr>
        <w:tc>
          <w:tcPr>
            <w:tcW w:w="18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Ricardo Falu</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Tish Mendoza</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ind w:left="10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440"/>
              <w:spacing w:after="0"/>
              <w:rPr>
                <w:sz w:val="20"/>
                <w:szCs w:val="20"/>
                <w:color w:val="auto"/>
              </w:rPr>
            </w:pPr>
            <w:r>
              <w:rPr>
                <w:rFonts w:ascii="Arial" w:cs="Arial" w:eastAsia="Arial" w:hAnsi="Arial"/>
                <w:sz w:val="22"/>
                <w:szCs w:val="22"/>
                <w:color w:val="auto"/>
              </w:rPr>
              <w:t>November 22,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Tish Mendoza</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John Shelton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320"/>
              <w:spacing w:after="0"/>
              <w:rPr>
                <w:sz w:val="20"/>
                <w:szCs w:val="20"/>
                <w:color w:val="auto"/>
              </w:rPr>
            </w:pPr>
            <w:r>
              <w:rPr>
                <w:rFonts w:ascii="Arial" w:cs="Arial" w:eastAsia="Arial" w:hAnsi="Arial"/>
                <w:sz w:val="22"/>
                <w:szCs w:val="22"/>
                <w:color w:val="auto"/>
              </w:rPr>
              <w:t>October 21, 2022</w:t>
            </w:r>
          </w:p>
        </w:tc>
      </w:tr>
      <w:tr>
        <w:trPr>
          <w:trHeight w:val="268"/>
        </w:trPr>
        <w:tc>
          <w:tcPr>
            <w:tcW w:w="3300" w:type="dxa"/>
            <w:vAlign w:val="bottom"/>
            <w:gridSpan w:val="12"/>
          </w:tcPr>
          <w:p>
            <w:pPr>
              <w:spacing w:after="0"/>
              <w:rPr>
                <w:sz w:val="20"/>
                <w:szCs w:val="20"/>
                <w:color w:val="auto"/>
              </w:rPr>
            </w:pPr>
            <w:r>
              <w:rPr>
                <w:rFonts w:ascii="Arial" w:cs="Arial" w:eastAsia="Arial" w:hAnsi="Arial"/>
                <w:sz w:val="22"/>
                <w:szCs w:val="22"/>
                <w:color w:val="auto"/>
              </w:rPr>
              <w:t>John Christopher Shelton</w:t>
            </w: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/s/ Barbara Humpton</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Pr>
          <w:p>
            <w:pPr>
              <w:ind w:left="220"/>
              <w:spacing w:after="0"/>
              <w:rPr>
                <w:sz w:val="20"/>
                <w:szCs w:val="20"/>
                <w:color w:val="auto"/>
              </w:rPr>
            </w:pPr>
            <w:r>
              <w:rPr>
                <w:rFonts w:ascii="Arial" w:cs="Arial" w:eastAsia="Arial" w:hAnsi="Arial"/>
                <w:sz w:val="22"/>
                <w:szCs w:val="22"/>
                <w:color w:val="auto"/>
                <w:w w:val="98"/>
              </w:rPr>
              <w:t>Director</w:t>
            </w:r>
          </w:p>
        </w:tc>
        <w:tc>
          <w:tcPr>
            <w:tcW w:w="800" w:type="dxa"/>
            <w:vAlign w:val="bottom"/>
          </w:tcPr>
          <w:p>
            <w:pPr>
              <w:spacing w:after="0"/>
              <w:rPr>
                <w:sz w:val="24"/>
                <w:szCs w:val="24"/>
                <w:color w:val="auto"/>
              </w:rPr>
            </w:pPr>
          </w:p>
        </w:tc>
        <w:tc>
          <w:tcPr>
            <w:tcW w:w="1940" w:type="dxa"/>
            <w:vAlign w:val="bottom"/>
          </w:tcPr>
          <w:p>
            <w:pPr>
              <w:jc w:val="right"/>
              <w:ind w:right="312"/>
              <w:spacing w:after="0"/>
              <w:rPr>
                <w:sz w:val="20"/>
                <w:szCs w:val="20"/>
                <w:color w:val="auto"/>
              </w:rPr>
            </w:pPr>
            <w:r>
              <w:rPr>
                <w:rFonts w:ascii="Arial" w:cs="Arial" w:eastAsia="Arial" w:hAnsi="Arial"/>
                <w:sz w:val="22"/>
                <w:szCs w:val="22"/>
                <w:color w:val="auto"/>
                <w:w w:val="88"/>
              </w:rPr>
              <w:t>October 13,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Barbara Humpton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gridSpan w:val="3"/>
          </w:tcPr>
          <w:p>
            <w:pPr>
              <w:spacing w:after="0"/>
              <w:rPr>
                <w:sz w:val="20"/>
                <w:szCs w:val="20"/>
                <w:color w:val="auto"/>
              </w:rPr>
            </w:pPr>
            <w:r>
              <w:rPr>
                <w:rFonts w:ascii="Arial" w:cs="Arial" w:eastAsia="Arial" w:hAnsi="Arial"/>
                <w:sz w:val="22"/>
                <w:szCs w:val="22"/>
                <w:color w:val="auto"/>
              </w:rPr>
              <w:t>/s/ Emma Falck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6"/>
          </w:tcPr>
          <w:p>
            <w:pPr>
              <w:ind w:left="2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300"/>
              <w:spacing w:after="0"/>
              <w:rPr>
                <w:sz w:val="20"/>
                <w:szCs w:val="20"/>
                <w:color w:val="auto"/>
              </w:rPr>
            </w:pPr>
            <w:r>
              <w:rPr>
                <w:rFonts w:ascii="Arial" w:cs="Arial" w:eastAsia="Arial" w:hAnsi="Arial"/>
                <w:sz w:val="22"/>
                <w:szCs w:val="22"/>
                <w:color w:val="auto"/>
              </w:rPr>
              <w:t>October 15, 2022</w:t>
            </w:r>
          </w:p>
        </w:tc>
      </w:tr>
      <w:tr>
        <w:trPr>
          <w:trHeight w:val="268"/>
        </w:trPr>
        <w:tc>
          <w:tcPr>
            <w:tcW w:w="18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Emma Falck</w:t>
            </w:r>
          </w:p>
        </w:tc>
        <w:tc>
          <w:tcPr>
            <w:tcW w:w="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60"/>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Axel Meier</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ind w:left="8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400"/>
              <w:spacing w:after="0"/>
              <w:rPr>
                <w:sz w:val="20"/>
                <w:szCs w:val="20"/>
                <w:color w:val="auto"/>
              </w:rPr>
            </w:pPr>
            <w:r>
              <w:rPr>
                <w:rFonts w:ascii="Arial" w:cs="Arial" w:eastAsia="Arial" w:hAnsi="Arial"/>
                <w:sz w:val="22"/>
                <w:szCs w:val="22"/>
                <w:color w:val="auto"/>
              </w:rPr>
              <w:t>October 15,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Axel Meier</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7"/>
              </w:rPr>
              <w:t>/s/ Simon James Smith</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jc w:val="right"/>
              <w:ind w:right="312"/>
              <w:spacing w:after="0"/>
              <w:rPr>
                <w:sz w:val="20"/>
                <w:szCs w:val="20"/>
                <w:color w:val="auto"/>
              </w:rPr>
            </w:pPr>
            <w:r>
              <w:rPr>
                <w:rFonts w:ascii="Arial" w:cs="Arial" w:eastAsia="Arial" w:hAnsi="Arial"/>
                <w:sz w:val="22"/>
                <w:szCs w:val="22"/>
                <w:color w:val="auto"/>
              </w:rPr>
              <w:t>November 2,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Simon Smith</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86"/>
              </w:rPr>
              <w:t>/s/ Elizabeth Fessenden</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760"/>
              <w:spacing w:after="0"/>
              <w:rPr>
                <w:sz w:val="20"/>
                <w:szCs w:val="20"/>
                <w:color w:val="auto"/>
              </w:rPr>
            </w:pPr>
            <w:r>
              <w:rPr>
                <w:rFonts w:ascii="Arial" w:cs="Arial" w:eastAsia="Arial" w:hAnsi="Arial"/>
                <w:sz w:val="22"/>
                <w:szCs w:val="22"/>
                <w:color w:val="auto"/>
              </w:rPr>
              <w:t>October 13,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w w:val="88"/>
              </w:rPr>
              <w:t>Elizabeth Fessenden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Cynthia Arnold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540"/>
              <w:spacing w:after="0"/>
              <w:rPr>
                <w:sz w:val="20"/>
                <w:szCs w:val="20"/>
                <w:color w:val="auto"/>
              </w:rPr>
            </w:pPr>
            <w:r>
              <w:rPr>
                <w:rFonts w:ascii="Arial" w:cs="Arial" w:eastAsia="Arial" w:hAnsi="Arial"/>
                <w:sz w:val="22"/>
                <w:szCs w:val="22"/>
                <w:color w:val="auto"/>
              </w:rPr>
              <w:t>October 19,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rPr>
              <w:t>Cynthia Arnold</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387"/>
        </w:trPr>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1"/>
              </w:rPr>
              <w:t>/s/ Harald von Heynitz</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22"/>
                <w:szCs w:val="22"/>
                <w:color w:val="auto"/>
              </w:rPr>
              <w:t>Director</w:t>
            </w:r>
          </w:p>
        </w:tc>
        <w:tc>
          <w:tcPr>
            <w:tcW w:w="2740" w:type="dxa"/>
            <w:vAlign w:val="bottom"/>
            <w:gridSpan w:val="2"/>
          </w:tcPr>
          <w:p>
            <w:pPr>
              <w:ind w:left="680"/>
              <w:spacing w:after="0"/>
              <w:rPr>
                <w:sz w:val="20"/>
                <w:szCs w:val="20"/>
                <w:color w:val="auto"/>
              </w:rPr>
            </w:pPr>
            <w:r>
              <w:rPr>
                <w:rFonts w:ascii="Arial" w:cs="Arial" w:eastAsia="Arial" w:hAnsi="Arial"/>
                <w:sz w:val="22"/>
                <w:szCs w:val="22"/>
                <w:color w:val="auto"/>
              </w:rPr>
              <w:t>October 17, 2022</w:t>
            </w:r>
          </w:p>
        </w:tc>
      </w:tr>
      <w:tr>
        <w:trPr>
          <w:trHeight w:val="268"/>
        </w:trPr>
        <w:tc>
          <w:tcPr>
            <w:tcW w:w="1840" w:type="dxa"/>
            <w:vAlign w:val="bottom"/>
            <w:gridSpan w:val="3"/>
          </w:tcPr>
          <w:p>
            <w:pPr>
              <w:spacing w:after="0"/>
              <w:rPr>
                <w:sz w:val="20"/>
                <w:szCs w:val="20"/>
                <w:color w:val="auto"/>
              </w:rPr>
            </w:pPr>
            <w:r>
              <w:rPr>
                <w:rFonts w:ascii="Arial" w:cs="Arial" w:eastAsia="Arial" w:hAnsi="Arial"/>
                <w:sz w:val="22"/>
                <w:szCs w:val="22"/>
                <w:color w:val="auto"/>
                <w:w w:val="97"/>
              </w:rPr>
              <w:t>Harald von Heynitz</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sectPr>
          <w:pgSz w:w="11900" w:h="16838" w:orient="portrait"/>
          <w:cols w:equalWidth="0" w:num="1">
            <w:col w:w="11240"/>
          </w:cols>
          <w:pgMar w:left="320" w:top="10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Julian Nebreda, certify that:</w:t>
      </w:r>
    </w:p>
    <w:p>
      <w:pPr>
        <w:spacing w:after="0" w:line="14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Fluence Energy, Inc;</w:t>
      </w:r>
    </w:p>
    <w:p>
      <w:pPr>
        <w:spacing w:after="0" w:line="15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660" w:right="320" w:firstLine="320"/>
        <w:spacing w:after="0" w:line="342" w:lineRule="auto"/>
        <w:tabs>
          <w:tab w:leader="none" w:pos="1228"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firstLine="320"/>
        <w:spacing w:after="0" w:line="308" w:lineRule="auto"/>
        <w:tabs>
          <w:tab w:leader="none" w:pos="1256"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660" w:firstLine="320"/>
        <w:spacing w:after="0" w:line="277" w:lineRule="auto"/>
        <w:tabs>
          <w:tab w:leader="none" w:pos="12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ectPr>
          <w:pgSz w:w="11900" w:h="16838" w:orient="portrait"/>
          <w:cols w:equalWidth="0" w:num="1">
            <w:col w:w="11240"/>
          </w:cols>
          <w:pgMar w:left="320" w:top="10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240"/>
        <w:spacing w:after="0"/>
        <w:tabs>
          <w:tab w:leader="none" w:pos="4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14605</wp:posOffset>
            </wp:positionV>
            <wp:extent cx="33947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Julian Nebreda</w:t>
      </w:r>
    </w:p>
    <w:p>
      <w:pPr>
        <w:ind w:left="4800"/>
        <w:spacing w:after="0"/>
        <w:rPr>
          <w:sz w:val="20"/>
          <w:szCs w:val="20"/>
          <w:color w:val="auto"/>
        </w:rPr>
      </w:pPr>
      <w:r>
        <w:rPr>
          <w:rFonts w:ascii="Arial" w:cs="Arial" w:eastAsia="Arial" w:hAnsi="Arial"/>
          <w:sz w:val="18"/>
          <w:szCs w:val="18"/>
          <w:i w:val="1"/>
          <w:iCs w:val="1"/>
          <w:color w:val="auto"/>
        </w:rPr>
        <w:t>Chief Executive Officer and President (Principal Executive Officer)</w:t>
      </w:r>
    </w:p>
    <w:p>
      <w:pPr>
        <w:sectPr>
          <w:pgSz w:w="11900" w:h="16838" w:orient="portrait"/>
          <w:cols w:equalWidth="0" w:num="1">
            <w:col w:w="10120"/>
          </w:cols>
          <w:pgMar w:left="1440" w:top="10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AS AMENDED, PURSUANT TO SECTION 302 OF THE SARBANES-OXLEY ACT OF 2002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Manavendra Sial, certify that:</w:t>
      </w:r>
    </w:p>
    <w:p>
      <w:pPr>
        <w:spacing w:after="0" w:line="144"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Fluence Energy, Inc;</w:t>
      </w:r>
    </w:p>
    <w:p>
      <w:pPr>
        <w:spacing w:after="0" w:line="14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jc w:val="both"/>
        <w:ind w:left="660" w:firstLine="320"/>
        <w:spacing w:after="0" w:line="263" w:lineRule="auto"/>
        <w:tabs>
          <w:tab w:leader="none" w:pos="12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60" w:firstLine="320"/>
        <w:spacing w:after="0" w:line="263" w:lineRule="auto"/>
        <w:tabs>
          <w:tab w:leader="none" w:pos="123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320" w:firstLine="320"/>
        <w:spacing w:after="0" w:line="342" w:lineRule="auto"/>
        <w:tabs>
          <w:tab w:leader="none" w:pos="1228"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280" w:firstLine="320"/>
        <w:spacing w:after="0" w:line="263" w:lineRule="auto"/>
        <w:tabs>
          <w:tab w:leader="none" w:pos="1239"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hanging="328"/>
        <w:spacing w:after="0" w:line="308" w:lineRule="auto"/>
        <w:tabs>
          <w:tab w:leader="none" w:pos="51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660" w:firstLine="320"/>
        <w:spacing w:after="0" w:line="308" w:lineRule="auto"/>
        <w:tabs>
          <w:tab w:leader="none" w:pos="1256"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660" w:firstLine="320"/>
        <w:spacing w:after="0" w:line="277" w:lineRule="auto"/>
        <w:tabs>
          <w:tab w:leader="none" w:pos="12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ectPr>
          <w:pgSz w:w="11900" w:h="16838" w:orient="portrait"/>
          <w:cols w:equalWidth="0" w:num="1">
            <w:col w:w="11240"/>
          </w:cols>
          <w:pgMar w:left="320" w:top="10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Fluence Energy, Inc.</w:t>
      </w:r>
    </w:p>
    <w:p>
      <w:pPr>
        <w:spacing w:after="0" w:line="23"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14605</wp:posOffset>
            </wp:positionV>
            <wp:extent cx="31375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Manavendra Sial</w:t>
      </w:r>
    </w:p>
    <w:p>
      <w:pPr>
        <w:ind w:left="5120"/>
        <w:spacing w:after="0" w:line="219"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512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0120"/>
          </w:cols>
          <w:pgMar w:left="1440" w:top="108"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356" w:lineRule="exact"/>
        <w:rPr>
          <w:sz w:val="20"/>
          <w:szCs w:val="20"/>
          <w:color w:val="auto"/>
        </w:rPr>
      </w:pPr>
    </w:p>
    <w:p>
      <w:pPr>
        <w:ind w:right="60" w:firstLine="324"/>
        <w:spacing w:after="0" w:line="221" w:lineRule="exact"/>
        <w:rPr>
          <w:sz w:val="20"/>
          <w:szCs w:val="20"/>
          <w:color w:val="auto"/>
        </w:rPr>
      </w:pPr>
      <w:r>
        <w:rPr>
          <w:rFonts w:ascii="Arial" w:cs="Arial" w:eastAsia="Arial" w:hAnsi="Arial"/>
          <w:sz w:val="16"/>
          <w:szCs w:val="16"/>
          <w:color w:val="auto"/>
        </w:rPr>
        <w:t>In connection with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Fluence Energy, Inc. (the “Company”) for the fiscal year ended September 30, 2022 as filed with the Securities and Exchange Commission on the date hereof (the “Report”), I, Julian Nebreda, Chief Executive Officer and President of the Company, certifies, pursuant to 18 U.S.C. Section 1350, as adopted pursuant to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that, to the best of my knowledge:</w:t>
      </w:r>
    </w:p>
    <w:p>
      <w:pPr>
        <w:spacing w:after="0" w:line="136" w:lineRule="exact"/>
        <w:rPr>
          <w:sz w:val="20"/>
          <w:szCs w:val="20"/>
          <w:color w:val="auto"/>
        </w:rPr>
      </w:pPr>
    </w:p>
    <w:p>
      <w:pPr>
        <w:ind w:left="600" w:hanging="187"/>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5717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Julian Nebreda</w:t>
      </w:r>
    </w:p>
    <w:p>
      <w:pPr>
        <w:ind w:left="6220"/>
        <w:spacing w:after="0" w:line="203" w:lineRule="auto"/>
        <w:rPr>
          <w:sz w:val="20"/>
          <w:szCs w:val="20"/>
          <w:color w:val="auto"/>
        </w:rPr>
      </w:pPr>
      <w:r>
        <w:rPr>
          <w:rFonts w:ascii="Arial" w:cs="Arial" w:eastAsia="Arial" w:hAnsi="Arial"/>
          <w:sz w:val="18"/>
          <w:szCs w:val="18"/>
          <w:i w:val="1"/>
          <w:iCs w:val="1"/>
          <w:color w:val="auto"/>
        </w:rPr>
        <w:t>Chief Executive Officer and President (Principal</w:t>
      </w:r>
    </w:p>
    <w:p>
      <w:pPr>
        <w:ind w:left="6220"/>
        <w:spacing w:after="0"/>
        <w:rPr>
          <w:sz w:val="20"/>
          <w:szCs w:val="20"/>
          <w:color w:val="auto"/>
        </w:rPr>
      </w:pPr>
      <w:r>
        <w:rPr>
          <w:rFonts w:ascii="Arial" w:cs="Arial" w:eastAsia="Arial" w:hAnsi="Arial"/>
          <w:sz w:val="18"/>
          <w:szCs w:val="18"/>
          <w:i w:val="1"/>
          <w:iCs w:val="1"/>
          <w:color w:val="auto"/>
        </w:rPr>
        <w:t>Executive Officer)</w:t>
      </w:r>
    </w:p>
    <w:p>
      <w:pPr>
        <w:sectPr>
          <w:pgSz w:w="11900" w:h="16838" w:orient="portrait"/>
          <w:cols w:equalWidth="0" w:num="1">
            <w:col w:w="11240"/>
          </w:cols>
          <w:pgMar w:left="320" w:top="83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356" w:lineRule="exact"/>
        <w:rPr>
          <w:sz w:val="20"/>
          <w:szCs w:val="20"/>
          <w:color w:val="auto"/>
        </w:rPr>
      </w:pPr>
    </w:p>
    <w:p>
      <w:pPr>
        <w:ind w:right="120" w:firstLine="324"/>
        <w:spacing w:after="0" w:line="220" w:lineRule="exact"/>
        <w:rPr>
          <w:sz w:val="20"/>
          <w:szCs w:val="20"/>
          <w:color w:val="auto"/>
        </w:rPr>
      </w:pPr>
      <w:r>
        <w:rPr>
          <w:rFonts w:ascii="Arial" w:cs="Arial" w:eastAsia="Arial" w:hAnsi="Arial"/>
          <w:sz w:val="18"/>
          <w:szCs w:val="18"/>
          <w:color w:val="auto"/>
        </w:rPr>
        <w:t>In connection with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Fluence Energy, Inc. (the “Company”) for the fiscal year ended September 30, 2022 as filed with the Securities and Exchange Commission on the date hereof (the “Report”), I, Manavendra Sial, Senior Vice President and Chief Financial Officer of the Company, certifies, pursuant to 18 U.S.C. Section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the best of my knowledge:</w:t>
      </w:r>
    </w:p>
    <w:p>
      <w:pPr>
        <w:spacing w:after="0" w:line="136" w:lineRule="exact"/>
        <w:rPr>
          <w:sz w:val="20"/>
          <w:szCs w:val="20"/>
          <w:color w:val="auto"/>
        </w:rPr>
      </w:pPr>
    </w:p>
    <w:p>
      <w:pPr>
        <w:ind w:left="600" w:hanging="187"/>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00" w:hanging="187"/>
        <w:spacing w:after="0"/>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pacing w:after="0" w:line="200" w:lineRule="exact"/>
        <w:rPr>
          <w:sz w:val="20"/>
          <w:szCs w:val="20"/>
          <w:color w:val="auto"/>
        </w:rPr>
      </w:pPr>
    </w:p>
    <w:p>
      <w:pPr>
        <w:spacing w:after="0" w:line="390"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032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Manavendra Sial</w:t>
      </w:r>
    </w:p>
    <w:p>
      <w:pPr>
        <w:ind w:left="6240"/>
        <w:spacing w:after="0" w:line="203" w:lineRule="auto"/>
        <w:rPr>
          <w:sz w:val="20"/>
          <w:szCs w:val="20"/>
          <w:color w:val="auto"/>
        </w:rPr>
      </w:pPr>
      <w:r>
        <w:rPr>
          <w:rFonts w:ascii="Arial" w:cs="Arial" w:eastAsia="Arial" w:hAnsi="Arial"/>
          <w:sz w:val="18"/>
          <w:szCs w:val="18"/>
          <w:i w:val="1"/>
          <w:iCs w:val="1"/>
          <w:color w:val="auto"/>
        </w:rPr>
        <w:t>Senior Vice President and Chief Financial Officer (Principal</w:t>
      </w:r>
    </w:p>
    <w:p>
      <w:pPr>
        <w:ind w:left="6240"/>
        <w:spacing w:after="0"/>
        <w:rPr>
          <w:sz w:val="20"/>
          <w:szCs w:val="20"/>
          <w:color w:val="auto"/>
        </w:rPr>
      </w:pPr>
      <w:r>
        <w:rPr>
          <w:rFonts w:ascii="Arial" w:cs="Arial" w:eastAsia="Arial" w:hAnsi="Arial"/>
          <w:sz w:val="18"/>
          <w:szCs w:val="18"/>
          <w:i w:val="1"/>
          <w:iCs w:val="1"/>
          <w:color w:val="auto"/>
        </w:rPr>
        <w:t>Financial Officer)</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decimal"/>
      <w:start w:val="3"/>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lowerRoman"/>
      <w:start w:val="2"/>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Roman"/>
      <w:start w:val="2"/>
    </w:lvl>
  </w:abstractNum>
  <w:abstractNum w:abstractNumId="35">
    <w:nsid w:val="3F6AB60F"/>
    <w:multiLevelType w:val="hybridMultilevel"/>
    <w:lvl w:ilvl="0">
      <w:lvlJc w:val="left"/>
      <w:lvlText w:val="%1."/>
      <w:numFmt w:val="decimal"/>
      <w:start w:val="7"/>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2"/>
    </w:lvl>
  </w:abstractNum>
  <w:abstractNum w:abstractNumId="40">
    <w:nsid w:val="310C50B3"/>
    <w:multiLevelType w:val="hybridMultilevel"/>
    <w:lvl w:ilvl="0">
      <w:lvlJc w:val="left"/>
      <w:lvlText w:val="%1."/>
      <w:numFmt w:val="decimal"/>
      <w:start w:val="4"/>
    </w:lvl>
  </w:abstractNum>
  <w:abstractNum w:abstractNumId="41">
    <w:nsid w:val="5FF87E05"/>
    <w:multiLevelType w:val="hybridMultilevel"/>
    <w:lvl w:ilvl="0">
      <w:lvlJc w:val="left"/>
      <w:lvlText w:val="%1."/>
      <w:numFmt w:val="decimal"/>
      <w:start w:val="5"/>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decimal"/>
      <w:start w:val="6"/>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decimal"/>
      <w:start w:val="7"/>
    </w:lvl>
  </w:abstractNum>
  <w:abstractNum w:abstractNumId="46">
    <w:nsid w:val="1F48EAA1"/>
    <w:multiLevelType w:val="hybridMultilevel"/>
    <w:lvl w:ilvl="0">
      <w:lvlJc w:val="left"/>
      <w:lvlText w:val="%1."/>
      <w:numFmt w:val="decimal"/>
      <w:start w:val="8"/>
    </w:lvl>
  </w:abstractNum>
  <w:abstractNum w:abstractNumId="47">
    <w:nsid w:val="1381823A"/>
    <w:multiLevelType w:val="hybridMultilevel"/>
    <w:lvl w:ilvl="0">
      <w:lvlJc w:val="left"/>
      <w:lvlText w:val="%1."/>
      <w:numFmt w:val="decimal"/>
      <w:start w:val="9"/>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decimal"/>
      <w:start w:val="12"/>
    </w:lvl>
  </w:abstractNum>
  <w:abstractNum w:abstractNumId="51">
    <w:nsid w:val="15014ACB"/>
    <w:multiLevelType w:val="hybridMultilevel"/>
    <w:lvl w:ilvl="0">
      <w:lvlJc w:val="left"/>
      <w:lvlText w:val="(%1)"/>
      <w:numFmt w:val="lowerLetter"/>
      <w:start w:val="2"/>
    </w:lvl>
  </w:abstractNum>
  <w:abstractNum w:abstractNumId="52">
    <w:nsid w:val="5F5E7FD0"/>
    <w:multiLevelType w:val="hybridMultilevel"/>
    <w:lvl w:ilvl="0">
      <w:lvlJc w:val="left"/>
      <w:lvlText w:val="%1."/>
      <w:numFmt w:val="decimal"/>
      <w:start w:val="13"/>
    </w:lvl>
  </w:abstractNum>
  <w:abstractNum w:abstractNumId="53">
    <w:nsid w:val="98A3148"/>
    <w:multiLevelType w:val="hybridMultilevel"/>
    <w:lvl w:ilvl="0">
      <w:lvlJc w:val="left"/>
      <w:lvlText w:val="%1."/>
      <w:numFmt w:val="decimal"/>
      <w:start w:val="18"/>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6A5EE64"/>
    <w:multiLevelType w:val="hybridMultilevel"/>
    <w:lvl w:ilvl="0">
      <w:lvlJc w:val="left"/>
      <w:lvlText w:val="%1."/>
      <w:numFmt w:val="decimal"/>
      <w:start w:val="2"/>
    </w:lvl>
    <w:lvl w:ilvl="1">
      <w:lvlJc w:val="left"/>
      <w:lvlText w:val="(%2)"/>
      <w:numFmt w:val="lowerLetter"/>
      <w:start w:val="1"/>
    </w:lvl>
  </w:abstractNum>
  <w:abstractNum w:abstractNumId="76">
    <w:nsid w:val="14330624"/>
    <w:multiLevelType w:val="hybridMultilevel"/>
    <w:lvl w:ilvl="0">
      <w:lvlJc w:val="left"/>
      <w:lvlText w:val="%1."/>
      <w:numFmt w:val="decimal"/>
      <w:start w:val="3"/>
    </w:lvl>
  </w:abstractNum>
  <w:abstractNum w:abstractNumId="77">
    <w:nsid w:val="7FFFCA11"/>
    <w:multiLevelType w:val="hybridMultilevel"/>
    <w:lvl w:ilvl="0">
      <w:lvlJc w:val="left"/>
      <w:lvlText w:val="%1"/>
      <w:numFmt w:val="lowerLetter"/>
      <w:start w:val="1"/>
    </w:lvl>
    <w:lvl w:ilvl="1">
      <w:lvlJc w:val="left"/>
      <w:lvlText w:val="%2."/>
      <w:numFmt w:val="decimal"/>
      <w:start w:val="1"/>
    </w:lvl>
  </w:abstractNum>
  <w:abstractNum w:abstractNumId="78">
    <w:nsid w:val="1A27709E"/>
    <w:multiLevelType w:val="hybridMultilevel"/>
    <w:lvl w:ilvl="0">
      <w:lvlJc w:val="left"/>
      <w:lvlText w:val="(%1)"/>
      <w:numFmt w:val="lowerLetter"/>
      <w:start w:val="11"/>
    </w:lvl>
    <w:lvl w:ilvl="1">
      <w:lvlJc w:val="left"/>
      <w:lvlText w:val="%2"/>
      <w:numFmt w:val="decimal"/>
      <w:start w:val="1"/>
    </w:lvl>
  </w:abstractNum>
  <w:abstractNum w:abstractNumId="79">
    <w:nsid w:val="71EA1109"/>
    <w:multiLevelType w:val="hybridMultilevel"/>
    <w:lvl w:ilvl="0">
      <w:lvlJc w:val="left"/>
      <w:lvlText w:val="(%1)"/>
      <w:numFmt w:val="lowerLetter"/>
      <w:start w:val="11"/>
    </w:lvl>
  </w:abstractNum>
  <w:abstractNum w:abstractNumId="80">
    <w:nsid w:val="100F59DC"/>
    <w:multiLevelType w:val="hybridMultilevel"/>
    <w:lvl w:ilvl="0">
      <w:lvlJc w:val="left"/>
      <w:lvlText w:val="(%1)"/>
      <w:numFmt w:val="lowerLetter"/>
      <w:start w:val="35"/>
    </w:lvl>
  </w:abstractNum>
  <w:abstractNum w:abstractNumId="81">
    <w:nsid w:val="7FB7E0AA"/>
    <w:multiLevelType w:val="hybridMultilevel"/>
    <w:lvl w:ilvl="0">
      <w:lvlJc w:val="left"/>
      <w:lvlText w:val="%1."/>
      <w:numFmt w:val="decimal"/>
      <w:start w:val="3"/>
    </w:lvl>
    <w:lvl w:ilvl="1">
      <w:lvlJc w:val="left"/>
      <w:lvlText w:val="(%2)"/>
      <w:numFmt w:val="lowerLetter"/>
      <w:start w:val="1"/>
    </w:lvl>
  </w:abstractNum>
  <w:abstractNum w:abstractNumId="82">
    <w:nsid w:val="6EB5BD4"/>
    <w:multiLevelType w:val="hybridMultilevel"/>
    <w:lvl w:ilvl="0">
      <w:lvlJc w:val="left"/>
      <w:lvlText w:val="%1."/>
      <w:numFmt w:val="decimal"/>
      <w:start w:val="4"/>
    </w:lvl>
    <w:lvl w:ilvl="1">
      <w:lvlJc w:val="left"/>
      <w:lvlText w:val="(%2)"/>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jpe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164" Type="http://schemas.openxmlformats.org/officeDocument/2006/relationships/hyperlink" Target="https://www.sec.gov/Archives/edgar/data/0001868941/000110465921133771/tm2120236d16_ex3-1.htm" TargetMode="External"/><Relationship Id="rId165" Type="http://schemas.openxmlformats.org/officeDocument/2006/relationships/hyperlink" Target="https://www.sec.gov/Archives/edgar/data/0001868941/000110465921133771/tm2120236d16_ex3-2.htm" TargetMode="External"/><Relationship Id="rId166" Type="http://schemas.openxmlformats.org/officeDocument/2006/relationships/hyperlink" Target="https://www.sec.gov/Archives/edgar/data/0001868941/000110465921127372/tm2120236d12_ex4-1.htm" TargetMode="External"/><Relationship Id="rId167" Type="http://schemas.openxmlformats.org/officeDocument/2006/relationships/hyperlink" Target="https://www.sec.gov/Archives/edgar/data/1868941/000186894122000073/exhibit41-flnc10xkfy211281.htm" TargetMode="External"/><Relationship Id="rId168" Type="http://schemas.openxmlformats.org/officeDocument/2006/relationships/hyperlink" Target="https://www.sec.gov/Archives/edgar/data/0001868941/000110465921133771/tm2120236d16_ex10-1.htm" TargetMode="External"/><Relationship Id="rId169" Type="http://schemas.openxmlformats.org/officeDocument/2006/relationships/hyperlink" Target="https://www.sec.gov/Archives/edgar/data/0001868941/000110465921133771/tm2120236d16_ex10-2.htm" TargetMode="External"/><Relationship Id="rId170" Type="http://schemas.openxmlformats.org/officeDocument/2006/relationships/hyperlink" Target="https://www.sec.gov/Archives/edgar/data/0001868941/000110465921133771/tm2120236d16_ex10-3.htm" TargetMode="External"/><Relationship Id="rId171" Type="http://schemas.openxmlformats.org/officeDocument/2006/relationships/hyperlink" Target="https://www.sec.gov/Archives/edgar/data/1868941/000186894122000073/rrajoinderexecuted479084781.htm" TargetMode="External"/><Relationship Id="rId172" Type="http://schemas.openxmlformats.org/officeDocument/2006/relationships/hyperlink" Target="https://www.sec.gov/Archives/edgar/data/0001868941/000110465921133771/tm2120236d16_ex10-4.htm" TargetMode="External"/><Relationship Id="rId173" Type="http://schemas.openxmlformats.org/officeDocument/2006/relationships/hyperlink" Target="https://www.sec.gov/Archives/edgar/data/1868941/000186894122000073/shajoinderexecuted479083511.htm" TargetMode="External"/><Relationship Id="rId174" Type="http://schemas.openxmlformats.org/officeDocument/2006/relationships/hyperlink" Target="https://www.sec.gov/Archives/edgar/data/0001868941/000110465921127372/tm2120236d12_ex10-5.htm" TargetMode="External"/><Relationship Id="rId175" Type="http://schemas.openxmlformats.org/officeDocument/2006/relationships/hyperlink" Target="https://www.sec.gov/Archives/edgar/data/0001868941/000110465921127372/tm2120236d12_ex10d6-1.htm" TargetMode="External"/><Relationship Id="rId176" Type="http://schemas.openxmlformats.org/officeDocument/2006/relationships/hyperlink" Target="https://www.sec.gov/Archives/edgar/data/0001868941/000110465921127372/tm2120236d12_ex10d6-2.htm" TargetMode="External"/><Relationship Id="rId177" Type="http://schemas.openxmlformats.org/officeDocument/2006/relationships/hyperlink" Target="https://www.sec.gov/Archives/edgar/data/0001868941/000110465921119966/tm2120236d10_ex10-7.htm" TargetMode="External"/><Relationship Id="rId178" Type="http://schemas.openxmlformats.org/officeDocument/2006/relationships/hyperlink" Target="https://www.sec.gov/Archives/edgar/data/0001868941/000110465921119966/tm2120236d10_ex10-8.htm" TargetMode="External"/><Relationship Id="rId179" Type="http://schemas.openxmlformats.org/officeDocument/2006/relationships/hyperlink" Target="https://www.sec.gov/Archives/edgar/data/0001868941/000110465921119966/tm2120236d10_ex10-9.htm" TargetMode="External"/><Relationship Id="rId180" Type="http://schemas.openxmlformats.org/officeDocument/2006/relationships/hyperlink" Target="https://www.sec.gov/Archives/edgar/data/1868941/000186894122000080/exhibit101-separationandre.htm" TargetMode="External"/><Relationship Id="rId181" Type="http://schemas.openxmlformats.org/officeDocument/2006/relationships/hyperlink" Target="https://www.sec.gov/Archives/edgar/data/0001868941/000110465921119966/tm2120236d10_ex10-10.htm" TargetMode="External"/><Relationship Id="rId182" Type="http://schemas.openxmlformats.org/officeDocument/2006/relationships/hyperlink" Target="https://www.sec.gov/Archives/edgar/data/1868941/000186894122000098/transitionagreement-cleans.htm" TargetMode="External"/><Relationship Id="rId185" Type="http://schemas.openxmlformats.org/officeDocument/2006/relationships/hyperlink" Target="https://www.sec.gov/Archives/edgar/data/0001868941/000110465921119966/tm2120236d10_ex10-11.htm" TargetMode="External"/><Relationship Id="rId186" Type="http://schemas.openxmlformats.org/officeDocument/2006/relationships/hyperlink" Target="https://www.sec.gov/Archives/edgar/data/1868941/000186894122000059/exhibit101-offerletter.htm" TargetMode="External"/><Relationship Id="rId187" Type="http://schemas.openxmlformats.org/officeDocument/2006/relationships/hyperlink" Target="https://www.sec.gov/Archives/edgar/data/1868941/000186894122000084/exhibit101-offerletterxaug.htm" TargetMode="External"/><Relationship Id="rId188" Type="http://schemas.openxmlformats.org/officeDocument/2006/relationships/hyperlink" Target="https://www.sec.gov/Archives/edgar/data/1868941/000186894122000004/fluenceenergy-executivesev.htm" TargetMode="External"/><Relationship Id="rId189" Type="http://schemas.openxmlformats.org/officeDocument/2006/relationships/hyperlink" Target="https://www.sec.gov/Archives/edgar/data/0001868941/000110465921127372/tm2120236d12_ex10-13.htm" TargetMode="External"/><Relationship Id="rId190" Type="http://schemas.openxmlformats.org/officeDocument/2006/relationships/hyperlink" Target="https://www.sec.gov/Archives/edgar/data/1868941/000186894121000012/ex1014_revolvingcreditag.htm" TargetMode="External"/><Relationship Id="rId191" Type="http://schemas.openxmlformats.org/officeDocument/2006/relationships/hyperlink" Target="https://www.sec.gov/Archives/edgar/data/1868941/000186894122000073/projectgaia-lenderjoindera.htm" TargetMode="External"/><Relationship Id="rId192" Type="http://schemas.openxmlformats.org/officeDocument/2006/relationships/hyperlink" Target="https://www.sec.gov/Archives/edgar/data/0001868941/000110465921119966/tm2120236d10_ex10-15.htm" TargetMode="External"/><Relationship Id="rId193" Type="http://schemas.openxmlformats.org/officeDocument/2006/relationships/hyperlink" Target="https://www.sec.gov/Archives/edgar/data/0001868941/000110465921119966/tm2120236d10_ex10-16.htm" TargetMode="External"/><Relationship Id="rId194" Type="http://schemas.openxmlformats.org/officeDocument/2006/relationships/hyperlink" Target="https://www.sec.gov/Archives/edgar/data/0001868941/000110465921127372/tm2120236d12_ex10-17.htm" TargetMode="External"/><Relationship Id="rId195" Type="http://schemas.openxmlformats.org/officeDocument/2006/relationships/hyperlink" Target="https://www.sec.gov/Archives/edgar/data/1868941/000110465921127372/tm2120236d12_ex10-18.htm" TargetMode="External"/><Relationship Id="rId196" Type="http://schemas.openxmlformats.org/officeDocument/2006/relationships/hyperlink" Target="https://www.sec.gov/Archives/edgar/data/0001868941/000110465921127372/tm2120236d12_ex10-19.htm" TargetMode="External"/><Relationship Id="rId197" Type="http://schemas.openxmlformats.org/officeDocument/2006/relationships/hyperlink" Target="https://www.sec.gov/Archives/edgar/data/0001868941/000110465921127372/tm2120236d12_ex10-20.htm" TargetMode="External"/><Relationship Id="rId198" Type="http://schemas.openxmlformats.org/officeDocument/2006/relationships/hyperlink" Target="https://www.sec.gov/Archives/edgar/data/1868941/000186894121000012/ex1021-amendedandrestate.htm" TargetMode="External"/><Relationship Id="rId199" Type="http://schemas.openxmlformats.org/officeDocument/2006/relationships/hyperlink" Target="https://www.sec.gov/Archives/edgar/data/1868941/000186894121000012/ex1022_amendedandrestate.htm" TargetMode="External"/><Relationship Id="rId200" Type="http://schemas.openxmlformats.org/officeDocument/2006/relationships/hyperlink" Target="https://www.sec.gov/Archives/edgar/data/1868941/000186894121000012/ex1023-amendedandrestate.htm" TargetMode="External"/><Relationship Id="rId201" Type="http://schemas.openxmlformats.org/officeDocument/2006/relationships/hyperlink" Target="https://www.sec.gov/Archives/edgar/data/1868941/000186894121000012/ex1024-amendedandrestate.htm" TargetMode="External"/><Relationship Id="rId204" Type="http://schemas.openxmlformats.org/officeDocument/2006/relationships/hyperlink" Target="https://www.sec.gov/Archives/edgar/data/1868941/000186894121000012/ex1025-amendedandrestate.htm" TargetMode="External"/><Relationship Id="rId205" Type="http://schemas.openxmlformats.org/officeDocument/2006/relationships/hyperlink" Target="https://www.sec.gov/Archives/edgar/data/1868941/000186894121000012/ex1026-cooperationagreem.htm" TargetMode="External"/><Relationship Id="rId206" Type="http://schemas.openxmlformats.org/officeDocument/2006/relationships/hyperlink" Target="https://www.sec.gov/Archives/edgar/data/1868941/000186894121000012/ex1027-amendedandrestate.htm" TargetMode="External"/><Relationship Id="rId207" Type="http://schemas.openxmlformats.org/officeDocument/2006/relationships/hyperlink" Target="https://www.sec.gov/Archives/edgar/data/0001868941/000110465921127372/tm2120236d12_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2022-12-14T05:19:48Z</dcterms:created>
  <dcterms:modified xsi:type="dcterms:W3CDTF">2022-12-14T05:19:48Z</dcterms:modified>
</cp:coreProperties>
</file>