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341d1_8k.htm"/>
      <w:bookmarkStart w:id="1" w:name="kstm2627341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0_edei--DocumentType_c20261008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October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D_edei--EntityRegistrantName_c2026"/>
      <w:bookmarkEnd w:id="4"/>
      <w:r>
        <w:rPr>
          <w:rFonts w:ascii="Times New Roman;Times;Serif" w:hAnsi="Times New Roman;Times;Serif"/>
          <w:b/>
          <w:i w:val="false"/>
          <w:caps w:val="false"/>
          <w:smallCaps w:val="false"/>
          <w:sz w:val="36"/>
        </w:rPr>
        <w:t>FLUENCE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275" w:type="dxa"/>
        <w:jc w:val="left"/>
        <w:tblInd w:w="0" w:type="dxa"/>
        <w:tblLayout w:type="fixed"/>
        <w:tblCellMar>
          <w:top w:w="0" w:type="dxa"/>
          <w:left w:w="0" w:type="dxa"/>
          <w:bottom w:w="0" w:type="dxa"/>
          <w:right w:w="0" w:type="dxa"/>
        </w:tblCellMar>
      </w:tblPr>
      <w:tblGrid>
        <w:gridCol w:w="2375"/>
        <w:gridCol w:w="60"/>
        <w:gridCol w:w="2210"/>
        <w:gridCol w:w="60"/>
        <w:gridCol w:w="2570"/>
      </w:tblGrid>
      <w:tr>
        <w:trPr/>
        <w:tc>
          <w:tcPr>
            <w:tcW w:w="2375" w:type="dxa"/>
            <w:tcBorders/>
            <w:vAlign w:val="center"/>
          </w:tcPr>
          <w:p>
            <w:pPr>
              <w:pStyle w:val="TableContents"/>
              <w:bidi w:val="0"/>
              <w:spacing w:before="0" w:after="283"/>
              <w:jc w:val="center"/>
              <w:rPr>
                <w:rFonts w:ascii="Times New Roman;Times;Serif" w:hAnsi="Times New Roman;Times;Serif"/>
                <w:b/>
                <w:sz w:val="20"/>
              </w:rPr>
            </w:pPr>
            <w:bookmarkStart w:id="5" w:name="xdx_903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5_edei--EntityFileNumber_c20261008"/>
            <w:bookmarkEnd w:id="6"/>
            <w:r>
              <w:rPr>
                <w:rFonts w:ascii="Times New Roman;Times;Serif" w:hAnsi="Times New Roman;Times;Serif"/>
                <w:b/>
                <w:sz w:val="20"/>
              </w:rPr>
              <w:t>001-40978</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center"/>
              <w:rPr>
                <w:rFonts w:ascii="Times New Roman;Times;Serif" w:hAnsi="Times New Roman;Times;Serif"/>
                <w:b/>
                <w:sz w:val="20"/>
              </w:rPr>
            </w:pPr>
            <w:bookmarkStart w:id="7" w:name="xdx_904_edei--EntityTaxIdentificationNum"/>
            <w:bookmarkEnd w:id="7"/>
            <w:r>
              <w:rPr>
                <w:rFonts w:ascii="Times New Roman;Times;Serif" w:hAnsi="Times New Roman;Times;Serif"/>
                <w:b/>
                <w:sz w:val="20"/>
              </w:rPr>
              <w:t>87-1304612</w:t>
            </w:r>
          </w:p>
        </w:tc>
      </w:tr>
      <w:tr>
        <w:trPr/>
        <w:tc>
          <w:tcPr>
            <w:tcW w:w="23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7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Identification </w:t>
              <w:br/>
              <w:t>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2107 Wilson Boulevard, </w:t>
      </w:r>
      <w:bookmarkStart w:id="9" w:name="xdx_90A_edei--EntityAddressAddressLine2_"/>
      <w:bookmarkEnd w:id="9"/>
      <w:r>
        <w:rPr>
          <w:rFonts w:ascii="Times New Roman;Times;Serif" w:hAnsi="Times New Roman;Times;Serif"/>
          <w:b/>
          <w:i w:val="false"/>
          <w:caps w:val="false"/>
          <w:smallCaps w:val="false"/>
          <w:sz w:val="20"/>
        </w:rPr>
        <w:t>Suite 900</w:t>
      </w:r>
      <w:r>
        <w:rPr>
          <w:rFonts w:ascii="Times New Roman;Times;Serif" w:hAnsi="Times New Roman;Times;Serif"/>
          <w:b w:val="false"/>
          <w:i w:val="false"/>
          <w:caps w:val="false"/>
          <w:smallCaps w:val="false"/>
          <w:sz w:val="20"/>
        </w:rPr>
        <w:t xml:space="preserve"> </w:t>
        <w:br/>
      </w:r>
      <w:bookmarkStart w:id="10" w:name="xdx_907_edei--EntityAddressCityOrTown_c2"/>
      <w:bookmarkEnd w:id="10"/>
      <w:r>
        <w:rPr>
          <w:rFonts w:ascii="Times New Roman;Times;Serif" w:hAnsi="Times New Roman;Times;Serif"/>
          <w:b/>
          <w:i w:val="false"/>
          <w:caps w:val="false"/>
          <w:smallCaps w:val="false"/>
          <w:sz w:val="20"/>
        </w:rPr>
        <w:t xml:space="preserve">Arlington, </w:t>
      </w:r>
      <w:bookmarkStart w:id="11" w:name="xdx_90F_edei--EntityAddressStateOrProvin"/>
      <w:bookmarkEnd w:id="11"/>
      <w:r>
        <w:rPr>
          <w:rFonts w:ascii="Times New Roman;Times;Serif" w:hAnsi="Times New Roman;Times;Serif"/>
          <w:b/>
          <w:i w:val="false"/>
          <w:caps w:val="false"/>
          <w:smallCaps w:val="false"/>
          <w:sz w:val="20"/>
        </w:rPr>
        <w:t>Virginia</w:t>
      </w:r>
      <w:r>
        <w:rPr>
          <w:rFonts w:ascii="Times New Roman;Times;Serif" w:hAnsi="Times New Roman;Times;Serif"/>
          <w:b w:val="false"/>
          <w:i w:val="false"/>
          <w:caps w:val="false"/>
          <w:smallCaps w:val="false"/>
          <w:sz w:val="20"/>
        </w:rPr>
        <w:t xml:space="preserve"> </w:t>
      </w:r>
      <w:bookmarkStart w:id="12" w:name="xdx_907_edei--EntityAddressPostalZipCode"/>
      <w:bookmarkEnd w:id="12"/>
      <w:r>
        <w:rPr>
          <w:rFonts w:ascii="Times New Roman;Times;Serif" w:hAnsi="Times New Roman;Times;Serif"/>
          <w:b/>
          <w:i w:val="false"/>
          <w:caps w:val="false"/>
          <w:smallCaps w:val="false"/>
          <w:sz w:val="20"/>
        </w:rPr>
        <w:t>22201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B_edei--CityAreaCode_c20261008__20"/>
      <w:bookmarkEnd w:id="13"/>
      <w:r>
        <w:rPr>
          <w:rFonts w:ascii="Times New Roman;Times;Serif" w:hAnsi="Times New Roman;Times;Serif"/>
          <w:b/>
          <w:i w:val="false"/>
          <w:caps w:val="false"/>
          <w:smallCaps w:val="false"/>
          <w:sz w:val="20"/>
        </w:rPr>
        <w:t xml:space="preserve">833) </w:t>
      </w:r>
      <w:bookmarkStart w:id="14" w:name="xdx_90D_edei--LocalPhoneNumber_c20261008"/>
      <w:bookmarkEnd w:id="14"/>
      <w:r>
        <w:rPr>
          <w:rFonts w:ascii="Times New Roman;Times;Serif" w:hAnsi="Times New Roman;Times;Serif"/>
          <w:b/>
          <w:i w:val="false"/>
          <w:caps w:val="false"/>
          <w:smallCaps w:val="false"/>
          <w:sz w:val="20"/>
        </w:rPr>
        <w:t>358-3623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p>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5" w:name="xdx_904_edei--WrittenCommunications_c202"/>
            <w:bookmarkEnd w:id="15"/>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left"/>
              <w:rPr/>
            </w:pPr>
            <w:r>
              <w:rPr/>
              <w:t> </w:t>
            </w:r>
          </w:p>
        </w:tc>
      </w:tr>
    </w:tbl>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D_edei--SolicitingMaterial_c202610"/>
            <w:bookmarkEnd w:id="16"/>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283"/>
              <w:jc w:val="left"/>
              <w:rPr/>
            </w:pPr>
            <w:r>
              <w:rPr/>
              <w:t> </w:t>
            </w:r>
          </w:p>
        </w:tc>
      </w:tr>
    </w:tbl>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5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bl>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8" w:name="xdx_90F_edei--PreCommencementIssuerTende"/>
            <w:bookmarkEnd w:id="18"/>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 </w:t>
      </w:r>
    </w:p>
    <w:p>
      <w:pPr>
        <w:pStyle w:val="TextBody"/>
        <w:bidi w:val="0"/>
        <w:spacing w:before="0" w:after="0"/>
        <w:jc w:val="center"/>
        <w:rPr>
          <w:caps w:val="false"/>
          <w:smallCaps w:val="false"/>
        </w:rPr>
      </w:pPr>
      <w:r>
        <w:rPr>
          <w:caps w:val="false"/>
          <w:smallCaps w:val="false"/>
        </w:rPr>
        <w:t> </w:t>
      </w:r>
    </w:p>
    <w:tbl>
      <w:tblPr>
        <w:tblW w:w="8415" w:type="dxa"/>
        <w:jc w:val="left"/>
        <w:tblInd w:w="0" w:type="dxa"/>
        <w:tblLayout w:type="fixed"/>
        <w:tblCellMar>
          <w:top w:w="0" w:type="dxa"/>
          <w:left w:w="0" w:type="dxa"/>
          <w:bottom w:w="28" w:type="dxa"/>
          <w:right w:w="0" w:type="dxa"/>
        </w:tblCellMar>
      </w:tblPr>
      <w:tblGrid>
        <w:gridCol w:w="4565"/>
        <w:gridCol w:w="60"/>
        <w:gridCol w:w="845"/>
        <w:gridCol w:w="60"/>
        <w:gridCol w:w="2885"/>
      </w:tblGrid>
      <w:tr>
        <w:trPr/>
        <w:tc>
          <w:tcPr>
            <w:tcW w:w="45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288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w:t>
              <w:br/>
              <w:t>registered</w:t>
            </w:r>
          </w:p>
        </w:tc>
      </w:tr>
      <w:tr>
        <w:trPr/>
        <w:tc>
          <w:tcPr>
            <w:tcW w:w="456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0_edei--Security12bTitle_c20261008"/>
            <w:bookmarkEnd w:id="19"/>
            <w:r>
              <w:rPr>
                <w:rFonts w:ascii="Times New Roman;Times;Serif" w:hAnsi="Times New Roman;Times;Serif"/>
                <w:b/>
                <w:sz w:val="20"/>
              </w:rPr>
              <w:t>Class A Common Stock, $0.00001 par value per share</w:t>
            </w:r>
          </w:p>
        </w:tc>
        <w:tc>
          <w:tcPr>
            <w:tcW w:w="60" w:type="dxa"/>
            <w:tcBorders/>
            <w:tcMar>
              <w:bottom w:w="0" w:type="dxa"/>
            </w:tcMar>
            <w:vAlign w:val="center"/>
          </w:tcPr>
          <w:p>
            <w:pPr>
              <w:pStyle w:val="TableContents"/>
              <w:bidi w:val="0"/>
              <w:spacing w:before="0" w:after="283"/>
              <w:jc w:val="left"/>
              <w:rPr/>
            </w:pPr>
            <w:r>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8_edei--TradingSymbol_c20261008__2"/>
            <w:bookmarkEnd w:id="20"/>
            <w:r>
              <w:rPr>
                <w:rFonts w:ascii="Times New Roman;Times;Serif" w:hAnsi="Times New Roman;Times;Serif"/>
                <w:b/>
                <w:sz w:val="20"/>
              </w:rPr>
              <w:t>FLNC</w:t>
            </w:r>
          </w:p>
        </w:tc>
        <w:tc>
          <w:tcPr>
            <w:tcW w:w="60" w:type="dxa"/>
            <w:tcBorders/>
            <w:tcMar>
              <w:bottom w:w="0" w:type="dxa"/>
            </w:tcMar>
            <w:vAlign w:val="center"/>
          </w:tcPr>
          <w:p>
            <w:pPr>
              <w:pStyle w:val="TableContents"/>
              <w:bidi w:val="0"/>
              <w:spacing w:before="0" w:after="283"/>
              <w:jc w:val="left"/>
              <w:rPr/>
            </w:pPr>
            <w:r>
              <w:rPr/>
              <w:t> </w:t>
            </w:r>
          </w:p>
        </w:tc>
        <w:tc>
          <w:tcPr>
            <w:tcW w:w="288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1" w:name="xdx_900_edei--SecurityExchangeName_c2026"/>
            <w:bookmarkEnd w:id="21"/>
            <w:r>
              <w:rPr>
                <w:rFonts w:ascii="Times New Roman;Times;Serif" w:hAnsi="Times New Roman;Times;Serif"/>
                <w:b/>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4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2026, Fluence Energy, Inc. (“the Company”, “we” or “our”) and Peter Williams, our former Senior Vice President and Chief Product Officer, entered into a separation agreement and release of claims (the “Williams Separation Agreement”). Pursuant to the Williams Separation Agreement, Mr. Williams will receive a lump sum payment equal to $593,750, less standard payroll deductions and withholdings, accelerated vesting of 12,184 RSUs and 11,347 PSUs and reimbursement of COBRA premiums at the applicable employee rates for twelve months, to the extent Mr. Williams is eligible for and timely elects COBRA coverage. The payments and benefits under the Williams Separation Agreement are subject to his execution and non-revocation of a release of claims, which also contains certain confidentiality, mutual non-disparagement, and cooperation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Williams Separation Agreement is qualified in its entirety by the full text of the Williams Separation Agreement, which is filed as Exhibit 10.1 hereto and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09"/>
        <w:gridCol w:w="60"/>
        <w:gridCol w:w="9436"/>
      </w:tblGrid>
      <w:tr>
        <w:trPr/>
        <w:tc>
          <w:tcPr>
            <w:tcW w:w="709" w:type="dxa"/>
            <w:tcBorders>
              <w:bottom w:val="single" w:sz="8" w:space="0" w:color="000000"/>
            </w:tcBorders>
            <w:vAlign w:val="center"/>
          </w:tcPr>
          <w:p>
            <w:pPr>
              <w:pStyle w:val="TableContents"/>
              <w:bidi w:val="0"/>
              <w:spacing w:before="0" w:after="283"/>
              <w:jc w:val="center"/>
              <w:rPr>
                <w:b/>
                <w:sz w:val="20"/>
              </w:rPr>
            </w:pPr>
            <w:r>
              <w:rPr>
                <w:b/>
                <w:sz w:val="20"/>
              </w:rPr>
              <w:t xml:space="preserve">Exhibit </w:t>
              <w:br/>
              <w:t>No.</w:t>
            </w:r>
          </w:p>
        </w:tc>
        <w:tc>
          <w:tcPr>
            <w:tcW w:w="60" w:type="dxa"/>
            <w:tcBorders/>
            <w:tcMar>
              <w:bottom w:w="0" w:type="dxa"/>
            </w:tcMar>
            <w:vAlign w:val="center"/>
          </w:tcPr>
          <w:p>
            <w:pPr>
              <w:pStyle w:val="TableContents"/>
              <w:bidi w:val="0"/>
              <w:spacing w:before="0" w:after="283"/>
              <w:jc w:val="left"/>
              <w:rPr/>
            </w:pPr>
            <w:r>
              <w:rPr/>
              <w:t> </w:t>
            </w:r>
          </w:p>
        </w:tc>
        <w:tc>
          <w:tcPr>
            <w:tcW w:w="9436" w:type="dxa"/>
            <w:tcBorders>
              <w:bottom w:val="single" w:sz="8" w:space="0" w:color="000000"/>
            </w:tcBorders>
            <w:vAlign w:val="center"/>
          </w:tcPr>
          <w:p>
            <w:pPr>
              <w:pStyle w:val="TableContents"/>
              <w:bidi w:val="0"/>
              <w:spacing w:before="0" w:after="283"/>
              <w:jc w:val="left"/>
              <w:rPr>
                <w:b/>
                <w:sz w:val="20"/>
              </w:rPr>
            </w:pPr>
            <w:r>
              <w:rPr>
                <w:b/>
                <w:sz w:val="20"/>
              </w:rPr>
              <w:t>Description</w:t>
            </w:r>
          </w:p>
        </w:tc>
      </w:tr>
      <w:tr>
        <w:trPr/>
        <w:tc>
          <w:tcPr>
            <w:tcW w:w="709" w:type="dxa"/>
            <w:tcBorders/>
            <w:tcMar>
              <w:bottom w:w="0" w:type="dxa"/>
            </w:tcMar>
            <w:vAlign w:val="center"/>
          </w:tcPr>
          <w:p>
            <w:pPr>
              <w:pStyle w:val="TableContents"/>
              <w:bidi w:val="0"/>
              <w:spacing w:before="0" w:after="283"/>
              <w:jc w:val="center"/>
              <w:rPr/>
            </w:pPr>
            <w:hyperlink w:anchor="tm2627341d1_ex10-1.htm">
              <w:r>
                <w:rPr>
                  <w:rStyle w:val="InternetLink"/>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436" w:type="dxa"/>
            <w:tcBorders/>
            <w:tcMar>
              <w:bottom w:w="0" w:type="dxa"/>
            </w:tcMar>
            <w:vAlign w:val="center"/>
          </w:tcPr>
          <w:p>
            <w:pPr>
              <w:pStyle w:val="TableContents"/>
              <w:bidi w:val="0"/>
              <w:spacing w:before="0" w:after="283"/>
              <w:jc w:val="left"/>
              <w:rPr/>
            </w:pPr>
            <w:hyperlink w:anchor="tm2627341d1_ex10-1.htm">
              <w:r>
                <w:rPr>
                  <w:rStyle w:val="InternetLink"/>
                  <w:sz w:val="20"/>
                </w:rPr>
                <w:t>Separation Agreement and Release of Claims between Fluence Energy, Inc. and Peter Williams, dated October 8, 2026</w:t>
              </w:r>
            </w:hyperlink>
          </w:p>
        </w:tc>
      </w:tr>
      <w:tr>
        <w:trPr/>
        <w:tc>
          <w:tcPr>
            <w:tcW w:w="709" w:type="dxa"/>
            <w:tcBorders/>
            <w:tcMar>
              <w:bottom w:w="0" w:type="dxa"/>
            </w:tcMar>
            <w:vAlign w:val="center"/>
          </w:tcPr>
          <w:p>
            <w:pPr>
              <w:pStyle w:val="TableContents"/>
              <w:bidi w:val="0"/>
              <w:spacing w:before="0" w:after="283"/>
              <w:jc w:val="center"/>
              <w:rPr/>
            </w:pPr>
            <w:r>
              <w:rPr/>
              <w:t>104</w:t>
            </w:r>
          </w:p>
        </w:tc>
        <w:tc>
          <w:tcPr>
            <w:tcW w:w="60" w:type="dxa"/>
            <w:tcBorders/>
            <w:tcMar>
              <w:bottom w:w="0" w:type="dxa"/>
            </w:tcMar>
            <w:vAlign w:val="center"/>
          </w:tcPr>
          <w:p>
            <w:pPr>
              <w:pStyle w:val="TableContents"/>
              <w:bidi w:val="0"/>
              <w:spacing w:before="0" w:after="283"/>
              <w:jc w:val="left"/>
              <w:rPr/>
            </w:pPr>
            <w:r>
              <w:rPr/>
              <w:t> </w:t>
            </w:r>
          </w:p>
        </w:tc>
        <w:tc>
          <w:tcPr>
            <w:tcW w:w="9436" w:type="dxa"/>
            <w:tcBorders/>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385" w:type="dxa"/>
        <w:jc w:val="left"/>
        <w:tblInd w:w="0" w:type="dxa"/>
        <w:tblLayout w:type="fixed"/>
        <w:tblCellMar>
          <w:top w:w="0" w:type="dxa"/>
          <w:left w:w="0" w:type="dxa"/>
          <w:bottom w:w="0" w:type="dxa"/>
          <w:right w:w="0" w:type="dxa"/>
        </w:tblCellMar>
      </w:tblPr>
      <w:tblGrid>
        <w:gridCol w:w="1820"/>
        <w:gridCol w:w="320"/>
        <w:gridCol w:w="6245"/>
      </w:tblGrid>
      <w:tr>
        <w:trPr/>
        <w:tc>
          <w:tcPr>
            <w:tcW w:w="1820" w:type="dxa"/>
            <w:tcBorders/>
            <w:vAlign w:val="center"/>
          </w:tcPr>
          <w:p>
            <w:pPr>
              <w:pStyle w:val="TableContents"/>
              <w:bidi w:val="0"/>
              <w:spacing w:before="0" w:after="283"/>
              <w:jc w:val="left"/>
              <w:rPr/>
            </w:pPr>
            <w:r>
              <w:rPr/>
              <w:t> </w:t>
            </w:r>
          </w:p>
        </w:tc>
        <w:tc>
          <w:tcPr>
            <w:tcW w:w="6565" w:type="dxa"/>
            <w:gridSpan w:val="2"/>
            <w:tcBorders/>
            <w:vAlign w:val="center"/>
          </w:tcPr>
          <w:p>
            <w:pPr>
              <w:pStyle w:val="TableContents"/>
              <w:bidi w:val="0"/>
              <w:spacing w:before="0" w:after="283"/>
              <w:jc w:val="left"/>
              <w:rPr>
                <w:b/>
                <w:sz w:val="20"/>
              </w:rPr>
            </w:pPr>
            <w:r>
              <w:rPr>
                <w:b/>
                <w:sz w:val="20"/>
              </w:rPr>
              <w:t>FLUENCE ENERGY, INC.</w:t>
            </w:r>
          </w:p>
        </w:tc>
      </w:tr>
      <w:tr>
        <w:trPr/>
        <w:tc>
          <w:tcPr>
            <w:tcW w:w="1820" w:type="dxa"/>
            <w:tcBorders/>
            <w:vAlign w:val="center"/>
          </w:tcPr>
          <w:p>
            <w:pPr>
              <w:pStyle w:val="TableContents"/>
              <w:bidi w:val="0"/>
              <w:spacing w:before="0" w:after="283"/>
              <w:jc w:val="left"/>
              <w:rPr/>
            </w:pPr>
            <w:r>
              <w:rPr/>
              <w:t> </w:t>
            </w:r>
          </w:p>
        </w:tc>
        <w:tc>
          <w:tcPr>
            <w:tcW w:w="6565" w:type="dxa"/>
            <w:gridSpan w:val="2"/>
            <w:tcBorders/>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sz w:val="20"/>
              </w:rPr>
            </w:pPr>
            <w:r>
              <w:rPr>
                <w:sz w:val="20"/>
              </w:rPr>
              <w:t>Date: October 9, 2026</w:t>
            </w:r>
          </w:p>
        </w:tc>
        <w:tc>
          <w:tcPr>
            <w:tcW w:w="320" w:type="dxa"/>
            <w:tcBorders/>
            <w:vAlign w:val="center"/>
          </w:tcPr>
          <w:p>
            <w:pPr>
              <w:pStyle w:val="TableContents"/>
              <w:bidi w:val="0"/>
              <w:spacing w:before="0" w:after="283"/>
              <w:jc w:val="left"/>
              <w:rPr>
                <w:sz w:val="20"/>
              </w:rPr>
            </w:pPr>
            <w:r>
              <w:rPr>
                <w:sz w:val="20"/>
              </w:rPr>
              <w:t>By:</w:t>
            </w:r>
          </w:p>
        </w:tc>
        <w:tc>
          <w:tcPr>
            <w:tcW w:w="624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Vincent Mathis</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sz w:val="20"/>
              </w:rPr>
            </w:pPr>
            <w:r>
              <w:rPr>
                <w:sz w:val="20"/>
              </w:rPr>
              <w:t>Vincent Mathis</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sz w:val="20"/>
              </w:rPr>
            </w:pPr>
            <w:r>
              <w:rPr>
                <w:sz w:val="20"/>
              </w:rPr>
              <w:t>Senior Vice President and Chief Legal and Compliance Officer and Secretary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7341d1_ex10-1.htm"/>
      <w:bookmarkStart w:id="24" w:name="kstm2627341d1_ex101"/>
      <w:bookmarkEnd w:id="23"/>
      <w:bookmarkEnd w:id="24"/>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8,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Williams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pbwilliams@sbcglobal.net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Peter,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your separation from your role as Senior Vice President and Chief Product Officer of Fluence Energy, Inc. (“Fluence” and, together with its affiliated and related entities, the “Company”), we believe it is mutually beneficial to put in writing the terms of such separation.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employment with the Company terminated effective September 11, 2026 (the “Termination Date”). In lieu of any severance payments and benefits that you might have in certain circumstances otherwise been eligible to receive under the Fluence Energy, Inc. Executive Severance Plan (the “Executive Severance Plan”), the Company has agreed to provide you with the following payments and benefits, subject to your execution and non-revocation of the release attached hereto as Exhibit A (the “Release”), within 21 days following the date of this letter and the lapse of any revocation period related thereto:</w:t>
      </w:r>
    </w:p>
    <w:p>
      <w:pPr>
        <w:pStyle w:val="TextBody"/>
        <w:bidi w:val="0"/>
        <w:spacing w:before="0" w:after="0"/>
        <w:jc w:val="left"/>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38"/>
        <w:gridCol w:w="200"/>
        <w:gridCol w:w="92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9200" w:type="dxa"/>
            <w:tcBorders/>
            <w:vAlign w:val="center"/>
          </w:tcPr>
          <w:p>
            <w:pPr>
              <w:pStyle w:val="TableContents"/>
              <w:bidi w:val="0"/>
              <w:spacing w:before="0" w:after="283"/>
              <w:jc w:val="left"/>
              <w:rPr/>
            </w:pPr>
            <w:r>
              <w:rPr/>
              <w:t>A lump sum cash payment equal to $593,750, less standard payroll deductions and withholdings;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2.</w:t>
            </w:r>
          </w:p>
        </w:tc>
        <w:tc>
          <w:tcPr>
            <w:tcW w:w="10015" w:type="dxa"/>
            <w:tcBorders/>
            <w:vAlign w:val="center"/>
          </w:tcPr>
          <w:p>
            <w:pPr>
              <w:pStyle w:val="TableContents"/>
              <w:bidi w:val="0"/>
              <w:spacing w:before="0" w:after="283"/>
              <w:jc w:val="both"/>
              <w:rPr/>
            </w:pPr>
            <w:r>
              <w:rPr/>
              <w:t>Accelerated vesting of (a) 3,775 unvested restricted stock units (“RSUs”) granted to you on December 8, 2023 under the Fluence Energy, Inc. 2021 Incentive Award Plan (the “2021 Plan”) and (b) 8,409 RSUs and 11,347 PSUs granted to you on December 18, 2024 under the 2021 Plan (assuming achievement of target performance), each of which shall be settled in accordance with their terms following the effective date of the Release;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Reimbursement of COBRA premiums for medical, dental, and vision benefits at the applicable active employee rates for twelve months following the Termination Date, to the extent you are eligible for and timely elect COBRA continuation coverage.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foregoing payments and benefits, you hereby expressly waive and relinquish any and all rights and benefits to which you may otherwise be entitled under the Executive Severance Plan, including, without limitation, the right to receive any Separation Payment, Pro-Rata Bonus (as defined in the Executive Severance Plan), COBRA Coverage Subsidy, outplacement services, bonus compensation, equity compensation (including, without limitation, any accelerated vesting of stock options under Section 4.6.1 of the Executive Severance Plan), or any other payments or benefits provided under the Executive Severance Plan. The payments and benefits set forth in this letter shall supersede and replace, in their entirety, any and all payments and benefits that may otherwise be payable to you under the Executive Severance Plan or otherwise in connection with termination of employment, except as required by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 xml:space="preserve">Fluence </w:t>
        <w:br/>
        <w:t>Separation Agreement and General Release</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jc w:val="left"/>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335"/>
        <w:gridCol w:w="2570"/>
        <w:gridCol w:w="75"/>
      </w:tblGrid>
      <w:tr>
        <w:trPr/>
        <w:tc>
          <w:tcPr>
            <w:tcW w:w="290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Fluence Energy, Inc.</w:t>
            </w:r>
          </w:p>
        </w:tc>
        <w:tc>
          <w:tcPr>
            <w:tcW w:w="75" w:type="dxa"/>
            <w:tcBorders/>
            <w:vAlign w:val="center"/>
          </w:tcPr>
          <w:p>
            <w:pPr>
              <w:pStyle w:val="TableContents"/>
              <w:bidi w:val="0"/>
              <w:spacing w:before="0" w:after="283"/>
              <w:jc w:val="left"/>
              <w:rPr/>
            </w:pPr>
            <w:r>
              <w:rPr/>
              <w:t> </w:t>
            </w:r>
          </w:p>
        </w:tc>
      </w:tr>
      <w:tr>
        <w:trPr/>
        <w:tc>
          <w:tcPr>
            <w:tcW w:w="2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Andrea Fisher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Andrea Fisher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Human Resources Officer</w:t>
            </w:r>
          </w:p>
        </w:tc>
        <w:tc>
          <w:tcPr>
            <w:tcW w:w="75" w:type="dxa"/>
            <w:tcBorders/>
            <w:vAlign w:val="center"/>
          </w:tcPr>
          <w:p>
            <w:pPr>
              <w:pStyle w:val="TableContents"/>
              <w:bidi w:val="0"/>
              <w:spacing w:before="0" w:after="283"/>
              <w:jc w:val="left"/>
              <w:rPr/>
            </w:pPr>
            <w:r>
              <w:rPr/>
              <w:t> </w:t>
            </w:r>
          </w:p>
        </w:tc>
      </w:tr>
      <w:tr>
        <w:trPr/>
        <w:tc>
          <w:tcPr>
            <w:tcW w:w="2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Pete Williams</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Williams</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Agreed to this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October,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eric@hidukelaw.com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 xml:space="preserve">Fluence </w:t>
        <w:br/>
        <w:t>Separation Agreement and General Release</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Exhibit A </w:t>
        <w:br/>
        <w:t>General Release</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1.</w:t>
            </w:r>
          </w:p>
        </w:tc>
        <w:tc>
          <w:tcPr>
            <w:tcW w:w="10022" w:type="dxa"/>
            <w:tcBorders/>
            <w:vAlign w:val="center"/>
          </w:tcPr>
          <w:p>
            <w:pPr>
              <w:pStyle w:val="TableContents"/>
              <w:bidi w:val="0"/>
              <w:spacing w:before="0" w:after="283"/>
              <w:jc w:val="both"/>
              <w:rPr/>
            </w:pPr>
            <w:r>
              <w:rPr/>
              <w:t>Your employment was terminated effective September 11, 2026 (the “Termination Date”). You acknowledge and agree that you have been paid your earned compensation through and including the Termination Date. You have received or will receive by separate cover information regarding your rights to continuation of your health insurance which will cease as of the last day of the month in which your Termination Date occurs. You acknowledge and agree that you have submitted all expense reimbursement requests for legitimate business expenses to Fluence Energy, Inc. (together with its affiliated and related entities, the “Company”) and the Company has reimbursed you in accordance with its existing policies for all such legitimate expenses you incurred on Company business prior to the Termination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2.</w:t>
            </w:r>
          </w:p>
        </w:tc>
        <w:tc>
          <w:tcPr>
            <w:tcW w:w="10017" w:type="dxa"/>
            <w:tcBorders/>
            <w:vAlign w:val="center"/>
          </w:tcPr>
          <w:p>
            <w:pPr>
              <w:pStyle w:val="TableContents"/>
              <w:bidi w:val="0"/>
              <w:spacing w:before="0" w:after="283"/>
              <w:jc w:val="both"/>
              <w:rPr/>
            </w:pPr>
            <w:r>
              <w:rPr/>
              <w:t>You represent and warrant that you have returned all reports, files, memoranda, records, software, laptops, computer equipment, cellular phones, credit cards, cardkey passes, door and file keys, computer access codes or disks and instructional manuals and other physical or personal property that you received in connection with your employment with the Company that you then have in your possession, and you shall not retain any copies, duplicates, reproductions or excerpts thereof.</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3.</w:t>
            </w:r>
          </w:p>
        </w:tc>
        <w:tc>
          <w:tcPr>
            <w:tcW w:w="10016" w:type="dxa"/>
            <w:tcBorders/>
            <w:vAlign w:val="center"/>
          </w:tcPr>
          <w:p>
            <w:pPr>
              <w:pStyle w:val="TableContents"/>
              <w:bidi w:val="0"/>
              <w:spacing w:before="0" w:after="283"/>
              <w:jc w:val="both"/>
              <w:rPr/>
            </w:pPr>
            <w:r>
              <w:rPr/>
              <w:t>In consideration for your execution of this general release (the “Release”) and return of it to the Company no earlier than October 8, 2026 and no later than October 29, 2026, and provided you do not timely revoke your acceptance of this Release, the Company will provide you with the severance payments and benefits set forth above in that certain letter agreement between you and the Company, dated as of October 8, 2026 (the “Agreement”).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4.</w:t>
            </w:r>
          </w:p>
        </w:tc>
        <w:tc>
          <w:tcPr>
            <w:tcW w:w="10022" w:type="dxa"/>
            <w:tcBorders/>
            <w:vAlign w:val="center"/>
          </w:tcPr>
          <w:p>
            <w:pPr>
              <w:pStyle w:val="TableContents"/>
              <w:bidi w:val="0"/>
              <w:spacing w:before="0" w:after="283"/>
              <w:jc w:val="both"/>
              <w:rPr/>
            </w:pPr>
            <w:r>
              <w:rPr/>
              <w:t>Notwithstanding any provision of this Release to the contrary, if any benefit provided under the Agreement or this Release, as applicable, is subject to the provisions of Section 409A of the Internal Revenue Code of 1986, as amended, and the regulations and other binding guidance promulgated thereunder (collectively, “Section 409A”), the provisions of the Release will be administered, interpreted and construed in a manner necessary to comply with Section 409A or an exception thereto (or disregarded to the extent such provision cannot be so administered, interpreted, or construed). Notwithstanding any provision of the Release to the contrary, in no event shall the Company (or their employees, officers, directors or affiliates) have any liability to you (or any other person) due to the failure of the Agreement or this Release to satisfy the requirements of Section 409A or any other applicable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5.</w:t>
            </w:r>
          </w:p>
        </w:tc>
        <w:tc>
          <w:tcPr>
            <w:tcW w:w="10020" w:type="dxa"/>
            <w:tcBorders/>
            <w:vAlign w:val="center"/>
          </w:tcPr>
          <w:p>
            <w:pPr>
              <w:pStyle w:val="TableContents"/>
              <w:bidi w:val="0"/>
              <w:spacing w:before="0" w:after="283"/>
              <w:jc w:val="both"/>
              <w:rPr/>
            </w:pPr>
            <w:r>
              <w:rPr>
                <w:b/>
                <w:i/>
              </w:rPr>
              <w:t xml:space="preserve">Unless you accept this Release by timely executing and returning it by the date specified above, you shall not be entitled to any of the payments and benefits for which you may be eligible under the Agreement or this Release. </w:t>
            </w:r>
            <w:r>
              <w:rPr/>
              <w:t>If you participate in any long-term compensation plans, please see any relevant plan and notice or grant documents (including, for the avoidance of doubt, the Fluence Energy, Inc. 2021 Incentive Award Plan (the “Plan”)) for other important provisions that may be triggered by your termination. Except as set forth in the Agreement, all awards under the Plan shall remain subject to the terms and conditions of the Plan and any applicable notice or grant documents.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 xml:space="preserve">Fluence </w:t>
        <w:br/>
        <w:t>Separation Agreement and General Release</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6.</w:t>
            </w:r>
          </w:p>
        </w:tc>
        <w:tc>
          <w:tcPr>
            <w:tcW w:w="10019" w:type="dxa"/>
            <w:tcBorders/>
            <w:vAlign w:val="center"/>
          </w:tcPr>
          <w:p>
            <w:pPr>
              <w:pStyle w:val="TableContents"/>
              <w:bidi w:val="0"/>
              <w:spacing w:before="0" w:after="283"/>
              <w:jc w:val="both"/>
              <w:rPr/>
            </w:pPr>
            <w:r>
              <w:rPr/>
              <w:t>The intent of this section is to secure your promise to release all claims and not to sue the Company, or anyone connected with it, for any harm you may claim to have suffered in connection with your employment or the termination of your employment, in return for the benefits described in this Release. Accordingly, in consideration for the payments, benefits and promises contained in this Release, including, without limitation, under the Agreement (collectively, the “Consideration”), and intending to be legally bound hereby, you hereby agree as follows: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Except as otherwise provided in this Section 6(a), you knowingly and voluntarily hereby release, to the fullest extent permitted by law, the Company and all of its past, present and/or future related entities, including but not limited to parents, divisions, affiliates and subsidiaries, and each current and former bonus, pension, welfare, or other benefit plans sponsored by any of the foregoing, and each of the respective officers, directors, members, stockholders, trustees, employees, agents, representatives, administrators, attorneys, insurers, fiduciaries, predecessors, successors and assigns of such entities and/or benefit plans, in their individual and/or representative capacities (hereinafter collectively referred to as the “Released Parties”), from any and all causes of action, suits, agreements, promises, damages, disputes, controversies, contentions, differences, judgments, claims and demands of any kind whatsoever (“Claims”) which you or your heirs, executors, administrators, successors and assigns ever had, now have or may have against the Released Parties, whether known or unknown to you, and whether asserted or unasserted, (i) by reason of your employment and/or cessation of employment with the Company, other than the Consideration in accordance with its terms, or (ii) that otherwise arose or is based on facts which occurred on or prior to the date that you sign this Release.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released Claims include, but are not limited to, any and all Claims under Title VII of the Civil Rights Act of 1964, the Civil Rights Act of 1866, the Civil Rights Act of 1991, the Fair Labor Standards Act, the Family and Medical Leave Act of 1993, the Age Discrimination in Employment Act of 1967, the Older Workers' Benefit Protection Act of 1990, the Americans With Disabilities Act, the Employee Retirement Income Security Act of 1974 (including, without limitation, any claim for severance pay), the Virginia Human Rights Act, the Virginians with Disabilities Act, the Virginia Overtime Wage Act, the Virginia Equal Pay law, the Virginia Occupational Safety and Health Act, the Virginia Payment of Wage Law, and/or the Virginia Minimum Wage Act, the California Fair Employment and Housing Act, the California Equal Pay Law, the Moore-Brown-Roberti Family Rights Act of 1991, the California Labor Code, the California WARN Act, the California False Claims Act and the California Corporate Criminal Liability Act, and any and all other federal, state or local laws, statutes, rules and regulations pertaining to employment (each as amended); any and all Claims under state contract or tort law; any and all Claims based on the design or administration of any employee benefit plan, program policy, procedure or arrangement, whether written or oral; any and all Claims for wages, commissions, bonuses, continued employment in any position, and compensatory, punitive or liquidated damages; and any and all Claims for attorneys’ fees and costs.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place or places of work with the Company has included California in granting the release herein, which includes claims which may be unknown to you at present, you acknowledge that you have read and understand Section 1542 of the California Civil Code: “</w:t>
      </w:r>
      <w:r>
        <w:rPr>
          <w:rFonts w:ascii="Times New Roman;Times;Serif" w:hAnsi="Times New Roman;Times;Serif"/>
          <w:b/>
          <w:i w:val="false"/>
          <w:caps w:val="false"/>
          <w:smallCaps w:val="false"/>
          <w:sz w:val="20"/>
        </w:rPr>
        <w:t>A general release does not extend to claims which the creditor or releasing party does not know or suspect to exist in his or her favor at the time of executing the release, and that if known by him or her would have materially affected his or her settlement with the debtor or released party.”</w:t>
      </w:r>
      <w:r>
        <w:rPr>
          <w:rFonts w:ascii="Times New Roman;Times;Serif" w:hAnsi="Times New Roman;Times;Serif"/>
          <w:b w:val="false"/>
          <w:i w:val="false"/>
          <w:caps w:val="false"/>
          <w:smallCaps w:val="false"/>
          <w:sz w:val="20"/>
        </w:rPr>
        <w:t xml:space="preserve"> You hereby expressly waive and relinquish all rights and benefits under that section and any law of any jurisdiction of similar effect with respect to your release of any unknown or unsuspected claims herein.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 xml:space="preserve">Fluence </w:t>
        <w:br/>
        <w:t>Separation Agreement and General Release</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also waive any rehire or reemployment rights and agree not to apply for future employment with the Company.</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If you commence, continue, join in, or in any other manner attempt to assert any Claim released herein against any of the Released Parties or otherwise breach the promises made in this Release, you shall reimburse the Released Parties for all attorneys’ fees incurred by the Released Parties in defending against such a Claim and the Company shall have a right to the return of all Consideration paid to you pursuant to this Release, together with interest thereon, and to cease furnishing to you any further Consideration; provided that this right of return of such Consideration and the cessation of payment of further Consideration is without prejudice to the Released Parties’ other rights hereunder, including any right to obtain an agreement and release of any and all claims against the Released Parties.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You agree that you will not bring any lawsuits or claims of any kind against the Released Parties for any of the Claims released herein and that you will not accept and hereby waive the benefits of any such lawsuits or claims of any kind brought on your behalf against the Released Parties.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Notwithstanding the foregoing, you are not releasing any of the following claims: (i) any rights or claims for indemnification you may have pursuant to any written indemnification agreement with the Company to which you are a party, the charter, bylaws, or operating agreements of the Company, or under applicable law; (ii) any rights which cannot be waived as a matter of law; (iii) claims for vested retirement benefits, if any, under any Company sponsored plan; (iv) claims for vested benefits, if any, under any long-term benefit plan in which you participate; or (v) any claims arising from the breach of this Release or the Agreement. Nothing in this Release shall interfere with or waive your right to enforce this Release in a court of competent jurisdiction or seek a judicial determination of the validity of the release of your rights under the Age Discrimination in Employment Act.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9983" w:type="dxa"/>
            <w:tcBorders/>
            <w:vAlign w:val="center"/>
          </w:tcPr>
          <w:p>
            <w:pPr>
              <w:pStyle w:val="TableContents"/>
              <w:bidi w:val="0"/>
              <w:spacing w:before="0" w:after="283"/>
              <w:jc w:val="both"/>
              <w:rPr/>
            </w:pPr>
            <w:r>
              <w:rPr/>
              <w:t>The Company is providing you with the Consideration solely to ease the impact of your separation from employment with the Company. The fact that the Company is offering Consideration to you should not be understood as nor is it intended to be an admission that any of the Released Parties has violated your rights (or the rights of anyone else) in any manner whatsoever.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7.</w:t>
            </w:r>
          </w:p>
        </w:tc>
        <w:tc>
          <w:tcPr>
            <w:tcW w:w="10002" w:type="dxa"/>
            <w:tcBorders/>
            <w:vAlign w:val="center"/>
          </w:tcPr>
          <w:p>
            <w:pPr>
              <w:pStyle w:val="TableContents"/>
              <w:bidi w:val="0"/>
              <w:spacing w:before="0" w:after="283"/>
              <w:jc w:val="both"/>
              <w:rPr/>
            </w:pPr>
            <w:r>
              <w:rPr/>
              <w:t>You further acknowledge and agree that you will not, unless required by law, disclose to anyone other than members of the Fluence Legal department or the Fluence HR department any information regarding the following: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Any information regarding the practices, procedures, trade secrets, inventions, technology, customer lists, product marketing or other confidential information of the Company or Released Parties.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The terms of this Release, except that you may disclose this information to your attorney, accountant or other professional advisor to whom you must make the disclosure in order for them to render professional services to you. You will instruct them, however, to maintain the confidentiality of this information just as you must. In addition, you will not make, or cause to be made, any statements, observations or opinions, or communicate any information (whether oral or written) (collectively “Statements”) including Statements to the press, media, Company employees, clients, customers, contractors or any other party, that disparage or are likely in any way to harm the reputation of the Company or Released Parties. The Company agrees to instruct its executive officers, as of the date hereof, not to make, or cause to be made, any Statements that disparage you or are likely in any way to harm your reputation.</w:t>
            </w:r>
          </w:p>
        </w:tc>
      </w:tr>
    </w:tbl>
    <w:p>
      <w:pPr>
        <w:pStyle w:val="TextBody"/>
        <w:bidi w:val="0"/>
        <w:spacing w:before="0" w:after="283"/>
        <w:jc w:val="left"/>
        <w:rPr/>
      </w:pPr>
      <w:r>
        <w:rPr/>
        <w:t> </w:t>
      </w:r>
    </w:p>
    <w:p>
      <w:pPr>
        <w:pStyle w:val="TextBody"/>
        <w:bidi w:val="0"/>
        <w:spacing w:before="0" w:after="0"/>
        <w:jc w:val="righ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 xml:space="preserve">Fluence </w:t>
        <w:br/>
        <w:t>Separation Agreement and General Release</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64"/>
        <w:gridCol w:w="10004"/>
      </w:tblGrid>
      <w:tr>
        <w:trPr/>
        <w:tc>
          <w:tcPr>
            <w:tcW w:w="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8.</w:t>
            </w:r>
          </w:p>
        </w:tc>
        <w:tc>
          <w:tcPr>
            <w:tcW w:w="10004" w:type="dxa"/>
            <w:tcBorders/>
            <w:vAlign w:val="center"/>
          </w:tcPr>
          <w:p>
            <w:pPr>
              <w:pStyle w:val="TableContents"/>
              <w:bidi w:val="0"/>
              <w:spacing w:before="0" w:after="283"/>
              <w:jc w:val="both"/>
              <w:rPr/>
            </w:pPr>
            <w:r>
              <w:rPr/>
              <w:t>In the event that you breach any of your obligations under this Release, the Company will be entitled to the relief provided under this Release, including, but not limited to, Section 6(b), and to obtain all other relief provided by law or equity.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9.</w:t>
            </w:r>
          </w:p>
        </w:tc>
        <w:tc>
          <w:tcPr>
            <w:tcW w:w="10021" w:type="dxa"/>
            <w:tcBorders/>
            <w:vAlign w:val="center"/>
          </w:tcPr>
          <w:p>
            <w:pPr>
              <w:pStyle w:val="TableContents"/>
              <w:bidi w:val="0"/>
              <w:spacing w:before="0" w:after="283"/>
              <w:jc w:val="both"/>
              <w:rPr/>
            </w:pPr>
            <w:r>
              <w:rPr/>
              <w:t xml:space="preserve">This Release shall be governed by California law and you hereby submit to and agree that the exclusive jurisdiction for any suit, action or proceeding involving this Release will be any federal or state court located in California. If any provision of this Release is deemed to be unenforceable, it shall not affect the enforceability of the remaining provisions of this Release. This Release, together with the Agreement, contain the entire agreement between you and the Company concerning the subject matter contained herein; </w:t>
            </w:r>
            <w:r>
              <w:rPr>
                <w:u w:val="single"/>
              </w:rPr>
              <w:t>provided</w:t>
            </w:r>
            <w:r>
              <w:rPr/>
              <w:t xml:space="preserve"> that, for the avoidance of doubt, you acknowledge and agree that you remain subject to the covenants included in Exhibit B of the Executive Severance Plan and such covenants are governed by the terms of Executive Severance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10.</w:t>
            </w:r>
          </w:p>
        </w:tc>
        <w:tc>
          <w:tcPr>
            <w:tcW w:w="9905" w:type="dxa"/>
            <w:tcBorders/>
            <w:vAlign w:val="center"/>
          </w:tcPr>
          <w:p>
            <w:pPr>
              <w:pStyle w:val="TableContents"/>
              <w:bidi w:val="0"/>
              <w:spacing w:before="0" w:after="283"/>
              <w:jc w:val="both"/>
              <w:rPr/>
            </w:pPr>
            <w:r>
              <w:rPr/>
              <w:t xml:space="preserve">Nothing contained in this Release shall be deemed to preclude you from providing truthful testimony or information pursuant to a valid court order or similar legal process; </w:t>
            </w:r>
            <w:r>
              <w:rPr>
                <w:u w:val="single"/>
              </w:rPr>
              <w:t>provided</w:t>
            </w:r>
            <w:r>
              <w:rPr/>
              <w:t xml:space="preserve">, </w:t>
            </w:r>
            <w:r>
              <w:rPr>
                <w:u w:val="single"/>
              </w:rPr>
              <w:t>however</w:t>
            </w:r>
            <w:r>
              <w:rPr/>
              <w:t>, that prior to making any such disclosure, you will promptly notify the Company of such request or requirement. In any such case, you will use your reasonable efforts to cooperate with the Company in its efforts in responding to such court order or legal process. Notwithstanding the foregoing, nothing contained in this Release shall be deemed to preclude you from, or require you to notify or obtain authorization from the Company prior to, (i) filing a charge with or cooperating with any requests or investigation by any federal, state or local government agency including without limitation the U.S. Equal Employment Opportunity Commission, the U.S. Securities and Exchange Commission, the U.S. Commodity Futures Trading Commission, the U.S. Department of Justice, or the U.S. National Labor Relations Board, provided that, you do release any right you have to receive monetary damages in connection with the proceeding; (ii) exercising any rights you may have under Section 7 of the U.S. National Labor Relations Act; (iii) reporting possible violations of federal law or regulation to any governmental agency or entity, or making other disclosures that are protected under the whistleblower provisions of federal law or regulation; or (iv) discussing or disclosing information about unlawful acts in the workplace, such as harassment or discrimination based on a protected characteristic or any other conduct that you have reason to believe is unlawful.</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also acknowledge receipt of the following notice of immunity rights under the U.S. Defend Trade Secrets Act, which states: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(2) 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 xml:space="preserve">Fluence </w:t>
        <w:br/>
        <w:t>Separation Agreement and General Release</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11.</w:t>
            </w:r>
          </w:p>
        </w:tc>
        <w:tc>
          <w:tcPr>
            <w:tcW w:w="9906" w:type="dxa"/>
            <w:tcBorders/>
            <w:vAlign w:val="center"/>
          </w:tcPr>
          <w:p>
            <w:pPr>
              <w:pStyle w:val="TableContents"/>
              <w:bidi w:val="0"/>
              <w:spacing w:before="0" w:after="283"/>
              <w:jc w:val="both"/>
              <w:rPr/>
            </w:pPr>
            <w:r>
              <w:rPr/>
              <w:t xml:space="preserve">You acknowledge and agree to provide reasonable cooperation at mutually agreeable times and places to the Released Parties in connection with the Released Parties’ prosecution or defense in any legal proceeding of any and all causes of action, suits, disputes, controversies, contentions, differences, claims and demands of any kind whatsoever concerning or related to any matter that arises out of events or occurrences during your involvement in the business and affairs of the Released Parties, except for any such Claims that you may assert. Reasonable cooperation shall include but shall not be limited to liaising with internal and external counsel of the Released Parties, participating in discovery, preparing for hearings and depositions, and attending hearings and depositions. You will be reimbursed for reasonable out of pocket expenses (including reasonable legal counsel fees) incurred in connection with such cooperation; </w:t>
            </w:r>
            <w:r>
              <w:rPr>
                <w:u w:val="single"/>
              </w:rPr>
              <w:t>provided</w:t>
            </w:r>
            <w:r>
              <w:rPr/>
              <w:t xml:space="preserve"> that legal fees shall only be reimbursed to the extent (a) determined reasonably appropriate given the interests of the parties involved in the applicable proceeding, and (b) approved in advance, in each case, by the Company in its reasonable discretion. Except as otherwise required pursuant to applicable law or court order, or as otherwise expressly permitted under this Release, and in each such case, </w:t>
            </w:r>
            <w:r>
              <w:rPr>
                <w:u w:val="single"/>
              </w:rPr>
              <w:t>provided</w:t>
            </w:r>
            <w:r>
              <w:rPr/>
              <w:t xml:space="preserve"> that you comply with the requirements of any provisions expressly permitting disclosure, you further agree to maintain in strict confidence any information or knowledge you have regarding the legal proceedings involving the Released Parties or Claims against the Released Parties. You agree to communicate with any party adverse to the Released Parties, or with a representative, agent or legal counsel for any such Claims solely through legal counsel for the Released Parties, although you may at your own expense retain your own counsel in connection with any such matter (subject to any applicable reimbursement described above).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12.</w:t>
            </w:r>
          </w:p>
        </w:tc>
        <w:tc>
          <w:tcPr>
            <w:tcW w:w="9904" w:type="dxa"/>
            <w:tcBorders/>
            <w:vAlign w:val="center"/>
          </w:tcPr>
          <w:p>
            <w:pPr>
              <w:pStyle w:val="TableContents"/>
              <w:bidi w:val="0"/>
              <w:spacing w:before="0" w:after="283"/>
              <w:jc w:val="both"/>
              <w:rPr/>
            </w:pPr>
            <w:r>
              <w:rPr/>
              <w:t xml:space="preserve">You acknowledge and agree (i) that you have not been forced or pressured in any manner whatsoever to sign this Release; (ii) that you have agreed to all of its terms voluntarily; (iii) that you have read this Release in its entirety and understand the terms of the Release; and (iv) that you received a copy of this Release on or prior to the Termination Date and have been given at least twenty-one (21) days from the receipt of this Release to consider all of its terms and to consult with counsel of your choice, which we advise you to do. Any changes to the Agreement or this Release during that period, whether material or not, will not extend the 21-day period. You may revoke your acceptance of the Release by sending written notice of your intent to revoke your acceptance, to the Company, at the following address: c/o Vincent W. Mathis, 2107 Wilson Boulevard, Suite 900, Arlington, Virginia 22201, within seven (7) days of your execution of the Release. </w:t>
            </w:r>
            <w:r>
              <w:rPr>
                <w:b/>
                <w:i/>
              </w:rPr>
              <w:t>If you revoke this Release, this Release and the promises contained herein shall automatically be deemed null and void and you will not be entitled to any severance pay or any other benefits provided under the Agreement or this Release.</w:t>
            </w:r>
            <w:r>
              <w:rPr/>
              <w:t xml:space="preserve"> If you do not revoke your acceptance, your agreement will become effective on the eighth day after the date on which it is signed.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 xml:space="preserve">Fluence </w:t>
        <w:br/>
        <w:t>Separation Agreement and General Release</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accept this Release, please date and sign this document and return it to me. An extra copy for your files is enclosed. We wish you success in your future endeavors.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Fluence Energy, Inc.</w:t>
      </w:r>
    </w:p>
    <w:p>
      <w:pPr>
        <w:pStyle w:val="TextBody"/>
        <w:bidi w:val="0"/>
        <w:spacing w:before="0" w:after="0"/>
        <w:jc w:val="left"/>
        <w:rPr>
          <w:caps w:val="false"/>
          <w:smallCaps w:val="false"/>
        </w:rPr>
      </w:pPr>
      <w:r>
        <w:rPr>
          <w:caps w:val="false"/>
          <w:smallCaps w:val="false"/>
        </w:rPr>
        <w:t> </w:t>
      </w:r>
    </w:p>
    <w:tbl>
      <w:tblPr>
        <w:tblW w:w="2145" w:type="dxa"/>
        <w:jc w:val="left"/>
        <w:tblInd w:w="0" w:type="dxa"/>
        <w:tblLayout w:type="fixed"/>
        <w:tblCellMar>
          <w:top w:w="0" w:type="dxa"/>
          <w:left w:w="0" w:type="dxa"/>
          <w:bottom w:w="0" w:type="dxa"/>
          <w:right w:w="0" w:type="dxa"/>
        </w:tblCellMar>
      </w:tblPr>
      <w:tblGrid>
        <w:gridCol w:w="335"/>
        <w:gridCol w:w="590"/>
        <w:gridCol w:w="1145"/>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3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Andrea Fisher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Andrea Fisher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CHRO</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SIGNING THIS RELEASE, I ACKNOWLEDGE (i) THAT I HAVE NOT BEEN FORCED OR PRESSURED IN ANY MANNER WHATSOEVER TO SIGN THIS RELEASE; (ii) THAT I HAVE HAD AT LEAST 21 DAYS FROM THE RECEIPT OF THIS RELEASE TO CONSIDER ALL OF THE TERMS OF THIS RELEASE WITH COUNSEL OF MY CHOICE, WHICH WE ADVISE YOU TO DO; (iii) THAT I HAVE READ THIS RELEASE IN ITS ENTIRETY AND UNDERSTAND THE TERMS OF THE RELEASE; AND (iv) THAT I VOLUNTARILY AGREE TO THEM. I FURTHER UNDERSTAND THAT I MAY REVOKE MY ACCEPTANCE OF THE RELEASE BY SENDING WRITTEN NOTICE OF MY INTENT TO REVOKE MY ACCEPTANCE TO THE COMPANY, AT THE FOLLOWING ADDRESS: c/o VINCENT W. MATHIS, 2107 WILSON BOULEVARD, SUITE 900, ARLINGTON, VIRGINIA 22201, WITHIN SEVEN (7) DAYS OF MY EXECUTION OF THIS RELEASE. IF I HAVE NOT REVOKED MY ACCEPTANCE, THIS RELEASE WILL BECOME EFFECTIVE ON THE EIGHTH DAY AFTER IT IS EXECUTED AND RETURNED TO THE COMPANY.</w:t>
      </w:r>
    </w:p>
    <w:p>
      <w:pPr>
        <w:pStyle w:val="TextBody"/>
        <w:bidi w:val="0"/>
        <w:spacing w:before="0" w:after="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335"/>
        <w:gridCol w:w="1385"/>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Pete Williams</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Williams</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Agreed to this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October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 xml:space="preserve">Fluence </w:t>
        <w:br/>
        <w:t>Separation Agreement and General Release</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4256</Words>
  <Characters>22662</Characters>
  <CharactersWithSpaces>26943</CharactersWithSpaces>
  <Paragraphs>309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