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477d1_8k.htm"/>
      <w:bookmarkStart w:id="1" w:name="kstm2625477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B_edei--DocumentType_c2026091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FLUENCE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3590"/>
        <w:gridCol w:w="60"/>
        <w:gridCol w:w="2210"/>
        <w:gridCol w:w="60"/>
        <w:gridCol w:w="2915"/>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911"/>
            <w:bookmarkEnd w:id="6"/>
            <w:r>
              <w:rPr>
                <w:rFonts w:ascii="Times New Roman;Times;Serif" w:hAnsi="Times New Roman;Times;Serif"/>
                <w:b/>
                <w:sz w:val="20"/>
              </w:rPr>
              <w:t>001-40978</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87-1304612</w:t>
            </w:r>
          </w:p>
        </w:tc>
      </w:tr>
      <w:tr>
        <w:trPr/>
        <w:tc>
          <w:tcPr>
            <w:tcW w:w="35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2107 Wilson Boulevard, </w:t>
      </w:r>
      <w:bookmarkStart w:id="9" w:name="xdx_90C_edei--EntityAddressAddressLine2_"/>
      <w:bookmarkEnd w:id="9"/>
      <w:r>
        <w:rPr>
          <w:rFonts w:ascii="Times New Roman;Times;Serif" w:hAnsi="Times New Roman;Times;Serif"/>
          <w:b/>
          <w:i w:val="false"/>
          <w:caps w:val="false"/>
          <w:smallCaps w:val="false"/>
          <w:sz w:val="20"/>
        </w:rPr>
        <w:t>Suite 900</w:t>
      </w:r>
      <w:r>
        <w:rPr>
          <w:rFonts w:ascii="Times New Roman;Times;Serif" w:hAnsi="Times New Roman;Times;Serif"/>
          <w:b w:val="false"/>
          <w:i w:val="false"/>
          <w:caps w:val="false"/>
          <w:smallCaps w:val="false"/>
          <w:sz w:val="20"/>
        </w:rPr>
        <w:t xml:space="preserve"> </w:t>
        <w:br/>
      </w:r>
      <w:bookmarkStart w:id="10" w:name="xdx_90A_edei--EntityAddressCityOrTown_c2"/>
      <w:bookmarkEnd w:id="10"/>
      <w:r>
        <w:rPr>
          <w:rFonts w:ascii="Times New Roman;Times;Serif" w:hAnsi="Times New Roman;Times;Serif"/>
          <w:b/>
          <w:i w:val="false"/>
          <w:caps w:val="false"/>
          <w:smallCaps w:val="false"/>
          <w:sz w:val="20"/>
        </w:rPr>
        <w:t xml:space="preserve">Arlington, </w:t>
      </w:r>
      <w:bookmarkStart w:id="11" w:name="xdx_900_edei--EntityAddressStateOrProvin"/>
      <w:bookmarkEnd w:id="11"/>
      <w:r>
        <w:rPr>
          <w:rFonts w:ascii="Times New Roman;Times;Serif" w:hAnsi="Times New Roman;Times;Serif"/>
          <w:b/>
          <w:i w:val="false"/>
          <w:caps w:val="false"/>
          <w:smallCaps w:val="false"/>
          <w:sz w:val="20"/>
        </w:rPr>
        <w:t>Virginia</w:t>
      </w:r>
      <w:r>
        <w:rPr>
          <w:rFonts w:ascii="Times New Roman;Times;Serif" w:hAnsi="Times New Roman;Times;Serif"/>
          <w:b w:val="false"/>
          <w:i w:val="false"/>
          <w:caps w:val="false"/>
          <w:smallCaps w:val="false"/>
          <w:sz w:val="20"/>
        </w:rPr>
        <w:t xml:space="preserve"> </w:t>
      </w:r>
      <w:bookmarkStart w:id="12" w:name="xdx_901_edei--EntityAddressPostalZipCode"/>
      <w:bookmarkEnd w:id="12"/>
      <w:r>
        <w:rPr>
          <w:rFonts w:ascii="Times New Roman;Times;Serif" w:hAnsi="Times New Roman;Times;Serif"/>
          <w:b/>
          <w:i w:val="false"/>
          <w:caps w:val="false"/>
          <w:smallCaps w:val="false"/>
          <w:sz w:val="20"/>
        </w:rPr>
        <w:t>22201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60911__20"/>
      <w:bookmarkEnd w:id="13"/>
      <w:r>
        <w:rPr>
          <w:rFonts w:ascii="Times New Roman;Times;Serif" w:hAnsi="Times New Roman;Times;Serif"/>
          <w:b/>
          <w:i w:val="false"/>
          <w:caps w:val="false"/>
          <w:smallCaps w:val="false"/>
          <w:sz w:val="20"/>
        </w:rPr>
        <w:t xml:space="preserve">833) </w:t>
      </w:r>
      <w:bookmarkStart w:id="14" w:name="xdx_906_edei--LocalPhoneNumber_c20260911"/>
      <w:bookmarkEnd w:id="14"/>
      <w:r>
        <w:rPr>
          <w:rFonts w:ascii="Times New Roman;Times;Serif" w:hAnsi="Times New Roman;Times;Serif"/>
          <w:b/>
          <w:i w:val="false"/>
          <w:caps w:val="false"/>
          <w:smallCaps w:val="false"/>
          <w:sz w:val="20"/>
        </w:rPr>
        <w:t>358-3623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E_edei--SolicitingMaterial_c202609"/>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p>
      <w:pPr>
        <w:pStyle w:val="TextBody"/>
        <w:bidi w:val="0"/>
        <w:spacing w:before="0" w:after="0"/>
        <w:jc w:val="center"/>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4565"/>
        <w:gridCol w:w="60"/>
        <w:gridCol w:w="845"/>
        <w:gridCol w:w="60"/>
        <w:gridCol w:w="2885"/>
      </w:tblGrid>
      <w:tr>
        <w:trPr/>
        <w:tc>
          <w:tcPr>
            <w:tcW w:w="4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8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456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9_edei--Security12bTitle_c20260911"/>
            <w:bookmarkEnd w:id="19"/>
            <w:r>
              <w:rPr>
                <w:rFonts w:ascii="Times New Roman;Times;Serif" w:hAnsi="Times New Roman;Times;Serif"/>
                <w:b/>
                <w:sz w:val="20"/>
              </w:rPr>
              <w:t>Class A Common Stock, $0.00001 par value per share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B_edei--TradingSymbol_c20260911__2"/>
            <w:bookmarkEnd w:id="20"/>
            <w:r>
              <w:rPr>
                <w:rFonts w:ascii="Times New Roman;Times;Serif" w:hAnsi="Times New Roman;Times;Serif"/>
                <w:b/>
                <w:sz w:val="20"/>
              </w:rPr>
              <w:t>FLNC</w:t>
            </w:r>
          </w:p>
        </w:tc>
        <w:tc>
          <w:tcPr>
            <w:tcW w:w="60" w:type="dxa"/>
            <w:tcBorders/>
            <w:tcMar>
              <w:bottom w:w="0" w:type="dxa"/>
            </w:tcMar>
            <w:vAlign w:val="center"/>
          </w:tcPr>
          <w:p>
            <w:pPr>
              <w:pStyle w:val="TableContents"/>
              <w:bidi w:val="0"/>
              <w:spacing w:before="0" w:after="283"/>
              <w:jc w:val="left"/>
              <w:rPr/>
            </w:pPr>
            <w:r>
              <w:rPr/>
              <w:t> </w:t>
            </w:r>
          </w:p>
        </w:tc>
        <w:tc>
          <w:tcPr>
            <w:tcW w:w="28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3_edei--SecurityExchangeName_c2026"/>
            <w:bookmarkEnd w:id="21"/>
            <w:r>
              <w:rPr>
                <w:rFonts w:ascii="Times New Roman;Times;Serif" w:hAnsi="Times New Roman;Times;Serif"/>
                <w:b/>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Appointment of Chief Operating Officer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On September 14, 2026, the Board of Directors (the “Board”) of Fluence Energy, Inc. (the “Company”, "we" or "our") appointed Mr. Bernerd Da Santos as Executive Vice President and Chief Operating Officer of the Company, and as the Company’s principal operating officer, to be effective as of 12:00 a.m. Eastern Time on September 15, 2026 (the “Effective Time”). Mr. Da Santos, a former member of the Board, submitted his resignation from the Board, effective as of 11:59 p.m. Eastern Time on September 14,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Prior to Mr. Da Santos’ appointment as Executive V</w:t>
      </w:r>
      <w:r>
        <w:rPr>
          <w:rFonts w:ascii="Times New Roman;Times;Serif" w:hAnsi="Times New Roman;Times;Serif"/>
          <w:b w:val="false"/>
          <w:i w:val="false"/>
          <w:caps w:val="false"/>
          <w:smallCaps w:val="false"/>
          <w:sz w:val="20"/>
        </w:rPr>
        <w:t>ice President and Chief Operating Officer of the Company, Mr. Da Santos, age 62, most recently served as Chairman of the AES Clean Energy Board and Senior Strategic Advisor to the President of The AES Corporation (“AES”) from April 2026 to September 14, 2026. Prior to his most recent role at AES, Mr. Da Santos served in the following roles at AES: Executive Vice President and President of AES’ Renewables Strategic Business Unit from June 2023 to April 2026, Executive Vice President and Chief Operating Officer from December 2017 to July 2023, Chief Operating Officer and Senior Vice President from 2014 to 2017, Chief Financial Officer, Global Finance Operations from 2012 to 2014, Chief Financial Officer of Global Utilities from 2011 to 2012, Chief Financial Officer of Latin America and Africa from 2009 to 2011, Chief Financial Officer of Latin America from 2007 to 2009, Managing Director of Finance for Latin America from 2005 to 2007, and VP and Controller of La Electricidad de Caracas (“EDC”) (Venezuela). Prior to joining AES in 2000, Mr. Da Santos held a number of financial leadership positions at EDC. Prior to his departure from AES, Mr. Da Santos also served as a member of the boards of IPALCO Enterprises, Inc., AES Andes S.A., and AES Brasil Energia S.A. Mr. Da Santos holds a bachelor’s degree with Cum Laude distinction in Business Administration and Public Administration from Universidad José Maria Vargas, a bachelor’s degree with Cum Laude distinction in Business Management and Finance from Universidad José Maria Vargas, and an MBA with Cum Laude distinction from Universidad José Maria Vargas. There are no family relationships, as defined in Item 401(d) of Regulation S-K, between Mr. Da Santos and any of the Company’s directors or executive officers, or persons nominated or chosen to become a director or an executive officer of the Company. There is no arrangement or understanding between Mr. Da Santos and any other person pursuant to which he was selected as the Company’s Executive Vice President and Chief Operating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filings with the Securities and Exchange Commission (the "SEC"), Mr. Da Santos has served as one of AES Grid Stability, LLC’s (“AES Grid Stability”) designees on the Company’s Board pursuant to AES Grid Stability’s director nomination rights under the Company’s Stockholders Agreement, dated as of October 27, 2021, by and among the Company, Fluence Energy, LLC, Siemens Industry, Inc., AES Grid Stability, and Qatar Holding LLC (as amended and modified from time to time, the “Stockholders Agreement”). AES Grid Stability is a principal stockholder of the Company and is party to a number of agreements entered into by and among the Company and its other principal shareholders and their respective affiliates which provide a framework for the Company’s relationship with these shareholders, including the Stockholders Agreement. In the ordinary course of our business, AES and its affiliates have purchased, and we expect that AES and its affiliates will continue to purchase, our products and services for energy storage projects in multiple countries. When performing our obligations pursuant to such contracts detailed above, we may, from time to time, enter into related change orders, settlements with AES or its applicable affiliates, and other related arrangements to such underlying contracts. The Company also provides consulting services to AES whereby the Company will advise and, in some cases, provide support to AES on procurement, logistics, design, safety, and commissioning of projects. For additional information regarding the Company’s transactions and arrangements with AES and its affiliates, see the section titled “Certain Relationships and Related Person Transactions” in the Company’s definitive proxy statement for its 2026 annual meeting of stockholders, filed with the SEC on January 26,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Da Santos’ appointment as Executive Vice President and Chief Operating Officer, he entered into an offer letter (the “Offer Letter”) with the Company setting forth the terms of his employment. Pursuant to the terms of the Offer Letter, Mr. Da Santos' initial annual base salary will be $650,000 and his target annual cash bonus opportunity will be 100% of his base salary, effective October 1, 2026 for fiscal year 2027. In addition, the Company is providing a sign-on cash bonus of $700,000 to Mr. Da Santos, which will be provided with his October 2026 paycheck, subject to Mr. Da Santos' continued employment with the Company through the payment date. Mr. Da Santos will be eligible for the Company’s annual long term incentive program, including an annual long term incentive award for fiscal year 2027 (expected to be granted on or about December 2026) with a minimum grant value of $1,500,000. The Company also will provide Mr. Da Santos a one-time grant of restricted stock units valued at $700,000, which will vest in full on the first anniversary of the grant date (such grant is expected to occur with the annual long term incentive award for fiscal year 2027 on or about December 2026). Upon the Effective Time, Mr. Da Santos will become a participant in the Company’s Executive Severance Plan (the “Severance Plan”), previously filed as Exhibit 10.1 to the Company’s Current Report on Form 8-K filed with the SEC on February 10, 2022. Mr. Da Santos will be eligible to participate in the Company’s broad-based health and welfare benefit plans and following receipt of his first paycheck, will be eligible to participate in the Company’s broad-based retirement plan. Mr. Da Santos will be subject to the Company’s Executive Stock Ownership Policy and expected to attain an ownership level of three times his annual salary in the Company’s Class A common stock, $0.00001 par value per share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Offer Letter does not purport to be complete and is qualified in its entirety by reference to the full text of the Offer Letter, a copy of which is filed as Exhibit 10.1 to this Current Report on Form 8-K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to serve as a director of the Company, Mr. Da Santos previously entered into the Company’s standard indemnification agreement for directors and officers (the “Fluence Form D&amp;O Indemnification Agree</w:t>
      </w:r>
      <w:r>
        <w:rPr>
          <w:rFonts w:ascii="Times New Roman;Times;Serif" w:hAnsi="Times New Roman;Times;Serif"/>
          <w:b w:val="false"/>
          <w:i w:val="false"/>
          <w:caps w:val="false"/>
          <w:smallCaps w:val="false"/>
          <w:sz w:val="20"/>
          <w:shd w:fill="FFFFFF" w:val="clear"/>
        </w:rPr>
        <w:t>ment”) in the form filed as Exhibit 10.13 to the Company’s Registration Statement on Form S-1/A (File No. 333- 259839), filed with the SEC on October 19,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New Director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On September 14, 2026, Mr. Da Santos notified the Board of his resignation from the Board, effective at 11:59 p.m. Eastern Time on September 14, 2026. His resignation did not result from any disagreement with the Company on any matter relating to the Company’s operations, policies, or practices.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AES Grid Stability, acting pursuant to its rights under the Stockholders Agreement, requested that Mr. Da Santos be succeeded by Stephen Coughlin. On September 14, 2026, the Board appointed Mr. Coughlin, Executive Vice President and Chief Financial Officer at AES, to serve as a director on the Company’s Board to fill the AES Grid Stability designee vacancy, effective at 12:00 a.m. Eastern Time on September 15, 2026. Mr. Coughlin was designated as a nominee to the Board by AES Grid Stability pursuant to its right under the Stockholders Agreement to designate for nomination up to three directors to the Board so long as the AES Related Parties (as defined in the Stockholders Agreement) beneficially own in the aggregate 20% or more of all issued and outstanding shares of the Company’s Class A common stock (including the Underlying Class A Shares (as defined in the Stockholders Agreement)). Mr. Coughlin will serve for a term expiring at the Company’s annual meeting of stockholders to be held in 2027 and until his respective successor is duly elected </w:t>
      </w:r>
      <w:r>
        <w:rPr>
          <w:rFonts w:ascii="Times New Roman;Times;Serif" w:hAnsi="Times New Roman;Times;Serif"/>
          <w:b w:val="false"/>
          <w:i w:val="false"/>
          <w:caps w:val="false"/>
          <w:smallCaps w:val="false"/>
          <w:sz w:val="20"/>
        </w:rPr>
        <w:t>and qualified or his earlier death, disqualification, resignation, or removal, subject to the terms of the Stockholders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to the Board, Mr. Coughlin has entered into the Fluence Form D&amp;O Indemnification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Termination of Named Executive Officer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the Company terminated the employment of Peter Williams, the Company’s Senior Vice President and Chief Product Officer, effective immediately.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the Company issued a press release revising its full fiscal year 2026 guidance. In addition, on September 16, 2026, the Company issued a second press release announcing the appointment of the Company’s new Executive Vice President and Chief Operating Officer. The press releases are attached as Exhibit 99.1 and 99.2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Exhibit 99.1 and Exhibit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1133"/>
        <w:gridCol w:w="60"/>
        <w:gridCol w:w="9012"/>
      </w:tblGrid>
      <w:tr>
        <w:trPr/>
        <w:tc>
          <w:tcPr>
            <w:tcW w:w="1133" w:type="dxa"/>
            <w:tcBorders>
              <w:bottom w:val="single" w:sz="8"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012"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1133" w:type="dxa"/>
            <w:tcBorders/>
            <w:tcMar>
              <w:bottom w:w="0" w:type="dxa"/>
            </w:tcMar>
            <w:vAlign w:val="center"/>
          </w:tcPr>
          <w:p>
            <w:pPr>
              <w:pStyle w:val="TableContents"/>
              <w:bidi w:val="0"/>
              <w:spacing w:before="0" w:after="283"/>
              <w:jc w:val="left"/>
              <w:rPr/>
            </w:pPr>
            <w:hyperlink w:anchor="tm2625477d1_ex10-1.htm">
              <w:r>
                <w:rPr>
                  <w:rStyle w:val="InternetLink"/>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012" w:type="dxa"/>
            <w:tcBorders/>
            <w:tcMar>
              <w:bottom w:w="0" w:type="dxa"/>
            </w:tcMar>
            <w:vAlign w:val="center"/>
          </w:tcPr>
          <w:p>
            <w:pPr>
              <w:pStyle w:val="TableContents"/>
              <w:bidi w:val="0"/>
              <w:spacing w:before="0" w:after="283"/>
              <w:jc w:val="left"/>
              <w:rPr/>
            </w:pPr>
            <w:hyperlink w:anchor="tm2625477d1_ex10-1.htm">
              <w:r>
                <w:rPr>
                  <w:rStyle w:val="InternetLink"/>
                  <w:color w:val="0000FF"/>
                  <w:sz w:val="20"/>
                </w:rPr>
                <w:t>Offer Letter, dated September 14, 2026, between Fluence Energy, Inc. and Bernerd Da Santos</w:t>
              </w:r>
            </w:hyperlink>
          </w:p>
        </w:tc>
      </w:tr>
      <w:tr>
        <w:trPr/>
        <w:tc>
          <w:tcPr>
            <w:tcW w:w="1133" w:type="dxa"/>
            <w:tcBorders/>
            <w:tcMar>
              <w:bottom w:w="0" w:type="dxa"/>
            </w:tcMar>
            <w:vAlign w:val="center"/>
          </w:tcPr>
          <w:p>
            <w:pPr>
              <w:pStyle w:val="TableContents"/>
              <w:bidi w:val="0"/>
              <w:spacing w:before="0" w:after="283"/>
              <w:jc w:val="left"/>
              <w:rPr/>
            </w:pPr>
            <w:hyperlink w:anchor="tm2625477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012" w:type="dxa"/>
            <w:tcBorders/>
            <w:tcMar>
              <w:bottom w:w="0" w:type="dxa"/>
            </w:tcMar>
            <w:vAlign w:val="center"/>
          </w:tcPr>
          <w:p>
            <w:pPr>
              <w:pStyle w:val="TableContents"/>
              <w:bidi w:val="0"/>
              <w:spacing w:before="0" w:after="283"/>
              <w:jc w:val="left"/>
              <w:rPr/>
            </w:pPr>
            <w:hyperlink w:anchor="tm2625477d1_ex99-1.htm">
              <w:r>
                <w:rPr>
                  <w:rStyle w:val="InternetLink"/>
                  <w:sz w:val="20"/>
                </w:rPr>
                <w:t>Press Release of Fluence Energy, Inc., dated September 16, 2026, revising fiscal year 2026 guidance</w:t>
              </w:r>
            </w:hyperlink>
          </w:p>
        </w:tc>
      </w:tr>
      <w:tr>
        <w:trPr/>
        <w:tc>
          <w:tcPr>
            <w:tcW w:w="1133" w:type="dxa"/>
            <w:tcBorders/>
            <w:tcMar>
              <w:bottom w:w="0" w:type="dxa"/>
            </w:tcMar>
            <w:vAlign w:val="center"/>
          </w:tcPr>
          <w:p>
            <w:pPr>
              <w:pStyle w:val="TableContents"/>
              <w:bidi w:val="0"/>
              <w:spacing w:before="0" w:after="283"/>
              <w:jc w:val="left"/>
              <w:rPr/>
            </w:pPr>
            <w:hyperlink w:anchor="tm2625477d1_ex99-2.htm">
              <w:r>
                <w:rPr>
                  <w:rStyle w:val="InternetLink"/>
                </w:rPr>
                <w:t>99.2</w:t>
              </w:r>
            </w:hyperlink>
          </w:p>
        </w:tc>
        <w:tc>
          <w:tcPr>
            <w:tcW w:w="60" w:type="dxa"/>
            <w:tcBorders/>
            <w:tcMar>
              <w:bottom w:w="0" w:type="dxa"/>
            </w:tcMar>
            <w:vAlign w:val="center"/>
          </w:tcPr>
          <w:p>
            <w:pPr>
              <w:pStyle w:val="TableContents"/>
              <w:bidi w:val="0"/>
              <w:spacing w:before="0" w:after="283"/>
              <w:jc w:val="left"/>
              <w:rPr/>
            </w:pPr>
            <w:r>
              <w:rPr/>
              <w:t> </w:t>
            </w:r>
          </w:p>
        </w:tc>
        <w:tc>
          <w:tcPr>
            <w:tcW w:w="9012" w:type="dxa"/>
            <w:tcBorders/>
            <w:tcMar>
              <w:bottom w:w="0" w:type="dxa"/>
            </w:tcMar>
            <w:vAlign w:val="center"/>
          </w:tcPr>
          <w:p>
            <w:pPr>
              <w:pStyle w:val="TableContents"/>
              <w:bidi w:val="0"/>
              <w:spacing w:before="0" w:after="283"/>
              <w:jc w:val="left"/>
              <w:rPr/>
            </w:pPr>
            <w:hyperlink w:anchor="tm2625477d1_ex99-2.htm">
              <w:r>
                <w:rPr>
                  <w:rStyle w:val="InternetLink"/>
                </w:rPr>
                <w:t>Press Release of Fluence Energy, Inc., dated September 16, 2026, announcing appointment of Executive Vice President and Chief Operating Officer</w:t>
              </w:r>
            </w:hyperlink>
          </w:p>
        </w:tc>
      </w:tr>
      <w:tr>
        <w:trPr/>
        <w:tc>
          <w:tcPr>
            <w:tcW w:w="1133"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012"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0"/>
        <w:jc w:val="center"/>
        <w:rPr>
          <w:caps w:val="false"/>
          <w:smallCaps w:val="false"/>
        </w:rPr>
      </w:pPr>
      <w:r>
        <w:rPr>
          <w:caps w:val="false"/>
          <w:smallCaps w:val="false"/>
        </w:rPr>
        <w:t> </w:t>
      </w:r>
    </w:p>
    <w:p>
      <w:pPr>
        <w:pStyle w:val="TextBody"/>
        <w:bidi w:val="0"/>
        <w:spacing w:before="0" w:after="0"/>
        <w:ind w:left="0" w:right="0" w:firstLine="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2180"/>
        <w:gridCol w:w="320"/>
        <w:gridCol w:w="4025"/>
      </w:tblGrid>
      <w:tr>
        <w:trPr/>
        <w:tc>
          <w:tcPr>
            <w:tcW w:w="218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sz w:val="20"/>
              </w:rPr>
            </w:pPr>
            <w:r>
              <w:rPr>
                <w:b/>
                <w:sz w:val="20"/>
              </w:rPr>
              <w:t>FLUENCE ENERGY, INC.</w:t>
            </w:r>
          </w:p>
        </w:tc>
      </w:tr>
      <w:tr>
        <w:trPr/>
        <w:tc>
          <w:tcPr>
            <w:tcW w:w="218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sz w:val="20"/>
              </w:rPr>
            </w:pPr>
            <w:r>
              <w:rPr>
                <w:sz w:val="20"/>
              </w:rPr>
              <w:t xml:space="preserve">Date: September 16, 2026 </w:t>
            </w:r>
          </w:p>
        </w:tc>
        <w:tc>
          <w:tcPr>
            <w:tcW w:w="320" w:type="dxa"/>
            <w:tcBorders/>
            <w:vAlign w:val="center"/>
          </w:tcPr>
          <w:p>
            <w:pPr>
              <w:pStyle w:val="TableContents"/>
              <w:bidi w:val="0"/>
              <w:spacing w:before="0" w:after="283"/>
              <w:jc w:val="left"/>
              <w:rPr>
                <w:sz w:val="20"/>
              </w:rPr>
            </w:pPr>
            <w:r>
              <w:rPr>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Ahmed Pasha</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Ahmed Pasha</w:t>
            </w:r>
          </w:p>
        </w:tc>
      </w:tr>
      <w:tr>
        <w:trPr/>
        <w:tc>
          <w:tcPr>
            <w:tcW w:w="21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Senior Vice President and 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625477d1_ex10-1.htm"/>
      <w:bookmarkStart w:id="24" w:name="kstm2625477d1_ex101"/>
      <w:bookmarkEnd w:id="23"/>
      <w:bookmarkEnd w:id="24"/>
      <w:r>
        <w:rPr>
          <w:rFonts w:ascii="Times New Roman;Times;Serif" w:hAnsi="Times New Roman;Times;Serif"/>
          <w:b/>
          <w:i w:val="false"/>
          <w:caps w:val="false"/>
          <w:smallCaps w:val="false"/>
          <w:sz w:val="20"/>
        </w:rPr>
        <w:t xml:space="preserve">Exhibit 10.1 </w:t>
      </w:r>
      <w:r>
        <w:br w:type="page"/>
      </w:r>
    </w:p>
    <w:p>
      <w:pPr>
        <w:pStyle w:val="TextBody"/>
        <w:bidi w:val="0"/>
        <w:spacing w:before="0" w:after="0"/>
        <w:ind w:left="0" w:right="0" w:hanging="0"/>
        <w:jc w:val="right"/>
        <w:rPr>
          <w:caps w:val="false"/>
          <w:smallCaps w:val="false"/>
        </w:rPr>
      </w:pPr>
      <w:r>
        <w:rPr>
          <w:caps w:val="false"/>
          <w:smallCaps w:val="false"/>
        </w:rPr>
        <w:t> </w:t>
      </w:r>
    </w:p>
    <w:tbl>
      <w:tblPr>
        <w:tblW w:w="4553" w:type="dxa"/>
        <w:jc w:val="left"/>
        <w:tblInd w:w="0" w:type="dxa"/>
        <w:tblLayout w:type="fixed"/>
        <w:tblCellMar>
          <w:top w:w="0" w:type="dxa"/>
          <w:left w:w="0" w:type="dxa"/>
          <w:bottom w:w="0" w:type="dxa"/>
          <w:right w:w="0" w:type="dxa"/>
        </w:tblCellMar>
      </w:tblPr>
      <w:tblGrid>
        <w:gridCol w:w="4553"/>
      </w:tblGrid>
      <w:tr>
        <w:trPr/>
        <w:tc>
          <w:tcPr>
            <w:tcW w:w="4553" w:type="dxa"/>
            <w:tcBorders/>
            <w:vAlign w:val="center"/>
          </w:tcPr>
          <w:p>
            <w:pPr>
              <w:pStyle w:val="TableContents"/>
              <w:bidi w:val="0"/>
              <w:spacing w:before="0" w:after="0"/>
              <w:ind w:left="18" w:right="18" w:hanging="0"/>
              <w:jc w:val="right"/>
              <w:rPr>
                <w:rFonts w:ascii="Times New Roman;Times;Serif" w:hAnsi="Times New Roman;Times;Serif"/>
                <w:b w:val="false"/>
                <w:i w:val="false"/>
                <w:caps w:val="false"/>
                <w:smallCaps w:val="false"/>
                <w:color w:val="5D6267"/>
                <w:sz w:val="20"/>
              </w:rPr>
            </w:pPr>
            <w:r>
              <w:rPr>
                <w:rFonts w:ascii="Times New Roman;Times;Serif" w:hAnsi="Times New Roman;Times;Serif"/>
                <w:b w:val="false"/>
                <w:i w:val="false"/>
                <w:caps w:val="false"/>
                <w:smallCaps w:val="false"/>
                <w:color w:val="5D6267"/>
                <w:sz w:val="20"/>
              </w:rPr>
              <w:t>4601 Fairfax Drive N., Suite 600 | Arlington, VA 22203</w:t>
            </w:r>
          </w:p>
          <w:p>
            <w:pPr>
              <w:pStyle w:val="TableContents"/>
              <w:bidi w:val="0"/>
              <w:spacing w:before="0" w:after="0"/>
              <w:ind w:left="120" w:right="18" w:hanging="0"/>
              <w:jc w:val="right"/>
              <w:rPr>
                <w:rFonts w:ascii="Times New Roman;Times;Serif" w:hAnsi="Times New Roman;Times;Serif"/>
                <w:b w:val="false"/>
                <w:i w:val="false"/>
                <w:caps w:val="false"/>
                <w:smallCaps w:val="false"/>
                <w:color w:val="5D6267"/>
                <w:sz w:val="20"/>
              </w:rPr>
            </w:pPr>
            <w:r>
              <w:rPr>
                <w:rFonts w:ascii="Times New Roman;Times;Serif" w:hAnsi="Times New Roman;Times;Serif"/>
                <w:b w:val="false"/>
                <w:i w:val="false"/>
                <w:caps w:val="false"/>
                <w:smallCaps w:val="false"/>
                <w:color w:val="5D6267"/>
                <w:sz w:val="20"/>
              </w:rPr>
              <w:t>+1 833 358 3623</w:t>
            </w:r>
          </w:p>
          <w:p>
            <w:pPr>
              <w:pStyle w:val="TableContents"/>
              <w:bidi w:val="0"/>
              <w:spacing w:before="0" w:after="0"/>
              <w:ind w:left="120" w:right="19" w:hanging="0"/>
              <w:jc w:val="right"/>
              <w:rPr>
                <w:rFonts w:ascii="Times New Roman;Times;Serif" w:hAnsi="Times New Roman;Times;Serif"/>
                <w:b w:val="false"/>
                <w:i w:val="false"/>
                <w:caps w:val="false"/>
                <w:smallCaps w:val="false"/>
                <w:color w:val="00AFB8"/>
                <w:sz w:val="20"/>
              </w:rPr>
            </w:pPr>
            <w:r>
              <w:rPr>
                <w:rFonts w:ascii="Times New Roman;Times;Serif" w:hAnsi="Times New Roman;Times;Serif"/>
                <w:b w:val="false"/>
                <w:i w:val="false"/>
                <w:caps w:val="false"/>
                <w:smallCaps w:val="false"/>
                <w:color w:val="00AFB8"/>
                <w:sz w:val="20"/>
              </w:rPr>
              <w:t>fluenceenergy.com</w:t>
            </w:r>
          </w:p>
          <w:p>
            <w:pPr>
              <w:pStyle w:val="TableContents"/>
              <w:bidi w:val="0"/>
              <w:spacing w:before="0" w:after="0"/>
              <w:ind w:left="120" w:right="19" w:hanging="0"/>
              <w:jc w:val="right"/>
              <w:rPr>
                <w:caps w:val="false"/>
                <w:smallCaps w:val="false"/>
                <w:color w:val="00AFB8"/>
              </w:rPr>
            </w:pPr>
            <w:r>
              <w:rPr>
                <w:caps w:val="false"/>
                <w:smallCaps w:val="false"/>
                <w:color w:val="00AFB8"/>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9/14/2026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633" w:right="763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Bernerd Da Santos</w:t>
      </w:r>
    </w:p>
    <w:p>
      <w:pPr>
        <w:pStyle w:val="TextBody"/>
        <w:bidi w:val="0"/>
        <w:spacing w:before="0" w:after="0"/>
        <w:ind w:left="7633" w:right="7633" w:hanging="0"/>
        <w:jc w:val="left"/>
        <w:rPr>
          <w:caps w:val="false"/>
          <w:smallCaps w:val="false"/>
        </w:rPr>
      </w:pPr>
      <w:r>
        <w:rPr>
          <w:caps w:val="false"/>
          <w:smallCaps w:val="false"/>
        </w:rPr>
        <w:t> </w:t>
      </w:r>
    </w:p>
    <w:p>
      <w:pPr>
        <w:pStyle w:val="TextBody"/>
        <w:bidi w:val="0"/>
        <w:spacing w:before="0" w:after="0"/>
        <w:ind w:left="7633" w:right="763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Bernerd,</w:t>
      </w:r>
    </w:p>
    <w:p>
      <w:pPr>
        <w:pStyle w:val="TextBody"/>
        <w:bidi w:val="0"/>
        <w:spacing w:before="0" w:after="0"/>
        <w:ind w:left="7633" w:right="7633"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delighted to confirm an offer from Fluence Energy, Inc. (“Fluence”) as the Executive Vice President and Chief Operating Officer reporting to Julian Nebreda, Chief Executive Officer. The effective date is September 15, 2026. For this position, you will be assigned to the Arlington, Virginia office. Fluence requires certification of your eligibility to work in the United States and will require documents evidencing such eligibility from you. In this position you will participate in, or be eligible for, the compensation and benefits outlined below in accordance with the job being evaluated as a member of the Executive Leadership Team. All details within this letter are dependent on approval by the Fluence Compensation and Human Resources Committee and the Fluence Board of Directors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AND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Base Salary: </w:t>
      </w:r>
      <w:r>
        <w:rPr>
          <w:rFonts w:ascii="Times New Roman;Times;Serif" w:hAnsi="Times New Roman;Times;Serif"/>
          <w:b w:val="false"/>
          <w:i w:val="false"/>
          <w:caps w:val="false"/>
          <w:smallCaps w:val="false"/>
          <w:sz w:val="20"/>
        </w:rPr>
        <w:t xml:space="preserve">Your annual base salary will be </w:t>
      </w:r>
      <w:r>
        <w:rPr>
          <w:rFonts w:ascii="Times New Roman;Times;Serif" w:hAnsi="Times New Roman;Times;Serif"/>
          <w:b/>
          <w:i w:val="false"/>
          <w:caps w:val="false"/>
          <w:smallCaps w:val="false"/>
          <w:sz w:val="20"/>
        </w:rPr>
        <w:t xml:space="preserve">$650,000 </w:t>
      </w:r>
      <w:r>
        <w:rPr>
          <w:rFonts w:ascii="Times New Roman;Times;Serif" w:hAnsi="Times New Roman;Times;Serif"/>
          <w:b w:val="false"/>
          <w:i w:val="false"/>
          <w:caps w:val="false"/>
          <w:smallCaps w:val="false"/>
          <w:sz w:val="20"/>
        </w:rPr>
        <w:t>paid in one-twelfth monthly increments. Your annual base salary will be reviewed annually thereafter in accordance with Fluence policy and practice, subject to approval by the Board or the Compensation and Human Resources Committee (next scheduled review is October 2027 with an effective increase date of January 2028).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 Incentive Plan:</w:t>
      </w:r>
      <w:r>
        <w:rPr>
          <w:rFonts w:ascii="Times New Roman;Times;Serif" w:hAnsi="Times New Roman;Times;Serif"/>
          <w:b w:val="false"/>
          <w:i w:val="false"/>
          <w:caps w:val="false"/>
          <w:smallCaps w:val="false"/>
          <w:sz w:val="20"/>
        </w:rPr>
        <w:t xml:space="preserve"> You are eligible to participate in the Fluence Annual Incentive Plan (“AIP”) effective the later of October 1, 2026, or your first day of employment with Fluence, with a target incentive of </w:t>
      </w:r>
      <w:r>
        <w:rPr>
          <w:rFonts w:ascii="Times New Roman;Times;Serif" w:hAnsi="Times New Roman;Times;Serif"/>
          <w:b/>
          <w:i w:val="false"/>
          <w:caps w:val="false"/>
          <w:smallCaps w:val="false"/>
          <w:sz w:val="20"/>
        </w:rPr>
        <w:t xml:space="preserve">100% </w:t>
      </w:r>
      <w:r>
        <w:rPr>
          <w:rFonts w:ascii="Times New Roman;Times;Serif" w:hAnsi="Times New Roman;Times;Serif"/>
          <w:b w:val="false"/>
          <w:i w:val="false"/>
          <w:caps w:val="false"/>
          <w:smallCaps w:val="false"/>
          <w:sz w:val="20"/>
        </w:rPr>
        <w:t>of your annual base salary as defined in the AIP plan. The AIP award is based upon company performance measured against established objectives for the fiscal measurement year. The AIP award is typically paid in the first business quarter following the end of each fiscal year. Your potential receipt of this AIP award is subject to approval by the Board or the Compensation and Human Resources Committee. The plan administrator reserves the right to make determinations regarding the plan at any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Benefits:</w:t>
      </w:r>
      <w:r>
        <w:rPr>
          <w:rFonts w:ascii="Times New Roman;Times;Serif" w:hAnsi="Times New Roman;Times;Serif"/>
          <w:b w:val="false"/>
          <w:i w:val="false"/>
          <w:caps w:val="false"/>
          <w:smallCaps w:val="false"/>
          <w:sz w:val="20"/>
        </w:rPr>
        <w:t xml:space="preserve"> You are eligible to participate in Fluence’s Health and Welfare Benefits Programs and Fluence’s short-term and long-term disability, accidental death and dismemberment, and life insurance plans, beginning on your first day of employment with Fluence.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Retirement:</w:t>
      </w:r>
      <w:r>
        <w:rPr>
          <w:rFonts w:ascii="Times New Roman;Times;Serif" w:hAnsi="Times New Roman;Times;Serif"/>
          <w:b w:val="false"/>
          <w:i w:val="false"/>
          <w:caps w:val="false"/>
          <w:smallCaps w:val="false"/>
          <w:sz w:val="20"/>
        </w:rPr>
        <w:t xml:space="preserve"> You will be eligible to participate in The Fluence Energy Savings Plan, which is a 401(k) plan, after you receive your first paycheck. You may contribute up to 50% of your gross salary to your account in accordance with the terms and conditions of the retirement plan and you will receive a company matching contribution of 100% of your contributions up to 5% of your gross salary.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Long-term Incentive Award: </w:t>
      </w:r>
      <w:r>
        <w:rPr>
          <w:rFonts w:ascii="Times New Roman;Times;Serif" w:hAnsi="Times New Roman;Times;Serif"/>
          <w:b w:val="false"/>
          <w:i w:val="false"/>
          <w:caps w:val="false"/>
          <w:smallCaps w:val="false"/>
          <w:sz w:val="20"/>
        </w:rPr>
        <w:t xml:space="preserve">We also want you to share in Fluence Energy’s vision and its future. The Compensation and Human Resources Committee reviews eligibility for the long-term incentive (LTI) program annually, generally in the first quarter of the fiscal year. Awards under the LTI program may be delivered in the form of stock and/or cash and may be subject to time-based or performance-based vesting conditions (or a combination of both). Based on your role, you will be eligible to participate in the annual LTI </w:t>
      </w:r>
      <w:r>
        <w:rPr>
          <w:rFonts w:ascii="Times New Roman;Times;Serif" w:hAnsi="Times New Roman;Times;Serif"/>
          <w:b w:val="false"/>
          <w:i w:val="false"/>
          <w:caps w:val="false"/>
          <w:smallCaps w:val="false"/>
          <w:color w:val="1A1A1A"/>
          <w:sz w:val="20"/>
        </w:rPr>
        <w:t xml:space="preserve">program. Your initial LTI award, which is guaranteed, comprised of 60% Performance Stock Units and 40% Restricted Stock Units will be granted by the Company at the same time all other executives receive their annual grant, which is currently expected in December 2026 for FY2027, in the minimum grant value of </w:t>
      </w:r>
      <w:r>
        <w:rPr>
          <w:rFonts w:ascii="Times New Roman;Times;Serif" w:hAnsi="Times New Roman;Times;Serif"/>
          <w:b/>
          <w:i w:val="false"/>
          <w:caps w:val="false"/>
          <w:smallCaps w:val="false"/>
          <w:color w:val="1A1A1A"/>
          <w:sz w:val="20"/>
        </w:rPr>
        <w:t>$1,500,000</w:t>
      </w:r>
      <w:r>
        <w:rPr>
          <w:rFonts w:ascii="Times New Roman;Times;Serif" w:hAnsi="Times New Roman;Times;Serif"/>
          <w:b w:val="false"/>
          <w:i w:val="false"/>
          <w:caps w:val="false"/>
          <w:smallCaps w:val="false"/>
          <w:color w:val="1A1A1A"/>
          <w:sz w:val="20"/>
        </w:rPr>
        <w:t>. For subsequent annual LTI awards</w:t>
      </w:r>
      <w:r>
        <w:rPr>
          <w:rFonts w:ascii="Times New Roman;Times;Serif" w:hAnsi="Times New Roman;Times;Serif"/>
          <w:b w:val="false"/>
          <w:i w:val="false"/>
          <w:caps w:val="false"/>
          <w:smallCaps w:val="false"/>
          <w:sz w:val="20"/>
        </w:rPr>
        <w:t xml:space="preserve"> thereafter, the value of the award that you will be eligible to receive will be determined based on a combination of information such as market data, your individual performance, and internal compensation alignment among other similarly graded positions. Subsequent annual a</w:t>
      </w:r>
      <w:r>
        <w:rPr>
          <w:rFonts w:ascii="Times New Roman;Times;Serif" w:hAnsi="Times New Roman;Times;Serif"/>
          <w:b w:val="false"/>
          <w:i w:val="false"/>
          <w:caps w:val="false"/>
          <w:smallCaps w:val="false"/>
          <w:color w:val="1A1A1A"/>
          <w:sz w:val="20"/>
        </w:rPr>
        <w:t xml:space="preserve">wards made under the LTI program will be subject to the terms and conditions of the plan document and an award agreement. The plan </w:t>
      </w:r>
      <w:r>
        <w:rPr>
          <w:rFonts w:ascii="Times New Roman;Times;Serif" w:hAnsi="Times New Roman;Times;Serif"/>
          <w:b w:val="false"/>
          <w:i w:val="false"/>
          <w:caps w:val="false"/>
          <w:smallCaps w:val="false"/>
          <w:sz w:val="20"/>
        </w:rPr>
        <w:t>administrator reserves the right to make determinations regarding this plan at any time. Further details will be provided to you in the coming weeks.</w:t>
      </w:r>
    </w:p>
    <w:p>
      <w:pPr>
        <w:pStyle w:val="TextBody"/>
        <w:bidi w:val="0"/>
        <w:spacing w:before="0" w:after="0"/>
        <w:ind w:left="355" w:right="355" w:hanging="0"/>
        <w:jc w:val="both"/>
        <w:rPr>
          <w:caps w:val="false"/>
          <w:smallCaps w:val="false"/>
        </w:rPr>
      </w:pPr>
      <w:r>
        <w:rPr>
          <w:caps w:val="false"/>
          <w:smallCaps w:val="false"/>
        </w:rPr>
        <w:t> </w:t>
      </w:r>
    </w:p>
    <w:p>
      <w:pPr>
        <w:pStyle w:val="TextBody"/>
        <w:bidi w:val="0"/>
        <w:spacing w:before="0" w:after="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tbl>
      <w:tblPr>
        <w:tblW w:w="4298" w:type="dxa"/>
        <w:jc w:val="left"/>
        <w:tblInd w:w="0" w:type="dxa"/>
        <w:tblLayout w:type="fixed"/>
        <w:tblCellMar>
          <w:top w:w="0" w:type="dxa"/>
          <w:left w:w="0" w:type="dxa"/>
          <w:bottom w:w="0" w:type="dxa"/>
          <w:right w:w="0" w:type="dxa"/>
        </w:tblCellMar>
      </w:tblPr>
      <w:tblGrid>
        <w:gridCol w:w="4298"/>
      </w:tblGrid>
      <w:tr>
        <w:trPr/>
        <w:tc>
          <w:tcPr>
            <w:tcW w:w="4298" w:type="dxa"/>
            <w:tcBorders/>
            <w:vAlign w:val="center"/>
          </w:tcPr>
          <w:p>
            <w:pPr>
              <w:pStyle w:val="TableContents"/>
              <w:bidi w:val="0"/>
              <w:spacing w:before="0" w:after="0"/>
              <w:ind w:left="18" w:right="18" w:hanging="0"/>
              <w:jc w:val="right"/>
              <w:rPr>
                <w:rFonts w:ascii="Times New Roman;Times;Serif" w:hAnsi="Times New Roman;Times;Serif"/>
                <w:b w:val="false"/>
                <w:i w:val="false"/>
                <w:caps w:val="false"/>
                <w:smallCaps w:val="false"/>
                <w:color w:val="5D6267"/>
                <w:sz w:val="20"/>
              </w:rPr>
            </w:pPr>
            <w:r>
              <w:rPr>
                <w:rFonts w:ascii="Times New Roman;Times;Serif" w:hAnsi="Times New Roman;Times;Serif"/>
                <w:b w:val="false"/>
                <w:i w:val="false"/>
                <w:caps w:val="false"/>
                <w:smallCaps w:val="false"/>
                <w:color w:val="5D6267"/>
                <w:sz w:val="20"/>
              </w:rPr>
              <w:t>2107 Wilson Blvd, Suite 900 | Arlington, VA 22201</w:t>
            </w:r>
          </w:p>
          <w:p>
            <w:pPr>
              <w:pStyle w:val="TableContents"/>
              <w:bidi w:val="0"/>
              <w:spacing w:before="0" w:after="0"/>
              <w:ind w:left="18" w:right="18" w:hanging="0"/>
              <w:jc w:val="right"/>
              <w:rPr>
                <w:rFonts w:ascii="Times New Roman;Times;Serif" w:hAnsi="Times New Roman;Times;Serif"/>
                <w:b w:val="false"/>
                <w:i w:val="false"/>
                <w:caps w:val="false"/>
                <w:smallCaps w:val="false"/>
                <w:color w:val="5D6267"/>
                <w:sz w:val="20"/>
              </w:rPr>
            </w:pPr>
            <w:r>
              <w:rPr>
                <w:rFonts w:ascii="Times New Roman;Times;Serif" w:hAnsi="Times New Roman;Times;Serif"/>
                <w:b w:val="false"/>
                <w:i w:val="false"/>
                <w:caps w:val="false"/>
                <w:smallCaps w:val="false"/>
                <w:color w:val="5D6267"/>
                <w:sz w:val="20"/>
              </w:rPr>
              <w:t>+1 833 358 3623</w:t>
            </w:r>
          </w:p>
          <w:p>
            <w:pPr>
              <w:pStyle w:val="TableContents"/>
              <w:bidi w:val="0"/>
              <w:spacing w:before="0" w:after="0"/>
              <w:ind w:left="19" w:right="19" w:hanging="0"/>
              <w:jc w:val="right"/>
              <w:rPr>
                <w:rFonts w:ascii="Times New Roman;Times;Serif" w:hAnsi="Times New Roman;Times;Serif"/>
                <w:b w:val="false"/>
                <w:i w:val="false"/>
                <w:caps w:val="false"/>
                <w:smallCaps w:val="false"/>
                <w:color w:val="00AFB8"/>
                <w:sz w:val="20"/>
              </w:rPr>
            </w:pPr>
            <w:r>
              <w:rPr>
                <w:rFonts w:ascii="Times New Roman;Times;Serif" w:hAnsi="Times New Roman;Times;Serif"/>
                <w:b w:val="false"/>
                <w:i w:val="false"/>
                <w:caps w:val="false"/>
                <w:smallCaps w:val="false"/>
                <w:color w:val="00AFB8"/>
                <w:sz w:val="20"/>
              </w:rPr>
              <w:t>fluenceenergy.com</w:t>
            </w:r>
          </w:p>
          <w:p>
            <w:pPr>
              <w:pStyle w:val="TableContents"/>
              <w:bidi w:val="0"/>
              <w:spacing w:before="0" w:after="0"/>
              <w:ind w:left="19" w:right="19" w:hanging="0"/>
              <w:jc w:val="right"/>
              <w:rPr>
                <w:caps w:val="false"/>
                <w:smallCaps w:val="false"/>
                <w:color w:val="00AFB8"/>
              </w:rPr>
            </w:pPr>
            <w:r>
              <w:rPr>
                <w:caps w:val="false"/>
                <w:smallCaps w:val="false"/>
                <w:color w:val="00AFB8"/>
              </w:rPr>
              <w:t> </w:t>
            </w:r>
          </w:p>
        </w:tc>
      </w:tr>
    </w:tbl>
    <w:p>
      <w:pPr>
        <w:pStyle w:val="TextBody"/>
        <w:bidi w:val="0"/>
        <w:spacing w:before="0" w:after="0"/>
        <w:ind w:left="359" w:right="359"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Sign-on Special Cash Bonus:</w:t>
      </w:r>
      <w:r>
        <w:rPr>
          <w:rFonts w:ascii="Times New Roman;Times;Serif" w:hAnsi="Times New Roman;Times;Serif"/>
          <w:b w:val="false"/>
          <w:i w:val="false"/>
          <w:caps w:val="false"/>
          <w:smallCaps w:val="false"/>
          <w:sz w:val="20"/>
        </w:rPr>
        <w:t xml:space="preserve"> You will receive a one-time cash payment of </w:t>
      </w:r>
      <w:r>
        <w:rPr>
          <w:rFonts w:ascii="Times New Roman;Times;Serif" w:hAnsi="Times New Roman;Times;Serif"/>
          <w:b/>
          <w:i w:val="false"/>
          <w:caps w:val="false"/>
          <w:smallCaps w:val="false"/>
          <w:sz w:val="20"/>
        </w:rPr>
        <w:t>$700,000</w:t>
      </w:r>
      <w:r>
        <w:rPr>
          <w:rFonts w:ascii="Times New Roman;Times;Serif" w:hAnsi="Times New Roman;Times;Serif"/>
          <w:b w:val="false"/>
          <w:i w:val="false"/>
          <w:caps w:val="false"/>
          <w:smallCaps w:val="false"/>
          <w:sz w:val="20"/>
        </w:rPr>
        <w:t>, subject to standard taxes and deduction</w:t>
      </w:r>
      <w:r>
        <w:rPr>
          <w:rFonts w:ascii="Times New Roman;Times;Serif" w:hAnsi="Times New Roman;Times;Serif"/>
          <w:b w:val="false"/>
          <w:i w:val="false"/>
          <w:caps w:val="false"/>
          <w:smallCaps w:val="false"/>
          <w:color w:val="1A1A1A"/>
          <w:sz w:val="20"/>
        </w:rPr>
        <w:t>s. This payment is not subject to clawback once paid, and will be provided on your October 2026 paycheck, provided you remain employed with Fluence on the respective payment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1A1A1A"/>
          <w:sz w:val="20"/>
        </w:rPr>
      </w:pPr>
      <w:r>
        <w:rPr>
          <w:rFonts w:ascii="Times New Roman;Times;Serif" w:hAnsi="Times New Roman;Times;Serif"/>
          <w:b/>
          <w:i w:val="false"/>
          <w:caps w:val="false"/>
          <w:smallCaps w:val="false"/>
          <w:color w:val="1A1A1A"/>
          <w:sz w:val="20"/>
        </w:rPr>
        <w:t xml:space="preserve">Sign-on Long-Term Incentive Award: </w:t>
      </w:r>
      <w:r>
        <w:rPr>
          <w:rFonts w:ascii="Times New Roman;Times;Serif" w:hAnsi="Times New Roman;Times;Serif"/>
          <w:b w:val="false"/>
          <w:i w:val="false"/>
          <w:caps w:val="false"/>
          <w:smallCaps w:val="false"/>
          <w:color w:val="1A1A1A"/>
          <w:sz w:val="20"/>
        </w:rPr>
        <w:t xml:space="preserve">In addition to your initial LTI award, you will receive an additional one-time grant of </w:t>
      </w:r>
      <w:r>
        <w:rPr>
          <w:rFonts w:ascii="Times New Roman;Times;Serif" w:hAnsi="Times New Roman;Times;Serif"/>
          <w:b/>
          <w:i w:val="false"/>
          <w:caps w:val="false"/>
          <w:smallCaps w:val="false"/>
          <w:color w:val="1A1A1A"/>
          <w:sz w:val="20"/>
        </w:rPr>
        <w:t>$700,000.</w:t>
      </w:r>
      <w:r>
        <w:rPr>
          <w:rFonts w:ascii="Times New Roman;Times;Serif" w:hAnsi="Times New Roman;Times;Serif"/>
          <w:b w:val="false"/>
          <w:i w:val="false"/>
          <w:caps w:val="false"/>
          <w:smallCaps w:val="false"/>
          <w:color w:val="1A1A1A"/>
          <w:sz w:val="20"/>
        </w:rPr>
        <w:t xml:space="preserve"> Timing of this grant is the same time as your initial grant, which is currently expected in December 2026. This grant will be in Restricted Stock Units, with 100% vesting on the one-year anniversary of the grant date.</w:t>
      </w:r>
    </w:p>
    <w:p>
      <w:pPr>
        <w:pStyle w:val="TextBody"/>
        <w:bidi w:val="0"/>
        <w:spacing w:before="0" w:after="0"/>
        <w:jc w:val="both"/>
        <w:rPr>
          <w:caps w:val="false"/>
          <w:smallCaps w:val="false"/>
          <w:color w:val="1A1A1A"/>
        </w:rPr>
      </w:pPr>
      <w:r>
        <w:rPr>
          <w:caps w:val="false"/>
          <w:smallCaps w:val="false"/>
          <w:color w:val="1A1A1A"/>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Executive Severance Plan: </w:t>
      </w:r>
      <w:r>
        <w:rPr>
          <w:rFonts w:ascii="Times New Roman;Times;Serif" w:hAnsi="Times New Roman;Times;Serif"/>
          <w:b w:val="false"/>
          <w:i w:val="false"/>
          <w:caps w:val="false"/>
          <w:smallCaps w:val="false"/>
          <w:sz w:val="20"/>
        </w:rPr>
        <w:t>As an Executive of Fluence, you are eligible to participate in the Fluence Executive Severance Plan, subject to approval by the Board of Directors or Compensation Committee. Further details will be provided to you in the coming weeks.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Executive Officer Policies: </w:t>
      </w:r>
      <w:r>
        <w:rPr>
          <w:rFonts w:ascii="Times New Roman;Times;Serif" w:hAnsi="Times New Roman;Times;Serif"/>
          <w:b w:val="false"/>
          <w:i w:val="false"/>
          <w:caps w:val="false"/>
          <w:smallCaps w:val="false"/>
          <w:sz w:val="20"/>
        </w:rPr>
        <w:t>Fluence maintains company policies applicable to all employees. In addition, you are subject to additional policies applicable only to executives, specifically the Fluence Executive Stock Ownership Policy and the Fluence Clawback Policy, as approved by the Compensation and Human Resources Committee. Further details will be provided to you in the coming weeks.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Hire Paperwork Agreement: </w:t>
      </w:r>
      <w:r>
        <w:rPr>
          <w:rFonts w:ascii="Times New Roman;Times;Serif" w:hAnsi="Times New Roman;Times;Serif"/>
          <w:b w:val="false"/>
          <w:i w:val="false"/>
          <w:caps w:val="false"/>
          <w:smallCaps w:val="false"/>
          <w:sz w:val="20"/>
        </w:rPr>
        <w:t>Prior to your first date of employment with Fluence, you will receive a list of pre-hire documents. By signing this offer, you agree to send back all new hire paperwork no later than one week prior to starting with Fluence. If HR does not receive the signed documentation, your start date may be delayed.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ACCEPTANCE PROCESS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Bernerd, your experience and background will be an asset to this position, and we look forward to you joining Fluence. To confirm your acceptance of this offer, please print this letter, sign, and return it to me by email within three business days of the date on this letter. If you have any questions concerning the terms of this offer, please do not hesitate to contact 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Nebreda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8" w:right="358"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Your employment with Fluence Energy is and will be “at will” employment, for an indefinite period. This means that you or the Company may terminate the employment relationship at any time, for any reason or for no reason. No oral or written representation made by anyone at Fluence may change the “at will” nature of this relationship. You retain the option, as does Fluence, of ending your employment with Fluence at any time, with or without notice and with or without cause. This letter is governed by the laws of Virginia. Fluence is an “at will” employer; this letter does not constitute a contract for employment.</w:t>
      </w:r>
    </w:p>
    <w:p>
      <w:pPr>
        <w:pStyle w:val="TextBody"/>
        <w:bidi w:val="0"/>
        <w:spacing w:before="0" w:after="0"/>
        <w:ind w:left="358" w:right="358"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and Accepted:</w:t>
      </w:r>
    </w:p>
    <w:p>
      <w:pPr>
        <w:pStyle w:val="TextBody"/>
        <w:bidi w:val="0"/>
        <w:spacing w:before="0" w:after="0"/>
        <w:ind w:left="0" w:right="0" w:hanging="0"/>
        <w:jc w:val="left"/>
        <w:rPr>
          <w:caps w:val="false"/>
          <w:smallCaps w:val="false"/>
        </w:rPr>
      </w:pPr>
      <w:r>
        <w:rPr>
          <w:caps w:val="false"/>
          <w:smallCaps w:val="false"/>
        </w:rPr>
        <w:t> </w:t>
      </w:r>
    </w:p>
    <w:tbl>
      <w:tblPr>
        <w:tblW w:w="6209" w:type="dxa"/>
        <w:jc w:val="left"/>
        <w:tblInd w:w="0" w:type="dxa"/>
        <w:tblLayout w:type="fixed"/>
        <w:tblCellMar>
          <w:top w:w="0" w:type="dxa"/>
          <w:left w:w="0" w:type="dxa"/>
          <w:bottom w:w="0" w:type="dxa"/>
          <w:right w:w="0" w:type="dxa"/>
        </w:tblCellMar>
      </w:tblPr>
      <w:tblGrid>
        <w:gridCol w:w="995"/>
        <w:gridCol w:w="2090"/>
        <w:gridCol w:w="60"/>
        <w:gridCol w:w="2685"/>
        <w:gridCol w:w="304"/>
        <w:gridCol w:w="75"/>
      </w:tblGrid>
      <w:tr>
        <w:trPr/>
        <w:tc>
          <w:tcPr>
            <w:tcW w:w="995" w:type="dxa"/>
            <w:tcBorders/>
            <w:vAlign w:val="center"/>
          </w:tcPr>
          <w:p>
            <w:pPr>
              <w:pStyle w:val="TableContents"/>
              <w:bidi w:val="0"/>
              <w:spacing w:before="0" w:after="283"/>
              <w:jc w:val="left"/>
              <w:rPr/>
            </w:pPr>
            <w:r>
              <w:rPr/>
              <w:t>Signature:</w:t>
            </w:r>
          </w:p>
        </w:tc>
        <w:tc>
          <w:tcPr>
            <w:tcW w:w="2090" w:type="dxa"/>
            <w:tcBorders>
              <w:bottom w:val="single" w:sz="8" w:space="0" w:color="000000"/>
            </w:tcBorders>
            <w:tcMar>
              <w:bottom w:w="28" w:type="dxa"/>
            </w:tcMar>
            <w:vAlign w:val="center"/>
          </w:tcPr>
          <w:p>
            <w:pPr>
              <w:pStyle w:val="TableContents"/>
              <w:bidi w:val="0"/>
              <w:spacing w:before="0" w:after="283"/>
              <w:jc w:val="left"/>
              <w:rPr/>
            </w:pPr>
            <w:r>
              <w:rPr/>
              <w:t>/s/ Bernerd Da Santos</w:t>
            </w:r>
          </w:p>
        </w:tc>
        <w:tc>
          <w:tcPr>
            <w:tcW w:w="60"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left"/>
              <w:rPr/>
            </w:pPr>
            <w:r>
              <w:rPr/>
              <w:t>Date:</w:t>
            </w:r>
          </w:p>
        </w:tc>
        <w:tc>
          <w:tcPr>
            <w:tcW w:w="30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5"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Bernerd Da Santos</w:t>
            </w:r>
          </w:p>
        </w:tc>
        <w:tc>
          <w:tcPr>
            <w:tcW w:w="60"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pPr>
            <w:r>
              <w:rPr/>
              <w:t>Start Date: September 15,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0" w:right="1237" w:hanging="1440"/>
        <w:jc w:val="left"/>
        <w:rPr>
          <w:caps w:val="false"/>
          <w:smallCaps w:val="false"/>
        </w:rPr>
      </w:pPr>
      <w:r>
        <w:rPr>
          <w:caps w:val="false"/>
          <w:smallCaps w:val="false"/>
        </w:rPr>
        <w:t> </w:t>
      </w:r>
    </w:p>
    <w:p>
      <w:pPr>
        <w:pStyle w:val="TextBody"/>
        <w:bidi w:val="0"/>
        <w:spacing w:before="0" w:after="0"/>
        <w:ind w:left="1440" w:right="1237" w:hanging="1440"/>
        <w:jc w:val="left"/>
        <w:rPr>
          <w:caps w:val="false"/>
          <w:smallCaps w:val="false"/>
        </w:rPr>
      </w:pPr>
      <w:r>
        <w:rPr>
          <w:caps w:val="false"/>
          <w:smallCaps w:val="false"/>
        </w:rPr>
        <w:t> </w:t>
      </w:r>
    </w:p>
    <w:p>
      <w:pPr>
        <w:pStyle w:val="TextBody"/>
        <w:bidi w:val="0"/>
        <w:spacing w:before="0" w:after="0"/>
        <w:jc w:val="right"/>
        <w:rPr>
          <w:sz w:val="20"/>
          <w:bdr w:val="single" w:sz="8" w:space="1" w:color="000000"/>
        </w:rPr>
      </w:pPr>
      <w:r>
        <w:rPr>
          <w:sz w:val="20"/>
          <w:bdr w:val="single" w:sz="8" w:space="1" w:color="000000"/>
        </w:rPr>
        <w:t>2</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25" w:name="tm2625477d1_ex99-1.htm"/>
      <w:bookmarkStart w:id="26" w:name="kstm2625477d1_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146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742950"/>
                    </a:xfrm>
                    <a:prstGeom prst="rect">
                      <a:avLst/>
                    </a:prstGeom>
                  </pic:spPr>
                </pic:pic>
              </a:graphicData>
            </a:graphic>
          </wp:inline>
        </w:drawing>
      </w: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Fluence Energy Announces Revised Guidance for Fiscal Year 2026; Management to Host Conference Call at 5PM Eastern Time Today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ARLINGTON, Va., September 16, 2026 – Fluence Energy, Inc. (Nasdaq: FLNC) (“Fluence” or the “Company”), a global market leader delivering intelligent energy storage, operational services, and asset optimization software, today announced updated expectations for fiscal year 2026 due largely to continuing supply chain issues affecting the Company’s U.S.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is revising its fiscal year 2026 guidance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Revenue of approximately $2.4 billion compared to the prior guidance midpoint of approximately $3.0 billion.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Adjusted EBITDA</w:t>
            </w:r>
            <w:r>
              <w:rPr>
                <w:rFonts w:ascii="Times New Roman;Times;Serif" w:hAnsi="Times New Roman;Times;Serif"/>
                <w:position w:val="8"/>
                <w:sz w:val="19"/>
              </w:rPr>
              <w:t>1</w:t>
            </w:r>
            <w:r>
              <w:rPr/>
              <w:t xml:space="preserve"> loss of approximately $200.0 million compared to prior guidance midpoint of a loss of approximately $10.0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Demand for our products has remained strong both domestically and internationally, and our international supply chain has continued to work well. However, we continue to experience delays in the ramp up of our contract manufacturing facility in Houston which is the primary reason we are now lowering our fiscal year 2026 financial guidance,” said Julian Nebreda, President and Chief Executive Officer. “We are taking additional steps to restructure our operational organization and streamline planning across our supply chain, manufacturing and delivery functions, helping to position us for stronger execution in fiscal year 2027. In concert, our contract manufacturer has implemented corrective actions that have already yielded an increase in daily production levels.”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priority is converting our backlog into revenue and cash, and optimizing working capital. As we continue to develop our fiscal 2027 operating and execution plans, our objective is to generate neutral to positive operating cash flow to support our backlog without external capital. We plan to provide a detailed business plan and a financial update for fiscal year 2027 when we report fiscal year 2026 results," said Ahmed Pasha, Chief Financial Officer.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conduct a teleconference starting at 5:00 p.m. EDT today, Wednesday September 16, 2026, to discuss our revised expectations. To participate, analysts are required to register by clicking the </w:t>
      </w:r>
      <w:r>
        <w:rPr>
          <w:rFonts w:ascii="Times New Roman;Times;Serif" w:hAnsi="Times New Roman;Times;Serif"/>
          <w:b w:val="false"/>
          <w:i w:val="false"/>
          <w:caps w:val="false"/>
          <w:smallCaps w:val="false"/>
          <w:color w:val="0000FF"/>
          <w:sz w:val="20"/>
          <w:u w:val="single"/>
        </w:rPr>
        <w:t>Registration Link</w:t>
      </w:r>
      <w:r>
        <w:rPr>
          <w:rFonts w:ascii="Times New Roman;Times;Serif" w:hAnsi="Times New Roman;Times;Serif"/>
          <w:b w:val="false"/>
          <w:i w:val="false"/>
          <w:caps w:val="false"/>
          <w:smallCaps w:val="false"/>
          <w:sz w:val="20"/>
        </w:rPr>
        <w:t>. Once registered, analysts will be issued a unique PIN number and dial-in number. Analysts are encouraged to register at least 15 minutes before the scheduled start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audience participants, and non-analysts are encouraged to join the teleconference in a listen-only mode at: Fluence Energy Listen - Only Webcast, or on https://fluenceenergy.com by selecting Investors, News &amp; Events, and Events &amp; Presentations. Supplemental materials that may be referenced during the teleconference will be available at: https://fluenceenergy.com, by selecting Investors, News &amp; Events, and Events &amp; Presentations.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replay of the conference call will be available Thursday, September 17, 2026. The replay will be available on the Company’s website at </w:t>
      </w:r>
      <w:r>
        <w:rPr>
          <w:rFonts w:ascii="Times New Roman;Times;Serif" w:hAnsi="Times New Roman;Times;Serif"/>
          <w:b w:val="false"/>
          <w:i w:val="false"/>
          <w:caps w:val="false"/>
          <w:smallCaps w:val="false"/>
          <w:color w:val="0000FF"/>
          <w:sz w:val="20"/>
          <w:u w:val="single"/>
        </w:rPr>
        <w:t>https://fluenceenergy.com</w:t>
      </w:r>
      <w:r>
        <w:rPr>
          <w:rFonts w:ascii="Times New Roman;Times;Serif" w:hAnsi="Times New Roman;Times;Serif"/>
          <w:b w:val="false"/>
          <w:i w:val="false"/>
          <w:caps w:val="false"/>
          <w:smallCaps w:val="false"/>
          <w:sz w:val="20"/>
        </w:rPr>
        <w:t xml:space="preserve"> by selecting Investors, News &amp; Events, and Events &amp; Presentations.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our operating results in accordance with accounting principles generally accepted in the U.S. (“GAAP”). We believe certain financial measures, such as Adjusted EBITDA, which are non-GAAP measures, provide users of our financial statements with supplemental information that may be useful in evaluating our operating performance. We believe that such non-GAAP measures, when read in conjunction with our operating results presented in accordance with GAAP, can be used to better assess our performance from period to period and relative to performance of other companies in our industry, without regard to financing methods, historical cost basis or capital structure. Such non-GAAP measures should be considered as a supplement to, and not as a substitute for, financial measures prepared in accordance with GAAP. These measures have limitations as analytical tools, including that other companies, including companies in our industry, may calculate these measures differently, reducing their usefulness as comparative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Non-GAAP Financial Metric. See the section titled "Non-GAAP Financial Measures" for more information regarding the Company's use of non-GAAP financial measures.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calculated from the condensed consolidated statements of operations using net income (loss) adjusted for (i) interest expense (income), net, (ii) income taxes, (iii) depreciation and amortization, (iv) stock-based compensation, and (v) other non-recurring income or expenses. Adjusted EBITDA also includes amounts impacting net income related to estimated payments due to related parties pursuant to the Tax Receivable Agreement, dated October 27, 2021, by and among Fluence Energy, Inc., Fluence Energy, LLC, Siemens Industry, Inc. and AES Grid Stability, LLC (the “Tax Receivable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able to provide a quantitative reconciliation of full fiscal year 2026 Adjusted EBITDA to GAAP net income (loss) on a forward-looking basis because of the uncertainty around certain items that may impact Adjusted EBITDA, including stock compensation and restructuring expenses, that are not within our control or cannot be predicted at this time without unreasonable effort.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Fluence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Fluence Energy, Inc. (Nasdaq: FLNC) is a global market leader delivering intelligent energy storage and optimization software for renewables and storage. The Company's solutions and operational services are helping to create a more resilient grid and unlock the full potential of renewable portfolios. With gigawatts of projects successfully contracted, deployed, and under management across nearly 50 markets, the Company is transforming the way we power our world for a more sustainable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our website, or follow us on LinkedIn or X. To stay up to date on the latest industry insights, sign up for Fluence's Full Potential Blog.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statements that are made on our investor call contain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press release and on our investor call, including without limitation, statements regarding the Company’s fiscal 2026 guidance expectations; the Company's future results of operations and financial position, including expected revenue shifts; the Company’s future operational performance, including expected updates to the operational organization and the implementation of the Company’s corrective action plans and related impacts; the Company’s plans to better track execution against clear milestones; future liquidity; expectations relating to working capital, and access to capital and cash flows; expectations underpinning the Company’s fiscal 2027 operating and financial plan that is under development and performance of the fiscal 2027 operating and financial plan, including statements regarding the Company’s aims to not require external capital and to generate neutral to positive operating cash flow and plans relating to balancing delivery profile and reducing seasonality and execution concentration; potential future impact from continued delay in ramp up of the contract manufacturing facility; anticipated impact of the corrective actions taken to date at the contract manufacturer facility; anticipated impact from targeted Company personnel changes, including the Company’s new Executive Vice President and Chief Operating Officer; plans regarding developing a framework to evaluate contract manufacturers and production schedules; plans related to strengthening the Company’s supply chain and production system and processes and execution discipline; plans relating to reporting U.S. production levels in the future, both actual and forecast; plans to deliver on the Company’s 2027 backlog; intentions to right-size the Company’s revenue growth and corresponding investments; expectations regarding the future demand for the Company’s products and services and the general industry; ability to deliver on our customer commitments; and projected costs, beliefs, assumptions, prospects, plans and objectives of management and timing associated therewith. Such statements can be identified by the fact that they do not relate strictly to historical or current facts. When used in this press release, words such as “may,” “possible,” “will,” “should,” “seeks,” “expects,” “plans,” “anticipates,” “grows,” “could,” “intends,” “targets,” “projects,” “contemplates,” "commits", “believes,” “estimates,” “predicts,” “potential” or “continue” or the negative of these terms or other similar expressions and variations thereof and similar words and expressions are intended to identify such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based on our current expectations and beliefs concerning future developments, as well as a number of assumptions concerning future events, and their potential effects on our business. These forward-looking statements are not guarantees of performance, and there can be no assurance that future developments affecting our business will be those that we have anticipated. 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 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or delay in public acceptance of renewable energy, or increase in the cost of customer projects; increased attention to environmental, social and governance matters; our ability to obtain, maintain, and enforce proper protection for intellectual property, including technology; the threat of lawsuits by third parties alleging intellectual property violations; our having adequate protection for trademarks and trade names; our ability to enforce intellectual 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technologies on reasonable terms; compromises, interruptions, or shutdowns of systems; use of artificial intelligence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conflicts of interest by officers and directors due to positions with our continuing equity owners; relationship with our founders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other important factors set forth under Part I, Item 1A.“Risk Factors” in our Annual Report on Form 10-K for the fiscal year ended September 30, 2025, filed with the U.S. Securities and Exchange Commission (the “SEC”) on November 25, 2025, as well as in other filings we make with the SEC from time to time.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 You are cautioned not to place undue reliance on any forward-looking statements made in this press release. Each forward-looking statement speaks only as of the date of the particular statement, and we undertake no obligation to publicly update or revise any forward-looking statements to reflect events or circumstances that occur, or which we become aware of, after the date hereof, except as otherwise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Analyst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Shelton, Vice President of Finance, Investor Relations and Sustainability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InvestorRelations@fluenceenergy.com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Shayla Ebsen, Director of Communication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+1 605-645-7486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media.na@fluenceenergy.com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7" w:name="tm2625477d1_ex99-2.htm"/>
      <w:bookmarkStart w:id="28" w:name="kstm2625477d1_ex992"/>
      <w:bookmarkEnd w:id="27"/>
      <w:bookmarkEnd w:id="2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14600" cy="74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14600" cy="7429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Fluence Energy Announces Bernerd Da Santos as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ARLINGTON, Va., September 16, 2026 – Fluence Energy, Inc. (Nasdaq: FLNC) (“Fluence” or the “Company”), a global market leader delivering intelligent energy storage, operational services, and asset optimization software, today announced Bernerd Da Santos has joined the Company as its Executive Vice President and Chief Operating Officer. In this new position, Mr. Da Santos will oversee Fluence's customer success, product, supply chain, manufacturing, and enterprise operations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excited to join Fluence at a time of record backlog, a growing list of customers and the delivery of our new product platform, Smartstack,” said Mr. Da Santos. “I look forward to working with our team to drive production from our contract manufacturers, optimize materials planning and streamline delivery of Fluence products to our customers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 Santos most recently served as Senior Strategic Advisor to the President of The AES Corporation (“AES”) and Chairman of the AES Clean Energy Board. Previously, Mr. Da Santos served in the following roles at AES: Executive Vice President and President of AES’ Renewables Strategic Business Unit from June 2023 to April 2026, Executive Vice President and Chief Operating Officer from December 2017 to July 2023, and Chief Operating Officer and Senior Vice President from 2014 to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Bernerd has demonstrated his ability to improve operations in different businesses across AES, including the end-to-end transformation of AES’ supply chain organization. I am confident he will lead the successful resolution of our operating challenges,” said Julian Nebreda,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Fluence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Fluence Energy, Inc. (Nasdaq: FLNC) is a global market leader delivering intelligent energy storage and optimization software for renewables and storage. The Company's solutions and operational services are helping to create a more resilient grid and unlock the full potential of renewable portfolios. With gigawatts of projects successfully contracted, deployed, and under management across nearly 50 markets, the Company is transforming the way we power our world for a more sustainable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our website, or follow us on LinkedIn or X. To stay up to date on the latest industry insights, sign up for Fluence's Full Potential Blog.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including without limitation, potential impact of management change on the Company’s business, including on the Company’s production, planning and delivery, and projected costs, beliefs, assumptions, prospects, plans and objectives of management and timing associated therewith. Such statements can be identified by the fact that they do not relate strictly to historical or current facts. When used in this press release, words such as “may,” “possible,” “will,” “should,” “seeks,” “expects,” “plans,” “anticipates,” “grows,” “could,” “intends,” “targets,” “projects,” “contemplates,” "commits", “believes,” “estimates,” “predicts,” “potential” or “continue” or the negative of these terms or other similar expressions and variations thereof and similar words and expressions are intended to identify such forward-looking statements,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based on our current expectations and beliefs concerning future developments, as well as a number of assumptions concerning future events, and their potential effects on our business. These forward-looking statements are not guarantees of performance, and there can be no assurance that future developments affecting our business will be those that we have anticipated. 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 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or delay in public acceptance of renewable energy, or increase in the cost of customer projects; increased attention to environmental, social and governance matters; our ability to obtain, maintain, and enforce proper protection for intellectual property, including technology; the threat of lawsuits by third parties alleging intellectual property violations; our having adequate protection for trademarks and trade names; our ability to enforce intellectual 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technologies on reasonable terms; compromises, interruptions, or shutdowns of systems; use of artificial intelligence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conflicts of interest by officers and directors due to positions with our continuing equity owners; relationship with our founders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other important factors set forth under Part I, Item 1A.“Risk Factors” in our Annual Report on Form 10-K for the fiscal year ended September 30, 2025, filed with the U.S. Securities and Exchange Commission (the “SEC”) on November 25, 2025, as well as in other filings we make with the SEC from time to time.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 You are cautioned not to place undue reliance on any forward-looking statements made in this press release. Each forward-looking statement speaks only as of the date of the particular statement, and we undertake no obligation to publicly update or revise any forward-looking statements to reflect events or circumstances that occur, or which we become aware of, after the date hereof, except as otherwise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Analyst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Shelton, Vice President of Finance, Investor Relations and Sustainability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InvestorRelations@fluenceenergy.com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Shayla Ebsen, Director of Communication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+1 605-645-7486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media.na@fluenceenergy.com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7287</Words>
  <Characters>41423</Characters>
  <CharactersWithSpaces>48756</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