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5,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FLUENCE ENERGY,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9651"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87-1304612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4601 Fairfax Drive, Suite 600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Arlington, Virginia 22203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(833) 358-3623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40"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40" w:before="0" w:after="0"/>
        <w:jc w:val="left"/>
        <w:rPr>
          <w:color w:val="000000"/>
        </w:rPr>
      </w:pPr>
      <w:r>
        <w:rPr>
          <w:color w:val="000000"/>
        </w:rPr>
        <w:t> </w:t>
      </w:r>
    </w:p>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19"/>
        <w:gridCol w:w="1398"/>
        <w:gridCol w:w="1415"/>
        <w:gridCol w:w="109"/>
        <w:gridCol w:w="109"/>
        <w:gridCol w:w="109"/>
        <w:gridCol w:w="523"/>
        <w:gridCol w:w="523"/>
        <w:gridCol w:w="525"/>
        <w:gridCol w:w="109"/>
        <w:gridCol w:w="109"/>
        <w:gridCol w:w="109"/>
        <w:gridCol w:w="1038"/>
        <w:gridCol w:w="1038"/>
        <w:gridCol w:w="1472"/>
      </w:tblGrid>
      <w:tr>
        <w:trPr/>
        <w:tc>
          <w:tcPr>
            <w:tcW w:w="161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4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5, 2026, Fluence Energy, Inc. (the “Company”) issued a press release regarding the Company’s financial results for the third quarter of fiscal year 2026. A copy of the Company’s press release is furnished as Exhibit 99.1 to this Current Report on Form 8-K and is incorporated herein by reference. In connection with the issuance of the press release, the Company is holding a public conference call and webcast on Thursday, August 6, 2026 at 8:30 a.m. EDT. The accompanying investor presentation materials will be available on the Company’s website at: https://fluenceenergy.com, by selecting Investors, News &amp; Events, and Events &amp; Presentations.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of this Current Report on Form 8-K, including Exhibit 99.1 attached hereto, is furnished herewith and shall not be deemed “filed” for purposes of Section 18 of the Securities Exchange Act of 1934, as amended (the “Exchange Act”), or otherwise subject to the liabilities under that section, nor shall it be deemed incorporated by reference in any filing under the Securities Act of 1933, as amended, or the Exchange Act regardless of any general incorporation language in such filing, except as expressly stated by specific reference in such filing.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33"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74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442"/>
        <w:gridCol w:w="1442"/>
        <w:gridCol w:w="205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lncq3fy26earningspressrel.htm">
              <w:r>
                <w:rPr>
                  <w:rStyle w:val="InternetLink"/>
                  <w:rFonts w:ascii="Times New Roman;serif" w:hAnsi="Times New Roman;serif"/>
                  <w:b w:val="false"/>
                  <w:color w:val="000080"/>
                  <w:sz w:val="20"/>
                  <w:u w:val="single"/>
                </w:rPr>
                <w:t xml:space="preserve">Press Release of Fluence Energy, Inc. dated </w:t>
              </w:r>
            </w:hyperlink>
            <w:hyperlink w:anchor="flncq3fy26earningspressrel.htm">
              <w:r>
                <w:rPr>
                  <w:rStyle w:val="InternetLink"/>
                  <w:rFonts w:ascii="Times New Roman;serif" w:hAnsi="Times New Roman;serif"/>
                  <w:b w:val="false"/>
                  <w:color w:val="000080"/>
                  <w:sz w:val="20"/>
                  <w:u w:val="single"/>
                </w:rPr>
                <w:t xml:space="preserve">August </w:t>
              </w:r>
            </w:hyperlink>
            <w:hyperlink w:anchor="flncq3fy26earningspressrel.htm">
              <w:r>
                <w:rPr>
                  <w:rStyle w:val="InternetLink"/>
                  <w:rFonts w:ascii="Times New Roman;serif" w:hAnsi="Times New Roman;serif"/>
                  <w:b w:val="false"/>
                  <w:color w:val="000080"/>
                  <w:sz w:val="20"/>
                  <w:u w:val="single"/>
                </w:rPr>
                <w:t>5</w:t>
              </w:r>
            </w:hyperlink>
            <w:hyperlink w:anchor="flncq3fy26earningspressrel.htm">
              <w:r>
                <w:rPr>
                  <w:rStyle w:val="InternetLink"/>
                  <w:rFonts w:ascii="Times New Roman;serif" w:hAnsi="Times New Roman;serif"/>
                  <w:b w:val="false"/>
                  <w:color w:val="000080"/>
                  <w:sz w:val="20"/>
                  <w:u w:val="single"/>
                </w:rPr>
                <w:t>,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iXBRL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3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100" w:after="283"/>
        <w:jc w:val="left"/>
        <w:rPr>
          <w:color w:val="000000"/>
        </w:rPr>
      </w:pPr>
      <w:r>
        <w:rPr>
          <w:color w:val="000000"/>
        </w:rPr>
        <w:t> </w:t>
      </w:r>
    </w:p>
    <w:tbl>
      <w:tblPr>
        <w:tblW w:w="7165" w:type="dxa"/>
        <w:jc w:val="left"/>
        <w:tblInd w:w="0" w:type="dxa"/>
        <w:tblLayout w:type="fixed"/>
        <w:tblCellMar>
          <w:top w:w="28" w:type="dxa"/>
          <w:left w:w="28" w:type="dxa"/>
          <w:bottom w:w="28" w:type="dxa"/>
          <w:right w:w="28" w:type="dxa"/>
        </w:tblCellMar>
      </w:tblPr>
      <w:tblGrid>
        <w:gridCol w:w="683"/>
        <w:gridCol w:w="601"/>
        <w:gridCol w:w="605"/>
        <w:gridCol w:w="379"/>
        <w:gridCol w:w="379"/>
        <w:gridCol w:w="379"/>
        <w:gridCol w:w="1213"/>
        <w:gridCol w:w="1213"/>
        <w:gridCol w:w="1713"/>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FLUENCE ENERGY, INC.</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Ahmed Pasha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Ahmed Pasha</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lineRule="auto" w:line="240" w:before="0" w:after="0"/>
        <w:jc w:val="center"/>
        <w:rPr>
          <w:color w:val="000000"/>
        </w:rPr>
      </w:pPr>
      <w:r>
        <w:rPr>
          <w:color w:val="000000"/>
        </w:rPr>
        <w:t> </w:t>
      </w:r>
    </w:p>
    <w:p>
      <w:pPr>
        <w:pStyle w:val="TextBody"/>
        <w:bidi w:val="0"/>
        <w:spacing w:lineRule="auto" w:line="240"/>
        <w:jc w:val="center"/>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60" w:after="283"/>
        <w:ind w:left="0" w:right="0" w:firstLine="720"/>
        <w:jc w:val="center"/>
        <w:rPr/>
      </w:pPr>
      <w:r>
        <w:rPr/>
        <w:drawing>
          <wp:inline distT="0" distB="0" distL="0" distR="0">
            <wp:extent cx="2371725" cy="600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71725" cy="600075"/>
                    </a:xfrm>
                    <a:prstGeom prst="rect">
                      <a:avLst/>
                    </a:prstGeom>
                  </pic:spPr>
                </pic:pic>
              </a:graphicData>
            </a:graphic>
          </wp:inline>
        </w:drawing>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Fluence Energy, Inc. Reports Third Fiscal Quarter 2026 Results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ARLINGTON, Va., August 5, 2026 (GLOBE NEWSWIRE) – Fluence Energy, Inc. (Nasdaq: FLNC) (“Fluence” or the “Company”), a global market leader delivering intelligent energy storage, operational services, and asset optimization software, today announced its results for the three and nine months ended June 30, 2026. </w:t>
      </w:r>
    </w:p>
    <w:p>
      <w:pPr>
        <w:pStyle w:val="TextBody"/>
        <w:bidi w:val="0"/>
        <w:spacing w:lineRule="auto" w:line="288" w:before="160" w:after="283"/>
        <w:jc w:val="both"/>
        <w:rPr/>
      </w:pPr>
      <w:r>
        <w:rPr>
          <w:rFonts w:ascii="Times New Roman;serif" w:hAnsi="Times New Roman;serif"/>
          <w:b/>
          <w:color w:val="000000"/>
          <w:sz w:val="20"/>
        </w:rPr>
        <w:t>Financial and Operational Highlights for Fiscal Quarter Ended June 30, 2026</w:t>
      </w:r>
      <w:r>
        <w:rPr>
          <w:color w:val="000000"/>
        </w:rPr>
        <w:t xml:space="preserv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Revenue of approximately $649.8 million, compared to approximately $602.5 million in the same quarter last year, primarily driven by an increase in volume of fulfillments of energy storage solutions. Revenue was weaker than expected, primarily reflecting production delays at new contract manufacturing facilities.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GAAP gross profit margin of approximately 5.1%, compared to approximately 14.8% in the same quarter last year.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Adjusted gross profit margin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approximately 5.9%, compared to approximately 15.4% in the same quarter last year, primarily reflecting the impact of delays to revenue, the initial costs of deploying new product platforms, and recognized upfront cost associated with a planned agreement for long-term international battery cell supply.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Net loss for the three and nine months ended June 30, 2026 of approximately $44.3 million and $136.1 million, respectively, compared to net income of approximately $6.9 million and net loss of approximately $92.1 million for the same periods last year, respectively.</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three and nine months ended June 30, 2026 of approximately $(29.3) million</w:t>
      </w:r>
      <w:r>
        <w:rPr>
          <w:color w:val="000000"/>
        </w:rPr>
        <w:t xml:space="preserve"> </w:t>
      </w:r>
      <w:r>
        <w:rPr>
          <w:rFonts w:ascii="Times New Roman;serif" w:hAnsi="Times New Roman;serif"/>
          <w:b w:val="false"/>
          <w:color w:val="000000"/>
          <w:sz w:val="20"/>
        </w:rPr>
        <w:t>and $(90.8) million, respectively.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Order intake of more than $1.44 billion for the fiscal quarter ended June 30, 2026, nearly triple the order intake of approximately $508.8 million for the same quarter last year.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Secured approximately $850.0 million of data center business through July, including the Company's first large, behind-the-meter order signed during the third quarter and approximately $550.0 million of awards from a hyperscaler in July 2026. </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Backlog</w:t>
      </w:r>
      <w:r>
        <w:rPr>
          <w:rFonts w:ascii="Times New Roman;serif" w:hAnsi="Times New Roman;serif"/>
          <w:b w:val="false"/>
          <w:color w:val="000000"/>
          <w:sz w:val="13"/>
        </w:rPr>
        <w:t>2</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of approximately</w:t>
      </w:r>
      <w:r>
        <w:rPr>
          <w:color w:val="000000"/>
        </w:rPr>
        <w:t xml:space="preserve"> </w:t>
      </w:r>
      <w:r>
        <w:rPr>
          <w:rFonts w:ascii="Times New Roman;serif" w:hAnsi="Times New Roman;serif"/>
          <w:b w:val="false"/>
          <w:color w:val="000000"/>
          <w:sz w:val="20"/>
        </w:rPr>
        <w:t>$6.4 billion,</w:t>
      </w:r>
      <w:r>
        <w:rPr>
          <w:color w:val="000000"/>
          <w:shd w:fill="FFFFFF" w:val="clear"/>
        </w:rPr>
        <w:t xml:space="preserve"> </w:t>
      </w:r>
      <w:r>
        <w:rPr>
          <w:rFonts w:ascii="Times New Roman;serif" w:hAnsi="Times New Roman;serif"/>
          <w:b w:val="false"/>
          <w:color w:val="000000"/>
          <w:sz w:val="20"/>
          <w:shd w:fill="FFFFFF" w:val="clear"/>
        </w:rPr>
        <w:t>the highest level in Company history.</w:t>
      </w:r>
    </w:p>
    <w:p>
      <w:pPr>
        <w:pStyle w:val="TextBody"/>
        <w:bidi w:val="0"/>
        <w:spacing w:lineRule="auto" w:line="288" w:before="16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Total liquidity</w:t>
      </w:r>
      <w:r>
        <w:rPr>
          <w:rFonts w:ascii="Times New Roman;serif" w:hAnsi="Times New Roman;serif"/>
          <w:b w:val="false"/>
          <w:color w:val="000000"/>
          <w:sz w:val="13"/>
          <w:shd w:fill="FFFFFF" w:val="clear"/>
        </w:rPr>
        <w:t>3</w:t>
      </w:r>
      <w:r>
        <w:rPr>
          <w:color w:val="000000"/>
          <w:shd w:fill="FFFFFF" w:val="clear"/>
        </w:rPr>
        <w:t xml:space="preserve"> </w:t>
      </w:r>
      <w:r>
        <w:rPr>
          <w:rFonts w:ascii="Times New Roman;serif" w:hAnsi="Times New Roman;serif"/>
          <w:b w:val="false"/>
          <w:color w:val="000000"/>
          <w:sz w:val="20"/>
          <w:shd w:fill="FFFFFF" w:val="clear"/>
        </w:rPr>
        <w:t>of approximately</w:t>
      </w:r>
      <w:r>
        <w:rPr>
          <w:color w:val="000000"/>
        </w:rPr>
        <w:t xml:space="preserve"> </w:t>
      </w:r>
      <w:r>
        <w:rPr>
          <w:rFonts w:ascii="Times New Roman;serif" w:hAnsi="Times New Roman;serif"/>
          <w:b w:val="false"/>
          <w:color w:val="000000"/>
          <w:sz w:val="20"/>
        </w:rPr>
        <w:t xml:space="preserve">$863.0 million as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including total cash</w:t>
      </w:r>
      <w:r>
        <w:rPr>
          <w:rFonts w:ascii="Times New Roman;serif" w:hAnsi="Times New Roman;serif"/>
          <w:b w:val="false"/>
          <w:color w:val="000000"/>
          <w:sz w:val="13"/>
          <w:shd w:fill="FFFFFF" w:val="clear"/>
        </w:rPr>
        <w:t>4</w:t>
      </w:r>
      <w:r>
        <w:rPr>
          <w:color w:val="000000"/>
          <w:shd w:fill="FFFFFF" w:val="clear"/>
        </w:rPr>
        <w:t xml:space="preserve"> </w:t>
      </w:r>
      <w:r>
        <w:rPr>
          <w:rFonts w:ascii="Times New Roman;serif" w:hAnsi="Times New Roman;serif"/>
          <w:b w:val="false"/>
          <w:color w:val="000000"/>
          <w:sz w:val="20"/>
          <w:shd w:fill="FFFFFF" w:val="clear"/>
        </w:rPr>
        <w:t>of approximatel</w:t>
      </w:r>
      <w:r>
        <w:rPr>
          <w:rFonts w:ascii="Times New Roman;serif" w:hAnsi="Times New Roman;serif"/>
          <w:b w:val="false"/>
          <w:color w:val="000000"/>
          <w:sz w:val="20"/>
        </w:rPr>
        <w:t>y $365.0 million.</w:t>
      </w:r>
    </w:p>
    <w:p>
      <w:pPr>
        <w:pStyle w:val="TextBody"/>
        <w:bidi w:val="0"/>
        <w:spacing w:lineRule="auto" w:line="288" w:before="160" w:after="283"/>
        <w:ind w:left="0" w:right="0" w:firstLine="360"/>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 xml:space="preserve">Customer demand for Fluence solutions continues to strengthen, driven by our differentiated technology, digital capabilities, and expanding role supporting the growing power needs of utilities, developers, and data centers. We have been increasing our production capacity globally to meet this growing demand, and although production has been behind our expectation for this year we have taken steps to achieve targeted production levels early in fiscal 2027," said Julian Nebreda, President and Chief Executive Officer. "With both record order intake and backlog, and increasing momentum with all of our customer segments including data centers, we remain confident in the long-term opportunity ahead and our positioning to capitalize on it." </w:t>
      </w:r>
    </w:p>
    <w:p>
      <w:pPr>
        <w:pStyle w:val="TextBody"/>
        <w:bidi w:val="0"/>
        <w:spacing w:lineRule="auto" w:line="288" w:before="160" w:after="283"/>
        <w:jc w:val="both"/>
        <w:rPr/>
      </w:pPr>
      <w:r>
        <w:rPr>
          <w:rFonts w:ascii="Times New Roman;serif" w:hAnsi="Times New Roman;serif"/>
          <w:b/>
          <w:color w:val="000000"/>
          <w:sz w:val="20"/>
        </w:rPr>
        <w:t>Revised Fiscal Year 2026 Outlook</w:t>
      </w:r>
      <w:r>
        <w:rPr>
          <w:color w:val="000000"/>
        </w:rPr>
        <w:t xml:space="preserve"> </w:t>
      </w:r>
    </w:p>
    <w:p>
      <w:pPr>
        <w:pStyle w:val="TextBody"/>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Non-GAAP Financial Metric. See the section titled "Non-GAAP Financial Measures" for more information regarding the Company's use of non-GAAP financial measures, as well as a reconciliation to the most directly comparable financial measures stated in accordance with GAAP.</w:t>
      </w:r>
    </w:p>
    <w:p>
      <w:pPr>
        <w:pStyle w:val="TextBody"/>
        <w:bidi w:val="0"/>
        <w:spacing w:lineRule="auto" w:line="240"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Backlog represents the unrecognized revenue value of our contractual commitments, which include deferred revenue and amounts that will be billed and recognized as revenue in future periods. The company's backlog may vary significantly each reporting period based on the timing of major new contractual commitments and the backlog may fluctuate with currency movements. In addition, under certain circumstances, the Company's customers have the right to terminate contracts or defer the timing of its services and their payments to the Company.</w:t>
      </w:r>
    </w:p>
    <w:p>
      <w:pPr>
        <w:pStyle w:val="TextBody"/>
        <w:bidi w:val="0"/>
        <w:spacing w:lineRule="auto" w:line="268" w:before="0" w:after="0"/>
        <w:jc w:val="both"/>
        <w:rPr/>
      </w:pPr>
      <w:r>
        <w:rPr>
          <w:rFonts w:ascii="Times New Roman;serif" w:hAnsi="Times New Roman;serif"/>
          <w:b w:val="false"/>
          <w:color w:val="000000"/>
          <w:sz w:val="10"/>
          <w:shd w:fill="FFFFFF" w:val="clear"/>
        </w:rPr>
        <w:t>3</w:t>
      </w:r>
      <w:r>
        <w:rPr>
          <w:color w:val="000000"/>
          <w:shd w:fill="FFFFFF" w:val="clear"/>
        </w:rPr>
        <w:t xml:space="preserve"> </w:t>
      </w:r>
      <w:r>
        <w:rPr>
          <w:rFonts w:ascii="Times New Roman;serif" w:hAnsi="Times New Roman;serif"/>
          <w:b w:val="false"/>
          <w:color w:val="000000"/>
          <w:sz w:val="16"/>
          <w:shd w:fill="FFFFFF" w:val="clear"/>
        </w:rPr>
        <w:t>T</w:t>
      </w:r>
      <w:r>
        <w:rPr>
          <w:rFonts w:ascii="Times New Roman;serif" w:hAnsi="Times New Roman;serif"/>
          <w:b w:val="false"/>
          <w:color w:val="000000"/>
          <w:sz w:val="16"/>
        </w:rPr>
        <w:t>otal liquidity is a management metric and is defined as cash and cash equivalents + restricted cash + capacity available under our working capital facilities, net of letters of credit issued. Our working capital facilities include our two supply chain financing programs and our revolving credit facility, under which we can issue letters of credit or, subject to certain limitations, incur borrowings thereunder. Each of our working capital facilities are subject to covenants and restrictions as set forth therein, including a cash draw sublimit in the revolving credit facility of $150.0 million. As of June 30, 2026, we had $193.0 million of outstanding letters of credit under our revolving credit facility, with remaining availability of $307.0 million.</w:t>
      </w:r>
    </w:p>
    <w:p>
      <w:pPr>
        <w:pStyle w:val="TextBody"/>
        <w:bidi w:val="0"/>
        <w:spacing w:lineRule="auto" w:line="24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Total cash includes cash and cash equivalents + restricted cash.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now expects that $400.0 million in project deliveries will be delayed into fiscal 2027 due to production issues at a new international contract manufacturing facility and construction related delays that affected the completion and start-up of a new U.S. contract manufacturing facility. As a result, the Company is revising its fiscal year 2026 guidance as follows: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Revenue of approximately $2.9 billion to $3.1 billion with a midpoint of $3.0 billion compared to the prior guidance range of approximately $3.2 billion to $3.6 billion with a midpoint of $3.4 billion.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approximately ($30.0) million to $10.0 million, with a midpoint of approximately ($10.0) million compared to prior guidance of approximately $40.0 million to $60.0 million with a midpoint of $50.0 million. This reduction reflects the reduced revenue outlook and an approximately $15 million upfront cost associated with a planned agreement for long-term international battery supply.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Annual recurring revenue of approximately $180.0 million by the end of fiscal year 2026, which is unchanged.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delays in deliveries of some U.S. projects impacted third quarter revenue and our full year outlook, the associated revenue remains in backlog and is expected to be recognized in fiscal 2027," said Ahmed Pasha, Chief Financial Officer. "We ended the quarter with strong liquidity, providing flexibility and a strong foundation to support increased order volume and future growth.”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"Revised Fiscal Year 2026 Outlook" statements represent management's current best estimate as of the date of this release. Actual results may differ materially depending on a number of factors. Investors are urged to read the "Cautionary Note Regarding Forward-Looking Statements" section included in this release. Management does not assume any obligation to update these estimates.</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will conduct a teleconference starting at 8:30 a.m. EDT on Thursday, August 6, 2026, to discuss our third quarter results. To participate, analysts are required to register by clicking Fluence Energy Q3 Earnings Call Registration Link. Once registered, analysts will be issued a unique PIN number and dial-in number. Analysts are encouraged to register at least 15 minutes before the scheduled start time.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audience participants, and non-analysts are encouraged to join the teleconference in a listen-only mode at: Fluence Energy Listen - Only Webcast, or on https://fluenceenergy.com by selecting Investors, News &amp; Events, and Events &amp; Presentations. Supplemental materials that may be referenced during the teleconference will be available at: https://fluenceenergy.com, by selecting Investors, News &amp; Events, and Events &amp; Presentations.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replay of the conference call will be available after 1:00 p.m. EDT on Thursday, August 6, 2026. The replay will be available on the Company’s website at https://fluenceenergy.com by selecting Investors, News &amp; Events, and Events &amp; Presentations.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present our operating results in accordance with accounting principles generally accepted in the U.S. (“GAAP”). We believe certain financial measures, such as Adjusted EBITDA, Adjusted Gross Profit, Adjusted Gross Profit Margin, and Free Cash Flow, which are non-GAAP measures, provide users of our financial statements with supplemental information that may be useful in evaluating our operating performance. We believe that such non-GAAP measures, when read in conjunction with our operating results presented in accordance with GAAP, can be used to better assess our performance from period to period and relative to performance of other companies in our industry, without regard to financing methods, historical cost basis or capital structure. Such non-GAAP measures should be considered as a supplement to, and not as a substitute for, financial measures prepared in accordance with GAAP. These measures have limitations as analytical tools, including that other companies, including companies in our industry, may calculate these measures differently, reducing their usefulness as comparative measures.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calculated from the condensed consolidated statements of operations using net income (loss) adjusted for (i) interest (income) expense, net, (ii) income taxes, (iii) depreciation and amortization, (iv) stock-based compensation, and (v) other non-recurring income or expenses. Adjusted EBITDA also includes amounts impacting net income related to estimated payments due to related parties pursuant to the Tax Receivable Agreement, dated October 27, 2021, by and among Fluence Energy, Inc., Fluence Energy, LLC, Siemens Industry, Inc. and AES Grid Stability, LLC (the “Tax Receivable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Gross Profit is calculated from the condensed consolidated statements of operations using gross profit, adjusted to exclude (i) stock-based compensation expenses, (ii) depreciation and amortization, and (iii) other non-recurring income or expenses. Adjusted Gross Profit Margin is calculated using Adjusted Gross Profit divided by total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Free Cash Flow is calculated from the condensed consolidated statements of cash flows and is defined as net cash provided by (used in) operating activities, adjusted to exclude purchases made under supply chain financing arrangements, less repayments of obligations under supply chain financing arrangements and purchase of property and equipment made in the period. It should not be inferred that the entire Free Cash Flow amount is available for discretionary expenditures (for example, cash is still required to satisfy other working capital needs, including short-term investment policy, restricted cash, and intangible assets) and Free Cash Flow does not reflect our future contractual commitments.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Please refer to the reconciliations of the non-GAAP financial measures to their most directly comparable GAAP financial measures included in tables contained at the end of this release.</w:t>
      </w:r>
      <w:r>
        <w:rPr>
          <w:color w:val="000000"/>
        </w:rPr>
        <w:t xml:space="preserv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not able to provide a quantitative reconciliation of full fiscal year 2026 Adjusted EBITDA to GAAP net income (loss) on a forward-looking basis because of the uncertainty around certain items that may impact Adjusted EBITDA, including stock compensation and restructuring expenses, that are not within our control or cannot be predicted at this time without unreasonable effort.</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About Fluence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Fluence Energy, Inc. (Nasdaq: FLNC) is a global market leader delivering intelligent energy storage and optimization software for renewables and storage. The Company's solutions and operational services are helping to create a more resilient grid and unlock the full potential of renewable portfolios. With gigawatts of projects successfully contracted, deployed, and under management across nearly 50 markets, the Company is transforming the way we power our world for a more sustainable future.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more information, visit our website, or follow us on LinkedIn. To stay up to date on the latest industry insights, sign up for Fluence's Full Potential Blog.</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and statements that are made on our earnings call contain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and on our earnings call, including without limitation, statements set forth above under “Revised Fiscal Year 2026 Outlook” and other statements regarding the Company's future results of operations and financial position, operational performance, the Company’s business, growth, and innovation strategy and the efficacy of our products and services to meet evolving needs, future market and industry growth and related opportunities for the Company, including relating to data centers, projected operating costs and future cost visibility, future liquidity, expectations relating to working capital, and access to capital and cash flows, future capital expenditures and debt service obligations, expectations related to backlog, pipeline, order intake, and contracted backlog, expectations regarding Smartstack becoming a leading product, expectations regarding the deployment, performance, and customer adoption of new product offerings, expectations regarding customer demand for Company products and solutions, impact of the Company’s planned new battery cell supply agreement, the Company’s supply chain strategy, including future volume and production capacity, expectations regarding our contract manufacturing partners and related facilities, potential impact from delays in ramp up of production facilities, associated project delays, and cost overruns, including those arising from the introduction of new product platforms, and projected costs, beliefs, assumptions, prospects, plans and objectives of management and timing associated therewith. Such statements can be identified by the fact that they do not relate strictly to historical or current facts. When used in this press release, words such as “may,” “possible,” “will,” “should,” “seeks,” “expects,” “plans,” “anticipates,” “grows,” “could,” “intends,” “targets,” “projects,” “contemplates,” "commits", “believes,” “estimates,” “predicts,” “potential” or “continue” or the negative of these terms or other similar expressions and variations thereof and similar words and expressions are intended to identify such forward-looking statements, but the absence of these words does not mean that a statement is not forward-looking.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contained in this press release are based on our current expectations and beliefs concerning future developments, as well as a number of assumptions concerning future events, and their potential effects on our business. These forward-looking statements are not guarantees of performance, and there can be no assurance that future developments affecting our business will be those that we have anticipated. These forward-looking statements are subject to a number of risks, uncertainties, and other important factors that could cause actual results to differ materially from those in the forward-looking statements, including, but not limited to, the elimination or expiration of government incentives or regulations regarding renewable energy; changes in the global trade environment; fluctuations in order intake and results of operations across fiscal periods; a significant reduction in order volume or loss of significant customers or their inability to perform under contracts; competition for offerings and the ability to attract new customers and retain existing ones; maintaining and enhancing reputation and brand recognition; our ability to manage recent and future growth and the expansion of our business and operations; our ability to attract and retain highly qualified personnel; our growth depending on the success of relationships with third parties; delays, disruptions, and quality control problems in manufacturing operations; risks associated with engineering and construction, utility interconnection, commissioning and installation of energy storage products, cost overruns, and delays; supplier concentration and limited supplier capacity; operating as a global company with a global supply chain; changes in the cost and availability of raw materials and underlying components; lengthy sales and installation cycle for energy storage solutions; quality and quantity of components provided by suppliers; defects, errors, vulnerabilities, and/or bugs in products and technology; events and incidents relating to storage, delivery, installation, operation, maintenance, and shutdowns of products; current and planned foreign operations; failure by contract manufacturers, vendors, and suppliers to use ethical business practices and comply with applicable laws and regulations; actual or threatened health epidemics, pandemics, or similar public health threats; severe weather events; acquisitions made or that may be pursued; our ability to obtain financial assurances for projects; relatively limited operating and revenue history as an independent entity and the nascent clean energy industry; anticipated increases in expenses in the future and our ability to maintain prolonged profitability; the risk that amounts included in the pipeline and contracted backlog may not result in actual revenue or translate into profits; restrictions set forth in current and future credit and debt agreements; our uncertain ability to raise additional capital to execute on business opportunities; fluctuations in currency exchange rates; whether renewable energy technologies are suitable for widespread adoption or if sufficient demand for offerings does not develop or takes longer to develop than anticipated; our estimates on the size of the total addressable market; macroeconomic uncertainty and market conditions; interest rates or a reduction in the availability of tax equity or project debt capital in the global financial markets and corresponding effects on customers’ ability to finance energy storage systems and demand for energy storage solutions; the cost of electricity available from alternative sources; a decline or delay in public acceptance of renewable energy, or increase in the cost of customer projects; increased attention to environmental, social and governance matters; our ability to obtain, maintain, and enforce proper protection for intellectual property, including technology; the threat of lawsuits by third parties alleging intellectual property violations; our having adequate protection for trademarks and trade names; our ability to enforce intellectual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property rights; our patent portfolio; our ability to effectively protect data integrity of technology infrastructure, data, and other business systems; the use of open-source software; our failure to comply with third-party license or technology agreements; our inability to license rights to use technologies on reasonable terms; compromises, interruptions, or shutdowns of systems; use of artificial intelligence (“AI”) technologies; potential changes in tax laws or regulations; barriers arising from current electric utility industry policies and regulations and any subsequent changes; environmental, health, and safety laws and potential obligations, liabilities, and costs thereunder; actual or perceived failure to comply with data privacy and data security laws, regulations, industry standards, and other requirements relating to the privacy, security, and processing of personal information; potential future legal proceedings, regulatory disputes, and governmental inquiries; ownership of our Class A common stock; short-seller activists; being a “controlled company” within the meaning of the rules of the Nasdaq Stock Market; conflicts of interest by officers and directors due to positions with our continuing equity owners; relationship with our founders and continuing equity owners; terms of our amended and restated certificate of incorporation and amended and restated bylaws; our dependence on distributions from Fluence Energy, LLC to pay taxes and expenses and Fluence Energy, LLC’s ability to make such distributions may be limited or restricted in certain scenarios; risks arising out of the Tax Receivable Agreement; unanticipated changes in effective tax rates or adverse outcomes resulting from examination of tax returns; risks related to the 2030 Convertible Senior Notes; improper and ineffective internal control over reporting to comply with the Sarbanes-Oxley Act; changes in accounting principles or their applicability; and estimates or judgments relating to critical accounting policies; and other important factors set forth under Part I, Item 1A.“Risk Factors” in our Annual Report on Form 10-K for the fiscal year ended September 30, 2025, filed with the U.S. Securities and Exchange Commission (the “SEC”) on November 25, 2025 and Part II, Item 1A. "Risk Factors" in this Quarterly Report on Form 10-Q for the fiscal quarter ended June 30, 2026, as well as in other filings we make with the SEC from time to time.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 You are cautioned not to place undue reliance on any forward-looking statements made in this press release. Each forward-looking statement speaks only as of the date of the particular statement, and we undertake no obligation to publicly update or revise any forward-looking statements to reflect events or circumstances that occur, or which we become aware of, after the date hereof, except as otherwise may be required by law.</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Analyst Contact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Chris Shelton, Vice President of Finance, GID, and Investor Relations</w:t>
      </w:r>
    </w:p>
    <w:p>
      <w:pPr>
        <w:pStyle w:val="TextBody"/>
        <w:bidi w:val="0"/>
        <w:spacing w:lineRule="auto" w:line="333" w:before="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Email: InvestorRelations@fluenceenergy.com </w:t>
      </w:r>
    </w:p>
    <w:p>
      <w:pPr>
        <w:pStyle w:val="TextBody"/>
        <w:bidi w:val="0"/>
        <w:spacing w:lineRule="auto" w:line="333" w:before="160" w:after="283"/>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333" w:before="40" w:after="283"/>
        <w:jc w:val="left"/>
        <w:rPr>
          <w:rFonts w:ascii="Times New Roman;serif" w:hAnsi="Times New Roman;serif"/>
          <w:b w:val="false"/>
          <w:color w:val="000000"/>
          <w:sz w:val="20"/>
        </w:rPr>
      </w:pPr>
      <w:r>
        <w:rPr>
          <w:rFonts w:ascii="Times New Roman;serif" w:hAnsi="Times New Roman;serif"/>
          <w:b w:val="false"/>
          <w:color w:val="000000"/>
          <w:sz w:val="20"/>
        </w:rPr>
        <w:t>Shayla Ebsen, Director of Communications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+1 605-645-7486</w:t>
      </w:r>
    </w:p>
    <w:p>
      <w:pPr>
        <w:pStyle w:val="TextBody"/>
        <w:bidi w:val="0"/>
        <w:spacing w:lineRule="auto" w:line="333" w:before="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Email: media.na@fluenceenergy.com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59"/>
        <w:gridCol w:w="2220"/>
        <w:gridCol w:w="2160"/>
        <w:gridCol w:w="211"/>
        <w:gridCol w:w="976"/>
        <w:gridCol w:w="109"/>
        <w:gridCol w:w="109"/>
        <w:gridCol w:w="109"/>
        <w:gridCol w:w="109"/>
        <w:gridCol w:w="211"/>
        <w:gridCol w:w="976"/>
        <w:gridCol w:w="156"/>
      </w:tblGrid>
      <w:tr>
        <w:trPr/>
        <w:tc>
          <w:tcPr>
            <w:tcW w:w="285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2,064,256 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Preferred stock, </w:t>
            </w:r>
            <w:r>
              <w:rPr>
                <w:rFonts w:ascii="Times New Roman;serif" w:hAnsi="Times New Roman;serif"/>
                <w:b w:val="false"/>
                <w:color w:val="0D0D0D"/>
                <w:sz w:val="20"/>
              </w:rPr>
              <w:t>$0.00001 per share, 10,000,000 shares authorized; no shares issued and outstanding as of June 30, 2026 and September 30,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Class A common stock, $0.00001 par value per share, 1,200,000,000 shares authorized; 144,125,253 shares issued and 143,136,891 shares outstanding as of June 30, 2026; 132,014,571 shares issued and 131,164,365 shares outstanding as of September 30, 2025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B-1 common stock, $0.00001 par value per share, 134,325,805 shares authorized; 41,432,781 and 51,499,195 shares issued and outstanding as of June 30, 2026 and September 30,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B-2 common stock, $0.00001 par value per share, 200,000,000 shares authorized; 0 shares issued and outstanding as of June 30, 2026 and September 30,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Fluence Energy, Inc.</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2,357,000 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(U.S. Dollars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26"/>
        <w:gridCol w:w="1138"/>
        <w:gridCol w:w="1142"/>
        <w:gridCol w:w="283"/>
        <w:gridCol w:w="903"/>
        <w:gridCol w:w="126"/>
        <w:gridCol w:w="126"/>
        <w:gridCol w:w="126"/>
        <w:gridCol w:w="126"/>
        <w:gridCol w:w="290"/>
        <w:gridCol w:w="896"/>
        <w:gridCol w:w="135"/>
        <w:gridCol w:w="109"/>
        <w:gridCol w:w="109"/>
        <w:gridCol w:w="109"/>
        <w:gridCol w:w="254"/>
        <w:gridCol w:w="932"/>
        <w:gridCol w:w="160"/>
        <w:gridCol w:w="119"/>
        <w:gridCol w:w="119"/>
        <w:gridCol w:w="119"/>
        <w:gridCol w:w="283"/>
        <w:gridCol w:w="903"/>
        <w:gridCol w:w="172"/>
      </w:tblGrid>
      <w:tr>
        <w:trPr/>
        <w:tc>
          <w:tcPr>
            <w:tcW w:w="152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600,180</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566,926</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1,317,908</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947,532</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272,065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273,407</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31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649,848</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1,589,973</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616,607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1,487,053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1,068,057</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1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33,241</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89,099</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102,920</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152,882</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1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23,740</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63,351</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70,600</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59,213</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1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37,735</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116,809</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113,722</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312"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312"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(43,504)</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11,471</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(141,677)</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(91,182)</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(136,103)</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(92,051)</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(37,289)</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(25,791)</w:t>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Fluence Energy, Inc.</w:t>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(32,817)</w:t>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6,252</w:t>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(98,814)</w:t>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(66,260)</w:t>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Class A common shares outstanding:</w:t>
            </w:r>
          </w:p>
        </w:tc>
        <w:tc>
          <w:tcPr>
            <w:tcW w:w="1312"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138,129,139 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130,723,258 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134,060,941 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138,129,139 </w:t>
            </w:r>
          </w:p>
        </w:tc>
        <w:tc>
          <w:tcPr>
            <w:tcW w:w="12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183,645,493 </w:t>
            </w:r>
          </w:p>
        </w:tc>
        <w:tc>
          <w:tcPr>
            <w:tcW w:w="13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134,060,941 </w:t>
            </w:r>
          </w:p>
        </w:tc>
        <w:tc>
          <w:tcPr>
            <w:tcW w:w="160"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130,062,109 </w:t>
            </w:r>
          </w:p>
        </w:tc>
        <w:tc>
          <w:tcPr>
            <w:tcW w:w="172"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per share of Class A common stock:</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D2ED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8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2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35"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60"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72"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10205" w:type="dxa"/>
        <w:jc w:val="left"/>
        <w:tblInd w:w="0" w:type="dxa"/>
        <w:tblLayout w:type="fixed"/>
        <w:tblCellMar>
          <w:top w:w="28" w:type="dxa"/>
          <w:left w:w="28" w:type="dxa"/>
          <w:bottom w:w="28" w:type="dxa"/>
          <w:right w:w="28" w:type="dxa"/>
        </w:tblCellMar>
      </w:tblPr>
      <w:tblGrid>
        <w:gridCol w:w="1789"/>
        <w:gridCol w:w="1434"/>
        <w:gridCol w:w="1408"/>
        <w:gridCol w:w="219"/>
        <w:gridCol w:w="811"/>
        <w:gridCol w:w="113"/>
        <w:gridCol w:w="113"/>
        <w:gridCol w:w="113"/>
        <w:gridCol w:w="113"/>
        <w:gridCol w:w="219"/>
        <w:gridCol w:w="750"/>
        <w:gridCol w:w="113"/>
        <w:gridCol w:w="109"/>
        <w:gridCol w:w="109"/>
        <w:gridCol w:w="109"/>
        <w:gridCol w:w="211"/>
        <w:gridCol w:w="884"/>
        <w:gridCol w:w="109"/>
        <w:gridCol w:w="109"/>
        <w:gridCol w:w="109"/>
        <w:gridCol w:w="109"/>
        <w:gridCol w:w="211"/>
        <w:gridCol w:w="779"/>
        <w:gridCol w:w="162"/>
      </w:tblGrid>
      <w:tr>
        <w:trPr/>
        <w:tc>
          <w:tcPr>
            <w:tcW w:w="178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4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foreign currency translation, net of tax</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cash flow hedges, net of tax</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non-controlling interest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income attributable to Fluence Energy, Inc.</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(52,607)</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FLUENCE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(U.S. Dollars in Thousands)</w:t>
      </w:r>
    </w:p>
    <w:tbl>
      <w:tblPr>
        <w:tblW w:w="10205" w:type="dxa"/>
        <w:jc w:val="center"/>
        <w:tblInd w:w="0" w:type="dxa"/>
        <w:tblLayout w:type="fixed"/>
        <w:tblCellMar>
          <w:top w:w="28" w:type="dxa"/>
          <w:left w:w="28" w:type="dxa"/>
          <w:bottom w:w="28" w:type="dxa"/>
          <w:right w:w="28" w:type="dxa"/>
        </w:tblCellMar>
      </w:tblPr>
      <w:tblGrid>
        <w:gridCol w:w="2744"/>
        <w:gridCol w:w="2358"/>
        <w:gridCol w:w="2374"/>
        <w:gridCol w:w="211"/>
        <w:gridCol w:w="889"/>
        <w:gridCol w:w="109"/>
        <w:gridCol w:w="109"/>
        <w:gridCol w:w="109"/>
        <w:gridCol w:w="109"/>
        <w:gridCol w:w="211"/>
        <w:gridCol w:w="826"/>
        <w:gridCol w:w="156"/>
      </w:tblGrid>
      <w:tr>
        <w:trPr/>
        <w:tc>
          <w:tcPr>
            <w:tcW w:w="2744"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7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09"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D2EDF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0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provision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15,459 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0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(85,919)</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22,357 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related parties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(38,415)</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(469,694)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(75,985)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20,524 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(22,215)</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(180,842)</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with related parties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318,984 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264,498 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provisions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(56,187)</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12,121 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0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on software and other</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note receivable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equity method investment</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09"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withheld related to settlement of employee taxes for stock-based compensation awards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2030 Convertible Senior Notes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Capped Calls related to 2030 Convertible Senior Notes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debt issuance costs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under supply chain financing arrangements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obligations under supply chain financing arrangements</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(24,751)</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AES Grid Stability</w:t>
            </w:r>
          </w:p>
        </w:tc>
        <w:tc>
          <w:tcPr>
            <w:tcW w:w="1100"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100"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72,055 </w:t>
            </w:r>
          </w:p>
        </w:tc>
        <w:tc>
          <w:tcPr>
            <w:tcW w:w="109"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358,645 </w:t>
            </w:r>
          </w:p>
        </w:tc>
        <w:tc>
          <w:tcPr>
            <w:tcW w:w="156" w:type="dxa"/>
            <w:tcBorders>
              <w:top w:val="single" w:sz="8"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100" w:type="dxa"/>
            <w:gridSpan w:val="2"/>
            <w:tcBorders>
              <w:top w:val="single" w:sz="4"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(349,672)</w:t>
            </w:r>
          </w:p>
        </w:tc>
        <w:tc>
          <w:tcPr>
            <w:tcW w:w="109" w:type="dxa"/>
            <w:tcBorders>
              <w:top w:val="single" w:sz="4"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D2EDF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(58,818)</w:t>
            </w:r>
          </w:p>
        </w:tc>
        <w:tc>
          <w:tcPr>
            <w:tcW w:w="156" w:type="dxa"/>
            <w:tcBorders>
              <w:top w:val="single" w:sz="4" w:space="0" w:color="000000"/>
            </w:tcBorders>
            <w:shd w:fill="D2EDF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beginning of the period</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as of the end of the period</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364,958 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459,888 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Flows Information</w:t>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14,112 </w:t>
            </w:r>
          </w:p>
        </w:tc>
        <w:tc>
          <w:tcPr>
            <w:tcW w:w="109"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ED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D2EDF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7,876 </w:t>
            </w:r>
          </w:p>
        </w:tc>
        <w:tc>
          <w:tcPr>
            <w:tcW w:w="156" w:type="dxa"/>
            <w:tcBorders/>
            <w:shd w:fill="D2ED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(refund) on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FLUENCE ENERGY,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OPERATING METRICS (UNAUDITED)</w:t>
      </w:r>
    </w:p>
    <w:p>
      <w:pPr>
        <w:pStyle w:val="TextBody"/>
        <w:bidi w:val="0"/>
        <w:spacing w:lineRule="auto" w:line="26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key operating metrics as of June 30, 2026 and September 30, 2025. The tables below present the metrics in either Gigawatts (GW) or Gigawatt hours (GWh). Our key operating metrics focus on project milestones to measure our performance and designate each project as either “deployed”, “assets under management”, “contracted backlog”, or “pipeline”. </w:t>
      </w:r>
    </w:p>
    <w:tbl>
      <w:tblPr>
        <w:tblW w:w="9615" w:type="dxa"/>
        <w:jc w:val="left"/>
        <w:tblInd w:w="0" w:type="dxa"/>
        <w:tblLayout w:type="fixed"/>
        <w:tblCellMar>
          <w:top w:w="28" w:type="dxa"/>
          <w:left w:w="28" w:type="dxa"/>
          <w:bottom w:w="28" w:type="dxa"/>
          <w:right w:w="28" w:type="dxa"/>
        </w:tblCellMar>
      </w:tblPr>
      <w:tblGrid>
        <w:gridCol w:w="1243"/>
        <w:gridCol w:w="1094"/>
        <w:gridCol w:w="1098"/>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Deployed (GWh)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 (GW)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4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(GWh)</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bl>
    <w:tbl>
      <w:tblPr>
        <w:tblW w:w="8429"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2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bl>
    <w:tbl>
      <w:tblPr>
        <w:tblW w:w="8429" w:type="dxa"/>
        <w:jc w:val="left"/>
        <w:tblInd w:w="0" w:type="dxa"/>
        <w:tblLayout w:type="fixed"/>
        <w:tblCellMar>
          <w:top w:w="28" w:type="dxa"/>
          <w:left w:w="28" w:type="dxa"/>
          <w:bottom w:w="28" w:type="dxa"/>
          <w:right w:w="28" w:type="dxa"/>
        </w:tblCellMar>
      </w:tblPr>
      <w:tblGrid>
        <w:gridCol w:w="814"/>
        <w:gridCol w:w="715"/>
        <w:gridCol w:w="720"/>
        <w:gridCol w:w="109"/>
        <w:gridCol w:w="109"/>
        <w:gridCol w:w="109"/>
        <w:gridCol w:w="424"/>
        <w:gridCol w:w="424"/>
        <w:gridCol w:w="426"/>
        <w:gridCol w:w="109"/>
        <w:gridCol w:w="109"/>
        <w:gridCol w:w="109"/>
        <w:gridCol w:w="589"/>
        <w:gridCol w:w="589"/>
        <w:gridCol w:w="591"/>
        <w:gridCol w:w="109"/>
        <w:gridCol w:w="109"/>
        <w:gridCol w:w="109"/>
        <w:gridCol w:w="264"/>
        <w:gridCol w:w="264"/>
        <w:gridCol w:w="266"/>
        <w:gridCol w:w="109"/>
        <w:gridCol w:w="109"/>
        <w:gridCol w:w="109"/>
        <w:gridCol w:w="303"/>
        <w:gridCol w:w="303"/>
        <w:gridCol w:w="42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Change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Digital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under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2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lineRule="auto" w:line="26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order intake for the three and nine months ended June 30, 2026 and 2025. The table is presented in Gigawatts (GW):</w:t>
      </w:r>
    </w:p>
    <w:tbl>
      <w:tblPr>
        <w:tblW w:w="10205" w:type="dxa"/>
        <w:jc w:val="left"/>
        <w:tblInd w:w="0" w:type="dxa"/>
        <w:tblLayout w:type="fixed"/>
        <w:tblCellMar>
          <w:top w:w="28" w:type="dxa"/>
          <w:left w:w="28" w:type="dxa"/>
          <w:bottom w:w="28" w:type="dxa"/>
          <w:right w:w="28" w:type="dxa"/>
        </w:tblCellMar>
      </w:tblPr>
      <w:tblGrid>
        <w:gridCol w:w="674"/>
        <w:gridCol w:w="496"/>
        <w:gridCol w:w="499"/>
        <w:gridCol w:w="109"/>
        <w:gridCol w:w="109"/>
        <w:gridCol w:w="109"/>
        <w:gridCol w:w="291"/>
        <w:gridCol w:w="170"/>
        <w:gridCol w:w="158"/>
        <w:gridCol w:w="158"/>
        <w:gridCol w:w="158"/>
        <w:gridCol w:w="158"/>
        <w:gridCol w:w="291"/>
        <w:gridCol w:w="170"/>
        <w:gridCol w:w="158"/>
        <w:gridCol w:w="109"/>
        <w:gridCol w:w="109"/>
        <w:gridCol w:w="109"/>
        <w:gridCol w:w="250"/>
        <w:gridCol w:w="250"/>
        <w:gridCol w:w="251"/>
        <w:gridCol w:w="109"/>
        <w:gridCol w:w="109"/>
        <w:gridCol w:w="109"/>
        <w:gridCol w:w="271"/>
        <w:gridCol w:w="271"/>
        <w:gridCol w:w="272"/>
        <w:gridCol w:w="109"/>
        <w:gridCol w:w="109"/>
        <w:gridCol w:w="109"/>
        <w:gridCol w:w="278"/>
        <w:gridCol w:w="176"/>
        <w:gridCol w:w="154"/>
        <w:gridCol w:w="154"/>
        <w:gridCol w:w="154"/>
        <w:gridCol w:w="154"/>
        <w:gridCol w:w="278"/>
        <w:gridCol w:w="176"/>
        <w:gridCol w:w="154"/>
        <w:gridCol w:w="109"/>
        <w:gridCol w:w="109"/>
        <w:gridCol w:w="109"/>
        <w:gridCol w:w="250"/>
        <w:gridCol w:w="250"/>
        <w:gridCol w:w="251"/>
        <w:gridCol w:w="109"/>
        <w:gridCol w:w="109"/>
        <w:gridCol w:w="109"/>
        <w:gridCol w:w="251"/>
        <w:gridCol w:w="251"/>
        <w:gridCol w:w="366"/>
      </w:tblGrid>
      <w:tr>
        <w:trPr/>
        <w:tc>
          <w:tcPr>
            <w:tcW w:w="67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6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(amounts in GW)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Energy Storage Products and Solutions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1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Digital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Contracted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4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4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Deployed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Deployed represents cumulative energy storage products and solutions that have achieved substantial completion and are not decommissioned. Deployed is monitored by management to measure our performance towards achieving project milestones.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Assets Under Management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Assets under management for service contracts represents our long-term service contracts with customers associated with our completed energy storage system products and solutions. In general, we start providing maintenance, monitoring, or other operational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services after the storage product projects are completed.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Contracted Backlog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contracted backlog will result in actual revenue in the originally anticipated period or at all. Contracted backlog may not generate margins equal to our historical operating results. Our customers may experience project delays or cancel orders as a result of external market factors and economic or other factors beyond our control. If our contracted backlog fails to result in revenue as anticipated or in a timely manner, we could experience a reduction in revenue, profitability, and liquidity.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Contracted/Order Intake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Contracted, which we use interchangeably with “order intake”, represents new energy storage product and solutions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 and enables evaluation of the effectiveness of the Company’s sales activity and the attractiveness of its offerings in the market. </w:t>
      </w:r>
    </w:p>
    <w:p>
      <w:pPr>
        <w:pStyle w:val="TextBody"/>
        <w:bidi w:val="0"/>
        <w:spacing w:lineRule="auto" w:line="288" w:before="160" w:after="283"/>
        <w:jc w:val="both"/>
        <w:rPr/>
      </w:pPr>
      <w:r>
        <w:rPr>
          <w:rFonts w:ascii="Times New Roman;serif" w:hAnsi="Times New Roman;serif"/>
          <w:b/>
          <w:i/>
          <w:color w:val="000000"/>
          <w:sz w:val="20"/>
        </w:rPr>
        <w:t>Pipeline</w:t>
      </w:r>
      <w:r>
        <w:rPr>
          <w:color w:val="000000"/>
        </w:rPr>
        <w:t xml:space="preserve"> </w:t>
      </w:r>
    </w:p>
    <w:p>
      <w:pPr>
        <w:pStyle w:val="TextBody"/>
        <w:bidi w:val="0"/>
        <w:spacing w:lineRule="auto" w:line="288" w:before="160" w:after="283"/>
        <w:ind w:left="0" w:right="0" w:firstLine="360"/>
        <w:jc w:val="both"/>
        <w:rPr/>
      </w:pPr>
      <w:r>
        <w:rPr>
          <w:rFonts w:ascii="Times New Roman;serif" w:hAnsi="Times New Roman;serif"/>
          <w:b w:val="false"/>
          <w:color w:val="000000"/>
          <w:sz w:val="20"/>
          <w:shd w:fill="FFFFFF" w:val="clear"/>
        </w:rPr>
        <w:t xml:space="preserve">Pipeline represents our uncontracted, potential revenue from energy storage products and solutions, service, and digital software contracts, which have a reasonable likelihood of contract execution within 24 months. </w:t>
      </w:r>
      <w:r>
        <w:rPr>
          <w:rFonts w:ascii="Times New Roman;serif" w:hAnsi="Times New Roman;serif"/>
          <w:b w:val="false"/>
          <w:color w:val="000000"/>
          <w:sz w:val="20"/>
        </w:rPr>
        <w:t xml:space="preserve">Pipeline is an internal management metric that we construct from market information reported by our global sales force. </w:t>
      </w:r>
      <w:r>
        <w:rPr>
          <w:rFonts w:ascii="Times New Roman;serif" w:hAnsi="Times New Roman;serif"/>
          <w:b w:val="false"/>
          <w:color w:val="000000"/>
          <w:sz w:val="20"/>
          <w:shd w:fill="FFFFFF" w:val="clear"/>
        </w:rPr>
        <w:t xml:space="preserve">Pipeline is monitored by management to understand the anticipated growth of our Company and our estimated future revenue related to customer contracts for our battery-based energy storage products and solutions, services and digital software.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pipeline will result in actual revenue in the originally anticipated period or at all. Pipeline may not generate margins equal to our historical operating results. Our customers may experience project delays or cancel orders as a result of external market factors and economic or other factors beyond our control. If our pipeline fails to result in revenue as anticipated or in a timely manner, we could experience a reduction in revenue, profitability, and liquidity. </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Annual Recurring Revenue (ARR)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represents the net annualized contracted value including software subscriptions including initial trial, licensing, long term service agreements, and extended warranty agreements as of the reporting period. ARR excludes one-time fees, revenue share or other revenue that is non-recurring and variable. The Company believes ARR is an important operating metric as it provides visibility to future revenue. It is important to management to increase this visibility as we continue to expand. ARR is not a forecast of future revenue and should be viewed independently of revenue and deferred revenue as ARR is an operating metric and is not intended to replace these items.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40" w:before="240" w:after="283"/>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FLUENCE ENERGY, INC.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RECONCILIATION OF GAAP TO NON-GAAP MEASURES (UNAUDITED)</w:t>
      </w:r>
    </w:p>
    <w:p>
      <w:pPr>
        <w:pStyle w:val="TextBody"/>
        <w:bidi w:val="0"/>
        <w:spacing w:before="160" w:after="283"/>
        <w:ind w:left="0" w:right="0" w:firstLine="360"/>
        <w:jc w:val="both"/>
        <w:rPr/>
      </w:pPr>
      <w:r>
        <w:rPr/>
      </w:r>
    </w:p>
    <w:p>
      <w:pPr>
        <w:pStyle w:val="TextBody"/>
        <w:bidi w:val="0"/>
        <w:spacing w:lineRule="auto" w:line="240"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our non-GAAP measures for the periods indicated. </w:t>
      </w:r>
    </w:p>
    <w:tbl>
      <w:tblPr>
        <w:tblW w:w="8657" w:type="dxa"/>
        <w:jc w:val="center"/>
        <w:tblInd w:w="0" w:type="dxa"/>
        <w:tblLayout w:type="fixed"/>
        <w:tblCellMar>
          <w:top w:w="28" w:type="dxa"/>
          <w:left w:w="28" w:type="dxa"/>
          <w:bottom w:w="28" w:type="dxa"/>
          <w:right w:w="28" w:type="dxa"/>
        </w:tblCellMar>
      </w:tblPr>
      <w:tblGrid>
        <w:gridCol w:w="967"/>
        <w:gridCol w:w="850"/>
        <w:gridCol w:w="853"/>
        <w:gridCol w:w="109"/>
        <w:gridCol w:w="109"/>
        <w:gridCol w:w="109"/>
        <w:gridCol w:w="223"/>
        <w:gridCol w:w="841"/>
        <w:gridCol w:w="115"/>
        <w:gridCol w:w="115"/>
        <w:gridCol w:w="115"/>
        <w:gridCol w:w="115"/>
        <w:gridCol w:w="223"/>
        <w:gridCol w:w="762"/>
        <w:gridCol w:w="115"/>
        <w:gridCol w:w="109"/>
        <w:gridCol w:w="109"/>
        <w:gridCol w:w="109"/>
        <w:gridCol w:w="211"/>
        <w:gridCol w:w="901"/>
        <w:gridCol w:w="109"/>
        <w:gridCol w:w="109"/>
        <w:gridCol w:w="109"/>
        <w:gridCol w:w="109"/>
        <w:gridCol w:w="211"/>
        <w:gridCol w:w="79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6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2025</w:t>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(44,276)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non-recurring expenses</w:t>
            </w:r>
            <w:r>
              <w:rPr>
                <w:rFonts w:ascii="Times New Roman;serif" w:hAnsi="Times New Roman;serif"/>
                <w:b w:val="false"/>
                <w:i/>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 xml:space="preserve">Adjusted EBITDA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(29,296)</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40" w:after="283"/>
        <w:jc w:val="both"/>
        <w:rPr>
          <w:rFonts w:ascii="Times New Roman;serif" w:hAnsi="Times New Roman;serif"/>
          <w:b w:val="false"/>
          <w:i/>
          <w:color w:val="000000"/>
          <w:sz w:val="16"/>
        </w:rPr>
      </w:pPr>
      <w:r>
        <w:rPr>
          <w:rFonts w:ascii="Times New Roman;serif" w:hAnsi="Times New Roman;serif"/>
          <w:b w:val="false"/>
          <w:i/>
          <w:color w:val="000000"/>
          <w:sz w:val="16"/>
        </w:rPr>
        <w:t>(a) Amount for the three months ended June 30, 2026 includes $0.5 million for secondary offering expenses and $0.5 million for legal and consulting fees related to potential strategic transactions. Amount for the three months ended June 30, 2025 includes approximately $1.4 million in severance costs related to restructuring and $1.2 million in income as a result of a reduction of our Tax Receivable Agreement liability. Amounts for nine months ended June 30, 2026 includes approximately $3.8 million for legal and consulting fees related to potential strategic transactions, $0.5 million of impairment expense related to an equity method investment, and $0.5 million for secondary offering expenses. Amount for the nine months ended June 30, 2025 includes $4.5 million in severance costs related to restructuring and $1.2 million in income as a result of a reduction of our Tax Receivable Agreement liability.</w:t>
      </w:r>
    </w:p>
    <w:tbl>
      <w:tblPr>
        <w:tblW w:w="9515" w:type="dxa"/>
        <w:jc w:val="center"/>
        <w:tblInd w:w="0" w:type="dxa"/>
        <w:tblLayout w:type="fixed"/>
        <w:tblCellMar>
          <w:top w:w="28" w:type="dxa"/>
          <w:left w:w="28" w:type="dxa"/>
          <w:bottom w:w="28" w:type="dxa"/>
          <w:right w:w="28" w:type="dxa"/>
        </w:tblCellMar>
      </w:tblPr>
      <w:tblGrid>
        <w:gridCol w:w="1037"/>
        <w:gridCol w:w="911"/>
        <w:gridCol w:w="917"/>
        <w:gridCol w:w="109"/>
        <w:gridCol w:w="109"/>
        <w:gridCol w:w="109"/>
        <w:gridCol w:w="367"/>
        <w:gridCol w:w="224"/>
        <w:gridCol w:w="557"/>
        <w:gridCol w:w="189"/>
        <w:gridCol w:w="189"/>
        <w:gridCol w:w="189"/>
        <w:gridCol w:w="367"/>
        <w:gridCol w:w="224"/>
        <w:gridCol w:w="557"/>
        <w:gridCol w:w="109"/>
        <w:gridCol w:w="109"/>
        <w:gridCol w:w="109"/>
        <w:gridCol w:w="346"/>
        <w:gridCol w:w="267"/>
        <w:gridCol w:w="664"/>
        <w:gridCol w:w="178"/>
        <w:gridCol w:w="178"/>
        <w:gridCol w:w="178"/>
        <w:gridCol w:w="346"/>
        <w:gridCol w:w="250"/>
        <w:gridCol w:w="726"/>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28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r>
      <w:tr>
        <w:trPr/>
        <w:tc>
          <w:tcPr>
            <w:tcW w:w="28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649,848</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1,589,973</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1,220,939</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616,607</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1,487,053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1,068,057</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33,241</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102,920</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152,882</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non-recurring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38,625</w:t>
            </w:r>
          </w:p>
        </w:tc>
        <w:tc>
          <w:tcPr>
            <w:tcW w:w="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116,772</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161,030</w:t>
            </w:r>
          </w:p>
        </w:tc>
      </w:tr>
      <w:tr>
        <w:trPr/>
        <w:tc>
          <w:tcPr>
            <w:tcW w:w="28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Gross Profit Margin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689" w:type="dxa"/>
        <w:jc w:val="center"/>
        <w:tblInd w:w="0" w:type="dxa"/>
        <w:tblLayout w:type="fixed"/>
        <w:tblCellMar>
          <w:top w:w="28" w:type="dxa"/>
          <w:left w:w="28" w:type="dxa"/>
          <w:bottom w:w="28" w:type="dxa"/>
          <w:right w:w="28" w:type="dxa"/>
        </w:tblCellMar>
      </w:tblPr>
      <w:tblGrid>
        <w:gridCol w:w="2292"/>
        <w:gridCol w:w="2015"/>
        <w:gridCol w:w="2023"/>
        <w:gridCol w:w="109"/>
        <w:gridCol w:w="109"/>
        <w:gridCol w:w="109"/>
        <w:gridCol w:w="211"/>
        <w:gridCol w:w="901"/>
        <w:gridCol w:w="109"/>
        <w:gridCol w:w="109"/>
        <w:gridCol w:w="109"/>
        <w:gridCol w:w="109"/>
        <w:gridCol w:w="211"/>
        <w:gridCol w:w="901"/>
        <w:gridCol w:w="109"/>
        <w:gridCol w:w="109"/>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6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 Purchases under supply chain 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Repayments of obligations under supply chain financing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Free Cash Flow</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6196</Words>
  <Characters>36156</Characters>
  <CharactersWithSpaces>41709</CharactersWithSpaces>
  <Paragraphs>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