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lnc-20260331x10q.htm"/>
        <w:bookmarkStart w:id="1" w:name="ksflnc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1456545_d7c3_4f96_82d8_a5c6561375a7"/>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left"/>
        <w:rPr/>
      </w:pPr>
      <w:r>
        <w:rPr/>
        <w:t>​</w:t>
      </w:r>
    </w:p>
    <w:p>
      <w:pPr>
        <w:pStyle w:val="TextBody"/>
        <w:pBdr/>
        <w:bidi w:val="0"/>
        <w:spacing w:before="0" w:after="30"/>
        <w:ind w:left="60" w:right="0" w:hanging="405"/>
        <w:jc w:val="left"/>
        <w:rPr/>
      </w:pPr>
      <w:r>
        <w:rPr/>
        <w:t>☒    </w:t>
      </w:r>
      <w:r>
        <w:rPr>
          <w:rFonts w:ascii="Times New Roman;Times;serif" w:hAnsi="Times New Roman;Times;serif"/>
          <w:b/>
          <w:sz w:val="18"/>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TextBody"/>
        <w:pBdr/>
        <w:bidi w:val="0"/>
        <w:spacing w:before="0" w:after="30"/>
        <w:ind w:left="60" w:right="0" w:hanging="405"/>
        <w:jc w:val="left"/>
        <w:rPr/>
      </w:pPr>
      <w:r>
        <w:rPr/>
        <w:t>☐     </w:t>
      </w:r>
      <w:r>
        <w:rPr>
          <w:rFonts w:ascii="Times New Roman;Times;serif" w:hAnsi="Times New Roman;Times;serif"/>
          <w:b/>
          <w:sz w:val="18"/>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20"/>
        <w:ind w:left="0" w:right="0" w:hanging="0"/>
        <w:jc w:val="center"/>
        <w:rPr>
          <w:rFonts w:ascii="Times New Roman;Times;serif" w:hAnsi="Times New Roman;Times;serif"/>
          <w:sz w:val="20"/>
        </w:rPr>
      </w:pPr>
      <w:r>
        <w:rPr>
          <w:rFonts w:ascii="Times New Roman;Times;serif" w:hAnsi="Times New Roman;Times;serif"/>
          <w:b/>
          <w:sz w:val="20"/>
        </w:rPr>
        <w:t>For the transition period from</w:t>
      </w:r>
      <w:r>
        <w:rPr>
          <w:rFonts w:ascii="Times New Roman;Times;serif" w:hAnsi="Times New Roman;Times;serif"/>
          <w:sz w:val="20"/>
        </w:rPr>
        <w:t>                 </w:t>
      </w:r>
      <w:r>
        <w:rPr>
          <w:rFonts w:ascii="Times New Roman;Times;serif" w:hAnsi="Times New Roman;Times;serif"/>
          <w:b/>
          <w:sz w:val="20"/>
        </w:rPr>
        <w:t>to                 </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number 001-40978</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Fluence Energy,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lCftuEhRUazg3dyEHp9xw_2_1"/>
      <w:bookmarkStart w:id="4" w:name="Tc_WdHv5qn9AEqWTAwbA68jng_2_0"/>
      <w:bookmarkStart w:id="5" w:name="_b7131597_559a_4ec1_9320_c08f94cfcf1a"/>
      <w:bookmarkStart w:id="6" w:name="Tc_alCftuEhRUazg3dyEHp9xw_2_1"/>
      <w:bookmarkStart w:id="7" w:name="Tc_WdHv5qn9AEqWTAwbA68jng_2_0"/>
      <w:bookmarkStart w:id="8" w:name="_b7131597_559a_4ec1_9320_c08f94cfcf1a"/>
      <w:bookmarkEnd w:id="6"/>
      <w:bookmarkEnd w:id="7"/>
      <w:bookmarkEnd w:id="8"/>
    </w:p>
    <w:tbl>
      <w:tblPr>
        <w:tblW w:w="4232" w:type="dxa"/>
        <w:jc w:val="left"/>
        <w:tblInd w:w="0" w:type="dxa"/>
        <w:tblLayout w:type="fixed"/>
        <w:tblCellMar>
          <w:top w:w="0" w:type="dxa"/>
          <w:left w:w="0" w:type="dxa"/>
          <w:bottom w:w="0" w:type="dxa"/>
          <w:right w:w="0" w:type="dxa"/>
        </w:tblCellMar>
      </w:tblPr>
      <w:tblGrid>
        <w:gridCol w:w="2581"/>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2" name="Frame2"/>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87-1304612</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aVPIbG6xy0e0lS7KXIpjeA_2_1"/>
      <w:bookmarkStart w:id="10" w:name="Tc_yYaW0Wo8v0SVUfyRt3z34g_2_0"/>
      <w:bookmarkStart w:id="11" w:name="Tc_CruVTpm880S2ygx4rRflqQ_1_0"/>
      <w:bookmarkStart w:id="12" w:name="_423996d8_6843_461f_b973_8fac79e01974"/>
      <w:bookmarkStart w:id="13" w:name="Tc_aVPIbG6xy0e0lS7KXIpjeA_2_1"/>
      <w:bookmarkStart w:id="14" w:name="Tc_yYaW0Wo8v0SVUfyRt3z34g_2_0"/>
      <w:bookmarkStart w:id="15" w:name="Tc_CruVTpm880S2ygx4rRflqQ_1_0"/>
      <w:bookmarkStart w:id="16" w:name="_423996d8_6843_461f_b973_8fac79e01974"/>
      <w:bookmarkEnd w:id="13"/>
      <w:bookmarkEnd w:id="14"/>
      <w:bookmarkEnd w:id="15"/>
      <w:bookmarkEnd w:id="16"/>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34235" cy="350520"/>
                      <wp:effectExtent l="0" t="0" r="0" b="0"/>
                      <wp:wrapNone/>
                      <wp:docPr id="3" name="Frame3"/>
                      <a:graphic xmlns:a="http://schemas.openxmlformats.org/drawingml/2006/main">
                        <a:graphicData uri="http://schemas.microsoft.com/office/word/2010/wordprocessingShape">
                          <wps:wsp>
                            <wps:cNvSpPr txBox="1"/>
                            <wps:spPr>
                              <a:xfrm>
                                <a:off x="0" y="0"/>
                                <a:ext cx="2134235"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57860" cy="175260"/>
                      <wp:effectExtent l="0" t="0" r="0" b="0"/>
                      <wp:wrapNone/>
                      <wp:docPr id="4" name="Frame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4601 Fairfax Drive, Suite 600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Arlington, Virginia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22203</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(833) 358-3623</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0gjhRTJ-FEWWzkk7LfrndA_1_2"/>
      <w:bookmarkStart w:id="18" w:name="Tc_DPDpuTM7gEakv3XBv2xFsg_1_1"/>
      <w:bookmarkStart w:id="19" w:name="Tc_RKnOOfeEgEa9MA02Cf6qLQ_1_0"/>
      <w:bookmarkStart w:id="20" w:name="_f32f2582_8eb3_4872_8873_c6b816138a54"/>
      <w:bookmarkStart w:id="21" w:name="Tc_0gjhRTJ-FEWWzkk7LfrndA_1_2"/>
      <w:bookmarkStart w:id="22" w:name="Tc_DPDpuTM7gEakv3XBv2xFsg_1_1"/>
      <w:bookmarkStart w:id="23" w:name="Tc_RKnOOfeEgEa9MA02Cf6qLQ_1_0"/>
      <w:bookmarkStart w:id="24" w:name="_f32f2582_8eb3_4872_8873_c6b816138a54"/>
      <w:bookmarkEnd w:id="21"/>
      <w:bookmarkEnd w:id="22"/>
      <w:bookmarkEnd w:id="23"/>
      <w:bookmarkEnd w:id="24"/>
    </w:p>
    <w:tbl>
      <w:tblPr>
        <w:tblW w:w="9153" w:type="dxa"/>
        <w:jc w:val="left"/>
        <w:tblInd w:w="0" w:type="dxa"/>
        <w:tblLayout w:type="fixed"/>
        <w:tblCellMar>
          <w:top w:w="0" w:type="dxa"/>
          <w:left w:w="0" w:type="dxa"/>
          <w:bottom w:w="0" w:type="dxa"/>
          <w:right w:w="0" w:type="dxa"/>
        </w:tblCellMar>
      </w:tblPr>
      <w:tblGrid>
        <w:gridCol w:w="3631"/>
        <w:gridCol w:w="1696"/>
        <w:gridCol w:w="382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05685" cy="175260"/>
                      <wp:effectExtent l="0" t="0" r="0" b="0"/>
                      <wp:wrapNone/>
                      <wp:docPr id="5" name="Frame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76960" cy="175260"/>
                      <wp:effectExtent l="0" t="0" r="0" b="0"/>
                      <wp:wrapNone/>
                      <wp:docPr id="6" name="Frame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429510" cy="175260"/>
                      <wp:effectExtent l="0" t="0" r="0" b="0"/>
                      <wp:wrapNone/>
                      <wp:docPr id="7" name="Frame7"/>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$0.00001 par value</w:t>
            </w:r>
          </w:p>
        </w:tc>
        <w:tc>
          <w:tcPr>
            <w:tcW w:w="16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FLNC</w:t>
            </w:r>
          </w:p>
        </w:tc>
        <w:tc>
          <w:tcPr>
            <w:tcW w:w="38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olor w:val="0D0D0D"/>
                <w:sz w:val="20"/>
              </w:rPr>
            </w:pPr>
            <w:r>
              <w:rPr>
                <w:rFonts w:ascii="Times New Roman;Times;serif" w:hAnsi="Times New Roman;Times;serif"/>
                <w:color w:val="0D0D0D"/>
                <w:sz w:val="20"/>
              </w:rPr>
              <w:t>The Nasdaq Global Select Market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Tc_YeyUlc9bBkWtXmavj6Mi8A_3_2"/>
      <w:bookmarkStart w:id="26" w:name="Tc_vONv40Tsx0itqss_mSxX6g_2_2"/>
      <w:bookmarkStart w:id="27" w:name="Tc_yMZvCXHWt0aTj1viWwIByQ_2_1"/>
      <w:bookmarkStart w:id="28" w:name="Tc_4GwDeepWWkan92uPc-q5MA_2_0"/>
      <w:bookmarkStart w:id="29" w:name="Tc_NhiCET7JAUum27SSg8pi3Q_1_3"/>
      <w:bookmarkStart w:id="30" w:name="Tc_p2EumnnfN0y1vj36gEpCWQ_1_1"/>
      <w:bookmarkStart w:id="31" w:name="Tc_DJJCksxPB0uEK2-7zGS7vQ_1_0"/>
      <w:bookmarkStart w:id="32" w:name="_b9174d3f_b775_46a8_b584_a618504acc91"/>
      <w:bookmarkStart w:id="33" w:name="Tc_YeyUlc9bBkWtXmavj6Mi8A_3_2"/>
      <w:bookmarkStart w:id="34" w:name="Tc_vONv40Tsx0itqss_mSxX6g_2_2"/>
      <w:bookmarkStart w:id="35" w:name="Tc_yMZvCXHWt0aTj1viWwIByQ_2_1"/>
      <w:bookmarkStart w:id="36" w:name="Tc_4GwDeepWWkan92uPc-q5MA_2_0"/>
      <w:bookmarkStart w:id="37" w:name="Tc_NhiCET7JAUum27SSg8pi3Q_1_3"/>
      <w:bookmarkStart w:id="38" w:name="Tc_p2EumnnfN0y1vj36gEpCWQ_1_1"/>
      <w:bookmarkStart w:id="39" w:name="Tc_DJJCksxPB0uEK2-7zGS7vQ_1_0"/>
      <w:bookmarkStart w:id="40" w:name="_b9174d3f_b775_46a8_b584_a618504acc91"/>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19835" cy="175260"/>
                      <wp:effectExtent l="0" t="0" r="0" b="0"/>
                      <wp:wrapNone/>
                      <wp:docPr id="8" name="Frame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0660" cy="175260"/>
                      <wp:effectExtent l="0" t="0" r="0" b="0"/>
                      <wp:wrapNone/>
                      <wp:docPr id="9" name="Frame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67485" cy="175260"/>
                      <wp:effectExtent l="0" t="0" r="0" b="0"/>
                      <wp:wrapNone/>
                      <wp:docPr id="10" name="Frame1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9235" cy="175260"/>
                      <wp:effectExtent l="0" t="0" r="0" b="0"/>
                      <wp:wrapNone/>
                      <wp:docPr id="11" name="Frame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w:t>
      </w:r>
      <w:r>
        <w:rPr>
          <w:rFonts w:ascii="Times New Roman;Times;serif" w:hAnsi="Times New Roman;Times;serif"/>
          <w:sz w:val="20"/>
        </w:rPr>
        <w:t>Yes ☐ No ☒</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May 1, 2026, the registrant had 132,811,490 shares of Class A common stock outstanding and 51,499,195 shares of Class B-1 common stock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790d5c4e_6356_4488_a8a5_3f09b4cb5f67"/>
      <w:bookmarkStart w:id="42" w:name="TOC"/>
      <w:bookmarkEnd w:id="41"/>
      <w:bookmarkEnd w:id="42"/>
      <w:r>
        <w:rPr>
          <w:rFonts w:ascii="Times New Roman;Times;serif" w:hAnsi="Times New Roman;Times;serif"/>
          <w:b/>
          <w:sz w:val="20"/>
        </w:rPr>
        <w:t>Table of Contents</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175260"/>
                      <wp:effectExtent l="0" t="0" r="0" b="0"/>
                      <wp:wrapNone/>
                      <wp:docPr id="14" name="Frame1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175260"/>
                      <wp:effectExtent l="0" t="0" r="0" b="0"/>
                      <wp:wrapNone/>
                      <wp:docPr id="15" name="Frame1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586740"/>
                      <wp:effectExtent l="0" t="0" r="0" b="0"/>
                      <wp:wrapNone/>
                      <wp:docPr id="17" name="Frame17"/>
                      <a:graphic xmlns:a="http://schemas.openxmlformats.org/drawingml/2006/main">
                        <a:graphicData uri="http://schemas.microsoft.com/office/word/2010/wordprocessingShape">
                          <wps:wsp>
                            <wps:cNvSpPr txBox="1"/>
                            <wps:spPr>
                              <a:xfrm>
                                <a:off x="0" y="0"/>
                                <a:ext cx="97790" cy="586740"/>
                              </a:xfrm>
                              <a:prstGeom prst="rect"/>
                              <a:solidFill>
                                <a:srgbClr val="FFFFFF"/>
                              </a:solidFill>
                            </wps:spPr>
                            <wps:txb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center"/>
                              <w:rPr>
                                <w:rFonts w:ascii="Times New Roman;Times;serif" w:hAnsi="Times New Roman;Times;serif"/>
                                <w:b/>
                                <w:sz w:val="20"/>
                              </w:rPr>
                            </w:pPr>
                            <w:r>
                              <w:rPr>
                                <w:rFonts w:ascii="Times New Roman;Times;serif" w:hAnsi="Times New Roman;Times;serif"/>
                                <w:b/>
                                <w:sz w:val="20"/>
                              </w:rPr>
                              <w:t>Page</w:t>
                            </w:r>
                          </w:p>
                        </w:txbxContent>
                      </v:textbox>
                      <w10:wrap type="none"/>
                    </v:rect>
                  </w:pict>
                </mc:Fallback>
              </mc:AlternateContent>
            </w:r>
          </w:p>
        </w:tc>
      </w:tr>
      <w:tr>
        <w:trPr/>
        <w:tc>
          <w:tcPr>
            <w:tcW w:w="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7955" cy="1906905"/>
                      <wp:effectExtent l="0" t="0" r="0" b="0"/>
                      <wp:wrapNone/>
                      <wp:docPr id="18" name="Frame18"/>
                      <a:graphic xmlns:a="http://schemas.openxmlformats.org/drawingml/2006/main">
                        <a:graphicData uri="http://schemas.microsoft.com/office/word/2010/wordprocessingShape">
                          <wps:wsp>
                            <wps:cNvSpPr txBox="1"/>
                            <wps:spPr>
                              <a:xfrm>
                                <a:off x="0" y="0"/>
                                <a:ext cx="147955" cy="1906905"/>
                              </a:xfrm>
                              <a:prstGeom prst="rect"/>
                              <a:solidFill>
                                <a:srgbClr val="FFFFFF"/>
                              </a:solidFill>
                            </wps:spPr>
                            <wps:txbx>
                              <w:txbxContent>
                                <w:p>
                                  <w:pPr>
                                    <w:pStyle w:val="TableContents"/>
                                    <w:bidi w:val="0"/>
                                    <w:spacing w:before="0" w:after="30"/>
                                    <w:ind w:left="0" w:right="0" w:hanging="0"/>
                                    <w:jc w:val="left"/>
                                    <w:rPr/>
                                  </w:pPr>
                                  <w:hyperlink w:anchor="PartIFinancialInformation_447994">
                                    <w:r>
                                      <w:rPr>
                                        <w:rStyle w:val="InternetLink"/>
                                        <w:rFonts w:ascii="Times New Roman;Times;serif" w:hAnsi="Times New Roman;Times;serif"/>
                                        <w:b/>
                                        <w:i w:val="false"/>
                                        <w:caps w:val="false"/>
                                        <w:smallCaps w:val="false"/>
                                        <w:sz w:val="20"/>
                                      </w:rPr>
                                      <w:t>Part I - 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PartIFinancialInformation_447994">
                              <w:r>
                                <w:rPr>
                                  <w:rStyle w:val="InternetLink"/>
                                  <w:rFonts w:ascii="Times New Roman;Times;serif" w:hAnsi="Times New Roman;Times;serif"/>
                                  <w:b/>
                                  <w:i w:val="false"/>
                                  <w:caps w:val="false"/>
                                  <w:smallCaps w:val="false"/>
                                  <w:sz w:val="20"/>
                                </w:rPr>
                                <w:t>Part I - Financial Information</w:t>
                              </w:r>
                            </w:hyperlink>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146685"/>
                      <wp:effectExtent l="0" t="0" r="0" b="0"/>
                      <wp:wrapNone/>
                      <wp:docPr id="19" name="Frame19"/>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8740" cy="880110"/>
                      <wp:effectExtent l="0" t="0" r="0" b="0"/>
                      <wp:wrapNone/>
                      <wp:docPr id="20" name="Frame20"/>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1FinancialStatements_339107">
                                    <w:r>
                                      <w:rPr>
                                        <w:rStyle w:val="InternetLink"/>
                                        <w:rFonts w:ascii="Times New Roman;Times;serif" w:hAnsi="Times New Roman;Times;serif"/>
                                        <w:b w:val="false"/>
                                        <w:i w:val="false"/>
                                        <w:caps w:val="false"/>
                                        <w:smallCaps w:val="false"/>
                                        <w:sz w:val="20"/>
                                      </w:rPr>
                                      <w:t>Item 1.</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FinancialStatements_339107">
                              <w:r>
                                <w:rPr>
                                  <w:rStyle w:val="InternetLink"/>
                                  <w:rFonts w:ascii="Times New Roman;Times;serif" w:hAnsi="Times New Roman;Times;serif"/>
                                  <w:b w:val="false"/>
                                  <w:i w:val="false"/>
                                  <w:caps w:val="false"/>
                                  <w:smallCaps w:val="false"/>
                                  <w:sz w:val="20"/>
                                </w:rPr>
                                <w:t>Item 1.</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4400550"/>
                      <wp:effectExtent l="0" t="0" r="0" b="0"/>
                      <wp:wrapNone/>
                      <wp:docPr id="21" name="Frame21"/>
                      <a:graphic xmlns:a="http://schemas.openxmlformats.org/drawingml/2006/main">
                        <a:graphicData uri="http://schemas.microsoft.com/office/word/2010/wordprocessingShape">
                          <wps:wsp>
                            <wps:cNvSpPr txBox="1"/>
                            <wps:spPr>
                              <a:xfrm>
                                <a:off x="0" y="0"/>
                                <a:ext cx="69215" cy="4400550"/>
                              </a:xfrm>
                              <a:prstGeom prst="rect"/>
                              <a:solidFill>
                                <a:srgbClr val="FFFFFF"/>
                              </a:solidFill>
                            </wps:spPr>
                            <wps:txbx>
                              <w:txbxContent>
                                <w:p>
                                  <w:pPr>
                                    <w:pStyle w:val="TableContents"/>
                                    <w:bidi w:val="0"/>
                                    <w:spacing w:before="0" w:after="30"/>
                                    <w:ind w:left="0" w:right="0" w:hanging="0"/>
                                    <w:jc w:val="left"/>
                                    <w:rPr/>
                                  </w:pPr>
                                  <w:hyperlink w:anchor="Item1FinancialStatements_339107">
                                    <w:r>
                                      <w:rPr>
                                        <w:rStyle w:val="InternetLink"/>
                                        <w:rFonts w:ascii="Times New Roman;Times;serif" w:hAnsi="Times New Roman;Times;serif"/>
                                        <w:b w:val="false"/>
                                        <w:i w:val="false"/>
                                        <w:caps w:val="false"/>
                                        <w:smallCaps w:val="false"/>
                                        <w:sz w:val="20"/>
                                      </w:rPr>
                                      <w:t>Financial Statements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4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FinancialStatements_339107">
                              <w:r>
                                <w:rPr>
                                  <w:rStyle w:val="InternetLink"/>
                                  <w:rFonts w:ascii="Times New Roman;Times;serif" w:hAnsi="Times New Roman;Times;serif"/>
                                  <w:b w:val="false"/>
                                  <w:i w:val="false"/>
                                  <w:caps w:val="false"/>
                                  <w:smallCaps w:val="false"/>
                                  <w:sz w:val="20"/>
                                </w:rPr>
                                <w:t>Financial Statements (Unaudited)</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46685"/>
                      <wp:effectExtent l="0" t="0" r="0" b="0"/>
                      <wp:wrapNone/>
                      <wp:docPr id="22" name="Frame2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8740" cy="175260"/>
                      <wp:effectExtent l="0" t="0" r="0" b="0"/>
                      <wp:wrapNone/>
                      <wp:docPr id="23" name="Frame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4987290"/>
                      <wp:effectExtent l="0" t="0" r="0" b="0"/>
                      <wp:wrapNone/>
                      <wp:docPr id="24" name="Frame24"/>
                      <a:graphic xmlns:a="http://schemas.openxmlformats.org/drawingml/2006/main">
                        <a:graphicData uri="http://schemas.microsoft.com/office/word/2010/wordprocessingShape">
                          <wps:wsp>
                            <wps:cNvSpPr txBox="1"/>
                            <wps:spPr>
                              <a:xfrm>
                                <a:off x="0" y="0"/>
                                <a:ext cx="69215" cy="4987290"/>
                              </a:xfrm>
                              <a:prstGeom prst="rect"/>
                              <a:solidFill>
                                <a:srgbClr val="FFFFFF"/>
                              </a:solidFill>
                            </wps:spPr>
                            <wps:txbx>
                              <w:txbxContent>
                                <w:p>
                                  <w:pPr>
                                    <w:pStyle w:val="TableContents"/>
                                    <w:bidi w:val="0"/>
                                    <w:spacing w:before="0" w:after="30"/>
                                    <w:ind w:left="0" w:right="0" w:hanging="0"/>
                                    <w:jc w:val="left"/>
                                    <w:rPr/>
                                  </w:pPr>
                                  <w:hyperlink w:anchor="CONDENSEDCONSOLIDATEDBALANCESHEETS_63403">
                                    <w:r>
                                      <w:rPr>
                                        <w:rStyle w:val="InternetLink"/>
                                        <w:rFonts w:ascii="Times New Roman;Times;serif" w:hAnsi="Times New Roman;Times;serif"/>
                                        <w:b w:val="false"/>
                                        <w:i w:val="false"/>
                                        <w:caps w:val="false"/>
                                        <w:smallCaps w:val="false"/>
                                        <w:sz w:val="20"/>
                                      </w:rPr>
                                      <w:t>Condensed Consolidated Balance Sheets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92.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NDENSEDCONSOLIDATEDBALANCESHEETS_63403">
                              <w:r>
                                <w:rPr>
                                  <w:rStyle w:val="InternetLink"/>
                                  <w:rFonts w:ascii="Times New Roman;Times;serif" w:hAnsi="Times New Roman;Times;serif"/>
                                  <w:b w:val="false"/>
                                  <w:i w:val="false"/>
                                  <w:caps w:val="false"/>
                                  <w:smallCaps w:val="false"/>
                                  <w:sz w:val="20"/>
                                </w:rPr>
                                <w:t>Condensed Consolidated Balance Sheets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146685"/>
                      <wp:effectExtent l="0" t="0" r="0" b="0"/>
                      <wp:wrapNone/>
                      <wp:docPr id="25" name="Frame25"/>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175260"/>
                      <wp:effectExtent l="0" t="0" r="0" b="0"/>
                      <wp:wrapNone/>
                      <wp:docPr id="26" name="Frame2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6264910"/>
                      <wp:effectExtent l="0" t="0" r="0" b="0"/>
                      <wp:wrapNone/>
                      <wp:docPr id="27" name="Frame27"/>
                      <a:graphic xmlns:a="http://schemas.openxmlformats.org/drawingml/2006/main">
                        <a:graphicData uri="http://schemas.microsoft.com/office/word/2010/wordprocessingShape">
                          <wps:wsp>
                            <wps:cNvSpPr txBox="1"/>
                            <wps:spPr>
                              <a:xfrm>
                                <a:off x="0" y="0"/>
                                <a:ext cx="69215" cy="6264910"/>
                              </a:xfrm>
                              <a:prstGeom prst="rect"/>
                              <a:solidFill>
                                <a:srgbClr val="FFFFFF"/>
                              </a:solidFill>
                            </wps:spPr>
                            <wps:txbx>
                              <w:txbxContent>
                                <w:p>
                                  <w:pPr>
                                    <w:pStyle w:val="TableContents"/>
                                    <w:bidi w:val="0"/>
                                    <w:spacing w:before="0" w:after="3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93.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7790" cy="146685"/>
                      <wp:effectExtent l="0" t="0" r="0" b="0"/>
                      <wp:wrapNone/>
                      <wp:docPr id="28" name="Frame28"/>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8740" cy="175260"/>
                      <wp:effectExtent l="0" t="0" r="0" b="0"/>
                      <wp:wrapNone/>
                      <wp:docPr id="29" name="Frame2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6055995"/>
                      <wp:effectExtent l="0" t="0" r="0" b="0"/>
                      <wp:wrapNone/>
                      <wp:docPr id="30" name="Frame30"/>
                      <a:graphic xmlns:a="http://schemas.openxmlformats.org/drawingml/2006/main">
                        <a:graphicData uri="http://schemas.microsoft.com/office/word/2010/wordprocessingShape">
                          <wps:wsp>
                            <wps:cNvSpPr txBox="1"/>
                            <wps:spPr>
                              <a:xfrm>
                                <a:off x="0" y="0"/>
                                <a:ext cx="69215" cy="6055995"/>
                              </a:xfrm>
                              <a:prstGeom prst="rect"/>
                              <a:solidFill>
                                <a:srgbClr val="FFFFFF"/>
                              </a:solidFill>
                            </wps:spPr>
                            <wps:txbx>
                              <w:txbxContent>
                                <w:p>
                                  <w:pPr>
                                    <w:pStyle w:val="TableContents"/>
                                    <w:bidi w:val="0"/>
                                    <w:spacing w:before="0" w:after="3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Other Comprehensive Income (Loss)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7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Other Comprehensive Income (Loss)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7790" cy="146685"/>
                      <wp:effectExtent l="0" t="0" r="0" b="0"/>
                      <wp:wrapNone/>
                      <wp:docPr id="31" name="Frame31"/>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175260"/>
                      <wp:effectExtent l="0" t="0" r="0" b="0"/>
                      <wp:wrapNone/>
                      <wp:docPr id="32" name="Frame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5847080"/>
                      <wp:effectExtent l="0" t="0" r="0" b="0"/>
                      <wp:wrapNone/>
                      <wp:docPr id="33" name="Frame33"/>
                      <a:graphic xmlns:a="http://schemas.openxmlformats.org/drawingml/2006/main">
                        <a:graphicData uri="http://schemas.microsoft.com/office/word/2010/wordprocessingShape">
                          <wps:wsp>
                            <wps:cNvSpPr txBox="1"/>
                            <wps:spPr>
                              <a:xfrm>
                                <a:off x="0" y="0"/>
                                <a:ext cx="69215" cy="5847080"/>
                              </a:xfrm>
                              <a:prstGeom prst="rect"/>
                              <a:solidFill>
                                <a:srgbClr val="FFFFFF"/>
                              </a:solidFill>
                            </wps:spPr>
                            <wps:txbx>
                              <w:txbxContent>
                                <w:p>
                                  <w:pPr>
                                    <w:pStyle w:val="TableContents"/>
                                    <w:bidi w:val="0"/>
                                    <w:spacing w:before="0" w:after="3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60.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7790" cy="146685"/>
                      <wp:effectExtent l="0" t="0" r="0" b="0"/>
                      <wp:wrapNone/>
                      <wp:docPr id="34" name="Frame3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8740" cy="175260"/>
                      <wp:effectExtent l="0" t="0" r="0" b="0"/>
                      <wp:wrapNone/>
                      <wp:docPr id="35" name="Frame3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5638165"/>
                      <wp:effectExtent l="0" t="0" r="0" b="0"/>
                      <wp:wrapNone/>
                      <wp:docPr id="36" name="Frame36"/>
                      <a:graphic xmlns:a="http://schemas.openxmlformats.org/drawingml/2006/main">
                        <a:graphicData uri="http://schemas.microsoft.com/office/word/2010/wordprocessingShape">
                          <wps:wsp>
                            <wps:cNvSpPr txBox="1"/>
                            <wps:spPr>
                              <a:xfrm>
                                <a:off x="0" y="0"/>
                                <a:ext cx="69215" cy="5638165"/>
                              </a:xfrm>
                              <a:prstGeom prst="rect"/>
                              <a:solidFill>
                                <a:srgbClr val="FFFFFF"/>
                              </a:solidFill>
                            </wps:spPr>
                            <wps:txbx>
                              <w:txbxContent>
                                <w:p>
                                  <w:pPr>
                                    <w:pStyle w:val="TableContents"/>
                                    <w:bidi w:val="0"/>
                                    <w:spacing w:before="0" w:after="3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43.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293370"/>
                      <wp:effectExtent l="0" t="0" r="0" b="0"/>
                      <wp:wrapNone/>
                      <wp:docPr id="37" name="Frame37"/>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740" cy="175260"/>
                      <wp:effectExtent l="0" t="0" r="0" b="0"/>
                      <wp:wrapNone/>
                      <wp:docPr id="38" name="Frame3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5429250"/>
                      <wp:effectExtent l="0" t="0" r="0" b="0"/>
                      <wp:wrapNone/>
                      <wp:docPr id="39" name="Frame39"/>
                      <a:graphic xmlns:a="http://schemas.openxmlformats.org/drawingml/2006/main">
                        <a:graphicData uri="http://schemas.microsoft.com/office/word/2010/wordprocessingShape">
                          <wps:wsp>
                            <wps:cNvSpPr txBox="1"/>
                            <wps:spPr>
                              <a:xfrm>
                                <a:off x="0" y="0"/>
                                <a:ext cx="69215" cy="5429250"/>
                              </a:xfrm>
                              <a:prstGeom prst="rect"/>
                              <a:solidFill>
                                <a:srgbClr val="FFFFFF"/>
                              </a:solidFill>
                            </wps:spPr>
                            <wps:txbx>
                              <w:txbxContent>
                                <w:p>
                                  <w:pPr>
                                    <w:pStyle w:val="TableContents"/>
                                    <w:bidi w:val="0"/>
                                    <w:spacing w:before="0" w:after="3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7790" cy="293370"/>
                      <wp:effectExtent l="0" t="0" r="0" b="0"/>
                      <wp:wrapNone/>
                      <wp:docPr id="40" name="Frame4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8740" cy="880110"/>
                      <wp:effectExtent l="0" t="0" r="0" b="0"/>
                      <wp:wrapNone/>
                      <wp:docPr id="41" name="Frame41"/>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5220335"/>
                      <wp:effectExtent l="0" t="0" r="0" b="0"/>
                      <wp:wrapNone/>
                      <wp:docPr id="42" name="Frame42"/>
                      <a:graphic xmlns:a="http://schemas.openxmlformats.org/drawingml/2006/main">
                        <a:graphicData uri="http://schemas.microsoft.com/office/word/2010/wordprocessingShape">
                          <wps:wsp>
                            <wps:cNvSpPr txBox="1"/>
                            <wps:spPr>
                              <a:xfrm>
                                <a:off x="0" y="0"/>
                                <a:ext cx="69215" cy="5220335"/>
                              </a:xfrm>
                              <a:prstGeom prst="rect"/>
                              <a:solidFill>
                                <a:srgbClr val="FFFFFF"/>
                              </a:solidFill>
                            </wps:spPr>
                            <wps:txbx>
                              <w:txbxContent>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411.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7790" cy="293370"/>
                      <wp:effectExtent l="0" t="0" r="0" b="0"/>
                      <wp:wrapNone/>
                      <wp:docPr id="43" name="Frame43"/>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8740" cy="880110"/>
                      <wp:effectExtent l="0" t="0" r="0" b="0"/>
                      <wp:wrapNone/>
                      <wp:docPr id="44" name="Frame44"/>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5011420"/>
                      <wp:effectExtent l="0" t="0" r="0" b="0"/>
                      <wp:wrapNone/>
                      <wp:docPr id="45" name="Frame45"/>
                      <a:graphic xmlns:a="http://schemas.openxmlformats.org/drawingml/2006/main">
                        <a:graphicData uri="http://schemas.microsoft.com/office/word/2010/wordprocessingShape">
                          <wps:wsp>
                            <wps:cNvSpPr txBox="1"/>
                            <wps:spPr>
                              <a:xfrm>
                                <a:off x="0" y="0"/>
                                <a:ext cx="69215" cy="5011420"/>
                              </a:xfrm>
                              <a:prstGeom prst="rect"/>
                              <a:solidFill>
                                <a:srgbClr val="FFFFFF"/>
                              </a:solidFill>
                            </wps:spPr>
                            <wps:txbx>
                              <w:txbxContent>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94.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790" cy="293370"/>
                      <wp:effectExtent l="0" t="0" r="0" b="0"/>
                      <wp:wrapNone/>
                      <wp:docPr id="46" name="Frame4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8740" cy="880110"/>
                      <wp:effectExtent l="0" t="0" r="0" b="0"/>
                      <wp:wrapNone/>
                      <wp:docPr id="47" name="Frame47"/>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4ControlsandProcedures_90549">
                                    <w:r>
                                      <w:rPr>
                                        <w:rStyle w:val="InternetLink"/>
                                        <w:rFonts w:ascii="Times New Roman;Times;serif" w:hAnsi="Times New Roman;Times;serif"/>
                                        <w:b w:val="false"/>
                                        <w:i w:val="false"/>
                                        <w:caps w:val="false"/>
                                        <w:smallCaps w:val="false"/>
                                        <w:sz w:val="20"/>
                                      </w:rPr>
                                      <w:t>Item 4.</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4ControlsandProcedures_90549">
                              <w:r>
                                <w:rPr>
                                  <w:rStyle w:val="InternetLink"/>
                                  <w:rFonts w:ascii="Times New Roman;Times;serif" w:hAnsi="Times New Roman;Times;serif"/>
                                  <w:b w:val="false"/>
                                  <w:i w:val="false"/>
                                  <w:caps w:val="false"/>
                                  <w:smallCaps w:val="false"/>
                                  <w:sz w:val="20"/>
                                </w:rPr>
                                <w:t>Item 4.</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3080385"/>
                      <wp:effectExtent l="0" t="0" r="0" b="0"/>
                      <wp:wrapNone/>
                      <wp:docPr id="48" name="Frame48"/>
                      <a:graphic xmlns:a="http://schemas.openxmlformats.org/drawingml/2006/main">
                        <a:graphicData uri="http://schemas.microsoft.com/office/word/2010/wordprocessingShape">
                          <wps:wsp>
                            <wps:cNvSpPr txBox="1"/>
                            <wps:spPr>
                              <a:xfrm>
                                <a:off x="0" y="0"/>
                                <a:ext cx="69215" cy="3080385"/>
                              </a:xfrm>
                              <a:prstGeom prst="rect"/>
                              <a:solidFill>
                                <a:srgbClr val="FFFFFF"/>
                              </a:solidFill>
                            </wps:spPr>
                            <wps:txbx>
                              <w:txbxContent>
                                <w:p>
                                  <w:pPr>
                                    <w:pStyle w:val="TableContents"/>
                                    <w:bidi w:val="0"/>
                                    <w:spacing w:before="0" w:after="30"/>
                                    <w:ind w:left="0" w:right="0" w:hanging="0"/>
                                    <w:jc w:val="left"/>
                                    <w:rPr/>
                                  </w:pPr>
                                  <w:hyperlink w:anchor="Item4ControlsandProcedures_90549">
                                    <w:r>
                                      <w:rPr>
                                        <w:rStyle w:val="InternetLink"/>
                                        <w:rFonts w:ascii="Times New Roman;Times;serif" w:hAnsi="Times New Roman;Times;serif"/>
                                        <w:b w:val="false"/>
                                        <w:i w:val="false"/>
                                        <w:caps w:val="false"/>
                                        <w:smallCaps w:val="false"/>
                                        <w:sz w:val="20"/>
                                      </w:rPr>
                                      <w:t>Controls and Procedures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4ControlsandProcedures_90549">
                              <w:r>
                                <w:rPr>
                                  <w:rStyle w:val="InternetLink"/>
                                  <w:rFonts w:ascii="Times New Roman;Times;serif" w:hAnsi="Times New Roman;Times;serif"/>
                                  <w:b w:val="false"/>
                                  <w:i w:val="false"/>
                                  <w:caps w:val="false"/>
                                  <w:smallCaps w:val="false"/>
                                  <w:sz w:val="20"/>
                                </w:rPr>
                                <w:t>Controls and Procedures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293370"/>
                      <wp:effectExtent l="0" t="0" r="0" b="0"/>
                      <wp:wrapNone/>
                      <wp:docPr id="49" name="Frame49"/>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51</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8740" cy="175260"/>
                      <wp:effectExtent l="0" t="0" r="0" b="0"/>
                      <wp:wrapNone/>
                      <wp:docPr id="50" name="Frame5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97790" cy="175260"/>
                      <wp:effectExtent l="0" t="0" r="0" b="0"/>
                      <wp:wrapNone/>
                      <wp:docPr id="52" name="Frame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7955" cy="1906905"/>
                      <wp:effectExtent l="0" t="0" r="0" b="0"/>
                      <wp:wrapNone/>
                      <wp:docPr id="53" name="Frame53"/>
                      <a:graphic xmlns:a="http://schemas.openxmlformats.org/drawingml/2006/main">
                        <a:graphicData uri="http://schemas.microsoft.com/office/word/2010/wordprocessingShape">
                          <wps:wsp>
                            <wps:cNvSpPr txBox="1"/>
                            <wps:spPr>
                              <a:xfrm>
                                <a:off x="0" y="0"/>
                                <a:ext cx="147955" cy="1906905"/>
                              </a:xfrm>
                              <a:prstGeom prst="rect"/>
                              <a:solidFill>
                                <a:srgbClr val="FFFFFF"/>
                              </a:solidFill>
                            </wps:spPr>
                            <wps:txbx>
                              <w:txbxContent>
                                <w:p>
                                  <w:pPr>
                                    <w:pStyle w:val="TableContents"/>
                                    <w:bidi w:val="0"/>
                                    <w:spacing w:before="0" w:after="30"/>
                                    <w:ind w:left="0" w:right="0" w:hanging="0"/>
                                    <w:jc w:val="left"/>
                                    <w:rPr/>
                                  </w:pPr>
                                  <w:hyperlink w:anchor="PartIIOtherInformation_530350">
                                    <w:r>
                                      <w:rPr>
                                        <w:rStyle w:val="InternetLink"/>
                                        <w:rFonts w:ascii="Times New Roman;Times;serif" w:hAnsi="Times New Roman;Times;serif"/>
                                        <w:b/>
                                        <w:i w:val="false"/>
                                        <w:caps w:val="false"/>
                                        <w:smallCaps w:val="false"/>
                                        <w:sz w:val="20"/>
                                      </w:rPr>
                                      <w:t>Part II -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50.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PartIIOtherInformation_530350">
                              <w:r>
                                <w:rPr>
                                  <w:rStyle w:val="InternetLink"/>
                                  <w:rFonts w:ascii="Times New Roman;Times;serif" w:hAnsi="Times New Roman;Times;serif"/>
                                  <w:b/>
                                  <w:i w:val="false"/>
                                  <w:caps w:val="false"/>
                                  <w:smallCaps w:val="false"/>
                                  <w:sz w:val="20"/>
                                </w:rPr>
                                <w:t>Part II - Other Information</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7790" cy="293370"/>
                      <wp:effectExtent l="0" t="0" r="0" b="0"/>
                      <wp:wrapNone/>
                      <wp:docPr id="54" name="Frame5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8740" cy="880110"/>
                      <wp:effectExtent l="0" t="0" r="0" b="0"/>
                      <wp:wrapNone/>
                      <wp:docPr id="55" name="Frame55"/>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1LegalProceedings_288827">
                                    <w:r>
                                      <w:rPr>
                                        <w:rStyle w:val="InternetLink"/>
                                        <w:rFonts w:ascii="Times New Roman;Times;serif" w:hAnsi="Times New Roman;Times;serif"/>
                                        <w:b w:val="false"/>
                                        <w:i w:val="false"/>
                                        <w:caps w:val="false"/>
                                        <w:smallCaps w:val="false"/>
                                        <w:sz w:val="20"/>
                                      </w:rPr>
                                      <w:t>Item 1.</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LegalProceedings_288827">
                              <w:r>
                                <w:rPr>
                                  <w:rStyle w:val="InternetLink"/>
                                  <w:rFonts w:ascii="Times New Roman;Times;serif" w:hAnsi="Times New Roman;Times;serif"/>
                                  <w:b w:val="false"/>
                                  <w:i w:val="false"/>
                                  <w:caps w:val="false"/>
                                  <w:smallCaps w:val="false"/>
                                  <w:sz w:val="20"/>
                                </w:rPr>
                                <w:t>Item 1.</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2346960"/>
                      <wp:effectExtent l="0" t="0" r="0" b="0"/>
                      <wp:wrapNone/>
                      <wp:docPr id="56" name="Frame56"/>
                      <a:graphic xmlns:a="http://schemas.openxmlformats.org/drawingml/2006/main">
                        <a:graphicData uri="http://schemas.microsoft.com/office/word/2010/wordprocessingShape">
                          <wps:wsp>
                            <wps:cNvSpPr txBox="1"/>
                            <wps:spPr>
                              <a:xfrm>
                                <a:off x="0" y="0"/>
                                <a:ext cx="69215" cy="2346960"/>
                              </a:xfrm>
                              <a:prstGeom prst="rect"/>
                              <a:solidFill>
                                <a:srgbClr val="FFFFFF"/>
                              </a:solidFill>
                            </wps:spPr>
                            <wps:txbx>
                              <w:txbxContent>
                                <w:p>
                                  <w:pPr>
                                    <w:pStyle w:val="TableContents"/>
                                    <w:bidi w:val="0"/>
                                    <w:spacing w:before="0" w:after="30"/>
                                    <w:ind w:left="0" w:right="0" w:hanging="0"/>
                                    <w:jc w:val="left"/>
                                    <w:rPr/>
                                  </w:pPr>
                                  <w:hyperlink w:anchor="Item1LegalProceedings_288827">
                                    <w:r>
                                      <w:rPr>
                                        <w:rStyle w:val="InternetLink"/>
                                        <w:rFonts w:ascii="Times New Roman;Times;serif" w:hAnsi="Times New Roman;Times;serif"/>
                                        <w:b w:val="false"/>
                                        <w:i w:val="false"/>
                                        <w:caps w:val="false"/>
                                        <w:smallCaps w:val="false"/>
                                        <w:sz w:val="20"/>
                                      </w:rPr>
                                      <w:t>Legal Proceedings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LegalProceedings_288827">
                              <w:r>
                                <w:rPr>
                                  <w:rStyle w:val="InternetLink"/>
                                  <w:rFonts w:ascii="Times New Roman;Times;serif" w:hAnsi="Times New Roman;Times;serif"/>
                                  <w:b w:val="false"/>
                                  <w:i w:val="false"/>
                                  <w:caps w:val="false"/>
                                  <w:smallCaps w:val="false"/>
                                  <w:sz w:val="20"/>
                                </w:rPr>
                                <w:t>Legal Proceedings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97790" cy="293370"/>
                      <wp:effectExtent l="0" t="0" r="0" b="0"/>
                      <wp:wrapNone/>
                      <wp:docPr id="57" name="Frame57"/>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8740" cy="1026795"/>
                      <wp:effectExtent l="0" t="0" r="0" b="0"/>
                      <wp:wrapNone/>
                      <wp:docPr id="58" name="Frame58"/>
                      <a:graphic xmlns:a="http://schemas.openxmlformats.org/drawingml/2006/main">
                        <a:graphicData uri="http://schemas.microsoft.com/office/word/2010/wordprocessingShape">
                          <wps:wsp>
                            <wps:cNvSpPr txBox="1"/>
                            <wps:spPr>
                              <a:xfrm>
                                <a:off x="0" y="0"/>
                                <a:ext cx="78740" cy="1026795"/>
                              </a:xfrm>
                              <a:prstGeom prst="rect"/>
                              <a:solidFill>
                                <a:srgbClr val="FFFFFF"/>
                              </a:solidFill>
                            </wps:spPr>
                            <wps:txbx>
                              <w:txbxContent>
                                <w:p>
                                  <w:pPr>
                                    <w:pStyle w:val="TableContents"/>
                                    <w:bidi w:val="0"/>
                                    <w:spacing w:before="0" w:after="30"/>
                                    <w:ind w:left="0" w:right="0" w:hanging="0"/>
                                    <w:jc w:val="left"/>
                                    <w:rPr/>
                                  </w:pPr>
                                  <w:hyperlink w:anchor="Item1ARiskFactors_407011">
                                    <w:r>
                                      <w:rPr>
                                        <w:rStyle w:val="InternetLink"/>
                                        <w:rFonts w:ascii="Times New Roman;Times;serif" w:hAnsi="Times New Roman;Times;serif"/>
                                        <w:b w:val="false"/>
                                        <w:i w:val="false"/>
                                        <w:caps w:val="false"/>
                                        <w:smallCaps w:val="false"/>
                                        <w:sz w:val="20"/>
                                      </w:rPr>
                                      <w:t>Item 1A.</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ARiskFactors_407011">
                              <w:r>
                                <w:rPr>
                                  <w:rStyle w:val="InternetLink"/>
                                  <w:rFonts w:ascii="Times New Roman;Times;serif" w:hAnsi="Times New Roman;Times;serif"/>
                                  <w:b w:val="false"/>
                                  <w:i w:val="false"/>
                                  <w:caps w:val="false"/>
                                  <w:smallCaps w:val="false"/>
                                  <w:sz w:val="20"/>
                                </w:rPr>
                                <w:t>Item 1A.</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613535"/>
                      <wp:effectExtent l="0" t="0" r="0" b="0"/>
                      <wp:wrapNone/>
                      <wp:docPr id="59" name="Frame59"/>
                      <a:graphic xmlns:a="http://schemas.openxmlformats.org/drawingml/2006/main">
                        <a:graphicData uri="http://schemas.microsoft.com/office/word/2010/wordprocessingShape">
                          <wps:wsp>
                            <wps:cNvSpPr txBox="1"/>
                            <wps:spPr>
                              <a:xfrm>
                                <a:off x="0" y="0"/>
                                <a:ext cx="69215" cy="1613535"/>
                              </a:xfrm>
                              <a:prstGeom prst="rect"/>
                              <a:solidFill>
                                <a:srgbClr val="FFFFFF"/>
                              </a:solidFill>
                            </wps:spPr>
                            <wps:txbx>
                              <w:txbxContent>
                                <w:p>
                                  <w:pPr>
                                    <w:pStyle w:val="TableContents"/>
                                    <w:bidi w:val="0"/>
                                    <w:spacing w:before="0" w:after="30"/>
                                    <w:ind w:left="0" w:right="0" w:hanging="0"/>
                                    <w:jc w:val="left"/>
                                    <w:rPr/>
                                  </w:pPr>
                                  <w:hyperlink w:anchor="Item1ARiskFactors_407011">
                                    <w:r>
                                      <w:rPr>
                                        <w:rStyle w:val="InternetLink"/>
                                        <w:rFonts w:ascii="Times New Roman;Times;serif" w:hAnsi="Times New Roman;Times;serif"/>
                                        <w:b w:val="false"/>
                                        <w:i w:val="false"/>
                                        <w:caps w:val="false"/>
                                        <w:smallCaps w:val="false"/>
                                        <w:sz w:val="20"/>
                                      </w:rPr>
                                      <w:t>Risk Factors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27.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1ARiskFactors_407011">
                              <w:r>
                                <w:rPr>
                                  <w:rStyle w:val="InternetLink"/>
                                  <w:rFonts w:ascii="Times New Roman;Times;serif" w:hAnsi="Times New Roman;Times;serif"/>
                                  <w:b w:val="false"/>
                                  <w:i w:val="false"/>
                                  <w:caps w:val="false"/>
                                  <w:smallCaps w:val="false"/>
                                  <w:sz w:val="20"/>
                                </w:rPr>
                                <w:t>Risk Factors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7790" cy="293370"/>
                      <wp:effectExtent l="0" t="0" r="0" b="0"/>
                      <wp:wrapNone/>
                      <wp:docPr id="60" name="Frame6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8740" cy="880110"/>
                      <wp:effectExtent l="0" t="0" r="0" b="0"/>
                      <wp:wrapNone/>
                      <wp:docPr id="61" name="Frame61"/>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3757930"/>
                      <wp:effectExtent l="0" t="0" r="0" b="0"/>
                      <wp:wrapNone/>
                      <wp:docPr id="62" name="Frame62"/>
                      <a:graphic xmlns:a="http://schemas.openxmlformats.org/drawingml/2006/main">
                        <a:graphicData uri="http://schemas.microsoft.com/office/word/2010/wordprocessingShape">
                          <wps:wsp>
                            <wps:cNvSpPr txBox="1"/>
                            <wps:spPr>
                              <a:xfrm>
                                <a:off x="0" y="0"/>
                                <a:ext cx="69215" cy="3757930"/>
                              </a:xfrm>
                              <a:prstGeom prst="rect"/>
                              <a:solidFill>
                                <a:srgbClr val="FFFFFF"/>
                              </a:solidFill>
                            </wps:spPr>
                            <wps:txbx>
                              <w:txbxContent>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95.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7790" cy="293370"/>
                      <wp:effectExtent l="0" t="0" r="0" b="0"/>
                      <wp:wrapNone/>
                      <wp:docPr id="63" name="Frame63"/>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8740" cy="880110"/>
                      <wp:effectExtent l="0" t="0" r="0" b="0"/>
                      <wp:wrapNone/>
                      <wp:docPr id="64" name="Frame64"/>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3DefaultsUponSeniorSecurities_882195">
                                    <w:r>
                                      <w:rPr>
                                        <w:rStyle w:val="InternetLink"/>
                                        <w:rFonts w:ascii="Times New Roman;Times;serif" w:hAnsi="Times New Roman;Times;serif"/>
                                        <w:b w:val="false"/>
                                        <w:i w:val="false"/>
                                        <w:caps w:val="false"/>
                                        <w:smallCaps w:val="false"/>
                                        <w:sz w:val="20"/>
                                      </w:rPr>
                                      <w:t>Item 3.</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3DefaultsUponSeniorSecurities_882195">
                              <w:r>
                                <w:rPr>
                                  <w:rStyle w:val="InternetLink"/>
                                  <w:rFonts w:ascii="Times New Roman;Times;serif" w:hAnsi="Times New Roman;Times;serif"/>
                                  <w:b w:val="false"/>
                                  <w:i w:val="false"/>
                                  <w:caps w:val="false"/>
                                  <w:smallCaps w:val="false"/>
                                  <w:sz w:val="20"/>
                                </w:rPr>
                                <w:t>Item 3.</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3549015"/>
                      <wp:effectExtent l="0" t="0" r="0" b="0"/>
                      <wp:wrapNone/>
                      <wp:docPr id="65" name="Frame65"/>
                      <a:graphic xmlns:a="http://schemas.openxmlformats.org/drawingml/2006/main">
                        <a:graphicData uri="http://schemas.microsoft.com/office/word/2010/wordprocessingShape">
                          <wps:wsp>
                            <wps:cNvSpPr txBox="1"/>
                            <wps:spPr>
                              <a:xfrm>
                                <a:off x="0" y="0"/>
                                <a:ext cx="69215" cy="3549015"/>
                              </a:xfrm>
                              <a:prstGeom prst="rect"/>
                              <a:solidFill>
                                <a:srgbClr val="FFFFFF"/>
                              </a:solidFill>
                            </wps:spPr>
                            <wps:txbx>
                              <w:txbxContent>
                                <w:p>
                                  <w:pPr>
                                    <w:pStyle w:val="TableContents"/>
                                    <w:bidi w:val="0"/>
                                    <w:spacing w:before="0" w:after="30"/>
                                    <w:ind w:left="0" w:right="0" w:hanging="0"/>
                                    <w:jc w:val="left"/>
                                    <w:rPr/>
                                  </w:pPr>
                                  <w:hyperlink w:anchor="Item3DefaultsUponSeniorSecurities_882195">
                                    <w:r>
                                      <w:rPr>
                                        <w:rStyle w:val="InternetLink"/>
                                        <w:rFonts w:ascii="Times New Roman;Times;serif" w:hAnsi="Times New Roman;Times;serif"/>
                                        <w:b w:val="false"/>
                                        <w:i w:val="false"/>
                                        <w:caps w:val="false"/>
                                        <w:smallCaps w:val="false"/>
                                        <w:sz w:val="20"/>
                                      </w:rPr>
                                      <w:t>Defaults Upon Senior Securities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3DefaultsUponSeniorSecurities_882195">
                              <w:r>
                                <w:rPr>
                                  <w:rStyle w:val="InternetLink"/>
                                  <w:rFonts w:ascii="Times New Roman;Times;serif" w:hAnsi="Times New Roman;Times;serif"/>
                                  <w:b w:val="false"/>
                                  <w:i w:val="false"/>
                                  <w:caps w:val="false"/>
                                  <w:smallCaps w:val="false"/>
                                  <w:sz w:val="20"/>
                                </w:rPr>
                                <w:t>Defaults Upon Senior Securities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7790" cy="293370"/>
                      <wp:effectExtent l="0" t="0" r="0" b="0"/>
                      <wp:wrapNone/>
                      <wp:docPr id="66" name="Frame6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8740" cy="880110"/>
                      <wp:effectExtent l="0" t="0" r="0" b="0"/>
                      <wp:wrapNone/>
                      <wp:docPr id="67" name="Frame67"/>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4MineSafetyDisclosures_442048">
                                    <w:r>
                                      <w:rPr>
                                        <w:rStyle w:val="InternetLink"/>
                                        <w:rFonts w:ascii="Times New Roman;Times;serif" w:hAnsi="Times New Roman;Times;serif"/>
                                        <w:b w:val="false"/>
                                        <w:i w:val="false"/>
                                        <w:caps w:val="false"/>
                                        <w:smallCaps w:val="false"/>
                                        <w:sz w:val="20"/>
                                      </w:rPr>
                                      <w:t>Item 4.</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4MineSafetyDisclosures_442048">
                              <w:r>
                                <w:rPr>
                                  <w:rStyle w:val="InternetLink"/>
                                  <w:rFonts w:ascii="Times New Roman;Times;serif" w:hAnsi="Times New Roman;Times;serif"/>
                                  <w:b w:val="false"/>
                                  <w:i w:val="false"/>
                                  <w:caps w:val="false"/>
                                  <w:smallCaps w:val="false"/>
                                  <w:sz w:val="20"/>
                                </w:rPr>
                                <w:t>Item 4.</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3080385"/>
                      <wp:effectExtent l="0" t="0" r="0" b="0"/>
                      <wp:wrapNone/>
                      <wp:docPr id="68" name="Frame68"/>
                      <a:graphic xmlns:a="http://schemas.openxmlformats.org/drawingml/2006/main">
                        <a:graphicData uri="http://schemas.microsoft.com/office/word/2010/wordprocessingShape">
                          <wps:wsp>
                            <wps:cNvSpPr txBox="1"/>
                            <wps:spPr>
                              <a:xfrm>
                                <a:off x="0" y="0"/>
                                <a:ext cx="69215" cy="3080385"/>
                              </a:xfrm>
                              <a:prstGeom prst="rect"/>
                              <a:solidFill>
                                <a:srgbClr val="FFFFFF"/>
                              </a:solidFill>
                            </wps:spPr>
                            <wps:txbx>
                              <w:txbxContent>
                                <w:p>
                                  <w:pPr>
                                    <w:pStyle w:val="TableContents"/>
                                    <w:bidi w:val="0"/>
                                    <w:spacing w:before="0" w:after="30"/>
                                    <w:ind w:left="0" w:right="0" w:hanging="0"/>
                                    <w:jc w:val="left"/>
                                    <w:rPr/>
                                  </w:pPr>
                                  <w:hyperlink w:anchor="Item4MineSafetyDisclosures_442048">
                                    <w:r>
                                      <w:rPr>
                                        <w:rStyle w:val="InternetLink"/>
                                        <w:rFonts w:ascii="Times New Roman;Times;serif" w:hAnsi="Times New Roman;Times;serif"/>
                                        <w:b w:val="false"/>
                                        <w:i w:val="false"/>
                                        <w:caps w:val="false"/>
                                        <w:smallCaps w:val="false"/>
                                        <w:sz w:val="20"/>
                                      </w:rPr>
                                      <w:t>Mine Safety Disclosure</w:t>
                                    </w:r>
                                  </w:hyperlink>
                                  <w:r>
                                    <w:rPr>
                                      <w:rFonts w:ascii="Times New Roman;Times;serif" w:hAnsi="Times New Roman;Times;serif"/>
                                      <w:sz w:val="20"/>
                                    </w:rPr>
                                    <w: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4MineSafetyDisclosures_442048">
                              <w:r>
                                <w:rPr>
                                  <w:rStyle w:val="InternetLink"/>
                                  <w:rFonts w:ascii="Times New Roman;Times;serif" w:hAnsi="Times New Roman;Times;serif"/>
                                  <w:b w:val="false"/>
                                  <w:i w:val="false"/>
                                  <w:caps w:val="false"/>
                                  <w:smallCaps w:val="false"/>
                                  <w:sz w:val="20"/>
                                </w:rPr>
                                <w:t>Mine Safety Disclosure</w:t>
                              </w:r>
                            </w:hyperlink>
                            <w:r>
                              <w:rPr>
                                <w:rFonts w:ascii="Times New Roman;Times;serif" w:hAnsi="Times New Roman;Times;serif"/>
                                <w:sz w:val="20"/>
                              </w:rPr>
                              <w:t>s</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7790" cy="293370"/>
                      <wp:effectExtent l="0" t="0" r="0" b="0"/>
                      <wp:wrapNone/>
                      <wp:docPr id="69" name="Frame69"/>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8740" cy="880110"/>
                      <wp:effectExtent l="0" t="0" r="0" b="0"/>
                      <wp:wrapNone/>
                      <wp:docPr id="70" name="Frame70"/>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5OtherInformation_261025">
                                    <w:r>
                                      <w:rPr>
                                        <w:rStyle w:val="InternetLink"/>
                                        <w:rFonts w:ascii="Times New Roman;Times;serif" w:hAnsi="Times New Roman;Times;serif"/>
                                        <w:b w:val="false"/>
                                        <w:i w:val="false"/>
                                        <w:caps w:val="false"/>
                                        <w:smallCaps w:val="false"/>
                                        <w:sz w:val="20"/>
                                      </w:rPr>
                                      <w:t>Item 5.</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5OtherInformation_261025">
                              <w:r>
                                <w:rPr>
                                  <w:rStyle w:val="InternetLink"/>
                                  <w:rFonts w:ascii="Times New Roman;Times;serif" w:hAnsi="Times New Roman;Times;serif"/>
                                  <w:b w:val="false"/>
                                  <w:i w:val="false"/>
                                  <w:caps w:val="false"/>
                                  <w:smallCaps w:val="false"/>
                                  <w:sz w:val="20"/>
                                </w:rPr>
                                <w:t>Item 5.</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2346960"/>
                      <wp:effectExtent l="0" t="0" r="0" b="0"/>
                      <wp:wrapNone/>
                      <wp:docPr id="71" name="Frame71"/>
                      <a:graphic xmlns:a="http://schemas.openxmlformats.org/drawingml/2006/main">
                        <a:graphicData uri="http://schemas.microsoft.com/office/word/2010/wordprocessingShape">
                          <wps:wsp>
                            <wps:cNvSpPr txBox="1"/>
                            <wps:spPr>
                              <a:xfrm>
                                <a:off x="0" y="0"/>
                                <a:ext cx="69215" cy="2346960"/>
                              </a:xfrm>
                              <a:prstGeom prst="rect"/>
                              <a:solidFill>
                                <a:srgbClr val="FFFFFF"/>
                              </a:solidFill>
                            </wps:spPr>
                            <wps:txbx>
                              <w:txbxContent>
                                <w:p>
                                  <w:pPr>
                                    <w:pStyle w:val="TableContents"/>
                                    <w:bidi w:val="0"/>
                                    <w:spacing w:before="0" w:after="30"/>
                                    <w:ind w:left="0" w:right="0" w:hanging="0"/>
                                    <w:jc w:val="left"/>
                                    <w:rPr/>
                                  </w:pPr>
                                  <w:hyperlink w:anchor="Item5OtherInformation_261025">
                                    <w:r>
                                      <w:rPr>
                                        <w:rStyle w:val="InternetLink"/>
                                        <w:rFonts w:ascii="Times New Roman;Times;serif" w:hAnsi="Times New Roman;Times;serif"/>
                                        <w:b w:val="false"/>
                                        <w:i w:val="false"/>
                                        <w:caps w:val="false"/>
                                        <w:smallCaps w:val="false"/>
                                        <w:sz w:val="20"/>
                                      </w:rPr>
                                      <w:t>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5OtherInformation_261025">
                              <w:r>
                                <w:rPr>
                                  <w:rStyle w:val="InternetLink"/>
                                  <w:rFonts w:ascii="Times New Roman;Times;serif" w:hAnsi="Times New Roman;Times;serif"/>
                                  <w:b w:val="false"/>
                                  <w:i w:val="false"/>
                                  <w:caps w:val="false"/>
                                  <w:smallCaps w:val="false"/>
                                  <w:sz w:val="20"/>
                                </w:rPr>
                                <w:t>Other Information</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7790" cy="293370"/>
                      <wp:effectExtent l="0" t="0" r="0" b="0"/>
                      <wp:wrapNone/>
                      <wp:docPr id="72" name="Frame7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52</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8740" cy="880110"/>
                      <wp:effectExtent l="0" t="0" r="0" b="0"/>
                      <wp:wrapNone/>
                      <wp:docPr id="73" name="Frame73"/>
                      <a:graphic xmlns:a="http://schemas.openxmlformats.org/drawingml/2006/main">
                        <a:graphicData uri="http://schemas.microsoft.com/office/word/2010/wordprocessingShape">
                          <wps:wsp>
                            <wps:cNvSpPr txBox="1"/>
                            <wps:spPr>
                              <a:xfrm>
                                <a:off x="0" y="0"/>
                                <a:ext cx="78740" cy="880110"/>
                              </a:xfrm>
                              <a:prstGeom prst="rect"/>
                              <a:solidFill>
                                <a:srgbClr val="FFFFFF"/>
                              </a:solidFill>
                            </wps:spPr>
                            <wps:txbx>
                              <w:txbxContent>
                                <w:p>
                                  <w:pPr>
                                    <w:pStyle w:val="TableContents"/>
                                    <w:bidi w:val="0"/>
                                    <w:spacing w:before="0" w:after="30"/>
                                    <w:ind w:left="0" w:right="0" w:hanging="0"/>
                                    <w:jc w:val="left"/>
                                    <w:rPr/>
                                  </w:pPr>
                                  <w:hyperlink w:anchor="Item6Exhibits_347063">
                                    <w:r>
                                      <w:rPr>
                                        <w:rStyle w:val="InternetLink"/>
                                        <w:rFonts w:ascii="Times New Roman;Times;serif" w:hAnsi="Times New Roman;Times;serif"/>
                                        <w:b w:val="false"/>
                                        <w:i w:val="false"/>
                                        <w:caps w:val="false"/>
                                        <w:smallCaps w:val="false"/>
                                        <w:sz w:val="20"/>
                                      </w:rPr>
                                      <w:t>Item 6.</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6Exhibits_347063">
                              <w:r>
                                <w:rPr>
                                  <w:rStyle w:val="InternetLink"/>
                                  <w:rFonts w:ascii="Times New Roman;Times;serif" w:hAnsi="Times New Roman;Times;serif"/>
                                  <w:b w:val="false"/>
                                  <w:i w:val="false"/>
                                  <w:caps w:val="false"/>
                                  <w:smallCaps w:val="false"/>
                                  <w:sz w:val="20"/>
                                </w:rPr>
                                <w:t>Item 6.</w:t>
                              </w:r>
                            </w:hyperlink>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173480"/>
                      <wp:effectExtent l="0" t="0" r="0" b="0"/>
                      <wp:wrapNone/>
                      <wp:docPr id="74" name="Frame74"/>
                      <a:graphic xmlns:a="http://schemas.openxmlformats.org/drawingml/2006/main">
                        <a:graphicData uri="http://schemas.microsoft.com/office/word/2010/wordprocessingShape">
                          <wps:wsp>
                            <wps:cNvSpPr txBox="1"/>
                            <wps:spPr>
                              <a:xfrm>
                                <a:off x="0" y="0"/>
                                <a:ext cx="69215" cy="1173480"/>
                              </a:xfrm>
                              <a:prstGeom prst="rect"/>
                              <a:solidFill>
                                <a:srgbClr val="FFFFFF"/>
                              </a:solidFill>
                            </wps:spPr>
                            <wps:txbx>
                              <w:txbxContent>
                                <w:p>
                                  <w:pPr>
                                    <w:pStyle w:val="TableContents"/>
                                    <w:bidi w:val="0"/>
                                    <w:spacing w:before="0" w:after="30"/>
                                    <w:ind w:left="0" w:right="0" w:hanging="0"/>
                                    <w:jc w:val="left"/>
                                    <w:rPr/>
                                  </w:pPr>
                                  <w:hyperlink w:anchor="Item6Exhibits_347063">
                                    <w:r>
                                      <w:rPr>
                                        <w:rStyle w:val="InternetLink"/>
                                        <w:rFonts w:ascii="Times New Roman;Times;serif" w:hAnsi="Times New Roman;Times;serif"/>
                                        <w:b w:val="false"/>
                                        <w:i w:val="false"/>
                                        <w:caps w:val="false"/>
                                        <w:smallCaps w:val="false"/>
                                        <w:sz w:val="20"/>
                                      </w:rPr>
                                      <w:t>Exhibits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Item6Exhibits_347063">
                              <w:r>
                                <w:rPr>
                                  <w:rStyle w:val="InternetLink"/>
                                  <w:rFonts w:ascii="Times New Roman;Times;serif" w:hAnsi="Times New Roman;Times;serif"/>
                                  <w:b w:val="false"/>
                                  <w:i w:val="false"/>
                                  <w:caps w:val="false"/>
                                  <w:smallCaps w:val="false"/>
                                  <w:sz w:val="20"/>
                                </w:rPr>
                                <w:t>Exhibits</w:t>
                              </w:r>
                            </w:hyperlink>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7790" cy="293370"/>
                      <wp:effectExtent l="0" t="0" r="0" b="0"/>
                      <wp:wrapNone/>
                      <wp:docPr id="75" name="Frame75"/>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54</w:t>
                            </w:r>
                          </w:p>
                        </w:txbxContent>
                      </v:textbox>
                      <w10:wrap type="none"/>
                    </v:rect>
                  </w:pict>
                </mc:Fallback>
              </mc:AlternateContent>
            </w:r>
          </w:p>
        </w:tc>
      </w:tr>
      <w:tr>
        <w:trPr/>
        <w:tc>
          <w:tcPr>
            <w:tcW w:w="23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7955" cy="733425"/>
                      <wp:effectExtent l="0" t="0" r="0" b="0"/>
                      <wp:wrapNone/>
                      <wp:docPr id="76" name="Frame76"/>
                      <a:graphic xmlns:a="http://schemas.openxmlformats.org/drawingml/2006/main">
                        <a:graphicData uri="http://schemas.microsoft.com/office/word/2010/wordprocessingShape">
                          <wps:wsp>
                            <wps:cNvSpPr txBox="1"/>
                            <wps:spPr>
                              <a:xfrm>
                                <a:off x="0" y="0"/>
                                <a:ext cx="147955" cy="733425"/>
                              </a:xfrm>
                              <a:prstGeom prst="rect"/>
                              <a:solidFill>
                                <a:srgbClr val="FFFFFF"/>
                              </a:solidFill>
                            </wps:spPr>
                            <wps:txbx>
                              <w:txbxContent>
                                <w:p>
                                  <w:pPr>
                                    <w:pStyle w:val="TableContents"/>
                                    <w:bidi w:val="0"/>
                                    <w:spacing w:before="0" w:after="30"/>
                                    <w:ind w:left="0" w:right="0" w:hanging="0"/>
                                    <w:jc w:val="left"/>
                                    <w:rPr/>
                                  </w:pPr>
                                  <w:hyperlink w:anchor="SIGNATURES_813084">
                                    <w:r>
                                      <w:rPr>
                                        <w:rStyle w:val="InternetLink"/>
                                        <w:rFonts w:ascii="Times New Roman;Times;serif" w:hAnsi="Times New Roman;Times;serif"/>
                                        <w:b w:val="false"/>
                                        <w:i w:val="false"/>
                                        <w:caps w:val="false"/>
                                        <w:smallCaps w:val="false"/>
                                        <w:sz w:val="20"/>
                                      </w:rPr>
                                      <w:t>Signatures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hyperlink w:anchor="SIGNATURES_813084">
                              <w:r>
                                <w:rPr>
                                  <w:rStyle w:val="InternetLink"/>
                                  <w:rFonts w:ascii="Times New Roman;Times;serif" w:hAnsi="Times New Roman;Times;serif"/>
                                  <w:b w:val="false"/>
                                  <w:i w:val="false"/>
                                  <w:caps w:val="false"/>
                                  <w:smallCaps w:val="false"/>
                                  <w:sz w:val="20"/>
                                </w:rPr>
                                <w:t>Signatures</w:t>
                              </w:r>
                            </w:hyperlink>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7790" cy="293370"/>
                      <wp:effectExtent l="0" t="0" r="0" b="0"/>
                      <wp:wrapNone/>
                      <wp:docPr id="77" name="Frame77"/>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55</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ad866906_e6a3_498a_a0ef_67e356aeeca2"/>
      <w:bookmarkEnd w:id="43"/>
      <w:r>
        <w:rPr>
          <w:rFonts w:ascii="Times New Roman;Times;serif" w:hAnsi="Times New Roman;Times;serif"/>
          <w:b/>
          <w:sz w:val="20"/>
        </w:rPr>
        <w:t>CAUTIONARY STATEMENT REGARDING FORWARD-LOOKING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for the quarterly period ended March 31, 2026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anticipated impact and benefits from the Inflation Reduction Act of 2022 (the “IRA”) and related domestic content guidelines on us and our customers, potential impact of the changes to the IRA pursuant to the One Big Beautiful Bill Act (“OBBBA”) and related executive orders and agency guidance on us, our customers, and our suppliers, the implementation and success of our compliance and risk mitigation strategies related to the foregoing regulatory impacts and uncertainty, potential or estimated impact of tariffs and any potential tariff and duty refunds as well as timing of any potential or estimated impacts, uncertainty around U.S. and foreign trade policy on the Company, our suppliers, and our customers, and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Item 7. “Management’s Discussion and Analysis of Financial Condition and Results of Operations” in our Annual Report on Form 10-K for the fiscal year ended September 30, 2025, filed with the U.S. Securities and Exchange Commission (the “SEC”) on November 25, 2025 (the “2025 Annual Report”), and Part I,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FinancialInformation_447994"/>
      <w:bookmarkStart w:id="45" w:name="_04e85ed4_1dd0_4ce8_94f4_363e8c1e2489"/>
      <w:bookmarkEnd w:id="44"/>
      <w:bookmarkEnd w:id="45"/>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6" w:name="Item1FinancialStatements_339107"/>
      <w:bookmarkEnd w:id="4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FLUENCE ENERGY, INC.</w:t>
      </w:r>
    </w:p>
    <w:p>
      <w:pPr>
        <w:pStyle w:val="TextBody"/>
        <w:bidi w:val="0"/>
        <w:spacing w:before="0" w:after="0"/>
        <w:ind w:left="0" w:right="0" w:hanging="0"/>
        <w:jc w:val="center"/>
        <w:rPr>
          <w:rFonts w:ascii="Times New Roman;Times;serif" w:hAnsi="Times New Roman;Times;serif"/>
          <w:b/>
          <w:sz w:val="20"/>
        </w:rPr>
      </w:pPr>
      <w:bookmarkStart w:id="47" w:name="CONDENSEDCONSOLIDATEDBALANCESHEETS_63403"/>
      <w:bookmarkEnd w:id="47"/>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 Dollars in Thousands, except share and per share amounts)</w:t>
      </w:r>
    </w:p>
    <w:p>
      <w:pPr>
        <w:pStyle w:val="Normal"/>
        <w:bidi w:val="0"/>
        <w:spacing w:before="0" w:after="0"/>
        <w:jc w:val="left"/>
        <w:rPr>
          <w:sz w:val="4"/>
          <w:szCs w:val="4"/>
        </w:rPr>
      </w:pPr>
      <w:r>
        <w:rPr>
          <w:sz w:val="4"/>
          <w:szCs w:val="4"/>
        </w:rPr>
      </w:r>
      <w:bookmarkStart w:id="48" w:name="Tc_Sj80qg0ZFEm5kOwTRvJqUw_50_5"/>
      <w:bookmarkStart w:id="49" w:name="Tc_0hbHsT1UiEqR4GNhCGwfLA_50_2"/>
      <w:bookmarkStart w:id="50" w:name="Tc_W7aoMDtXhkGJVq0mnxd66A_50_0"/>
      <w:bookmarkStart w:id="51" w:name="Tc_sfJTAaYU0EOQtyeI2NH8dw_49_0"/>
      <w:bookmarkStart w:id="52" w:name="Tc_qsT7TGiO-UaH6F8hXQrPMw_48_0"/>
      <w:bookmarkStart w:id="53" w:name="Tc_rRgl7rct1UqIkZ79B_yuBw_47_0"/>
      <w:bookmarkStart w:id="54" w:name="Tc_AcXd9SDgykKDpvYtaFkqZQ_46_0"/>
      <w:bookmarkStart w:id="55" w:name="Tc_xl2jHESchEeH790DKrnA1w_45_0"/>
      <w:bookmarkStart w:id="56" w:name="Tc_OVYzBwh3sU6dZcAn17nWJQ_44_0"/>
      <w:bookmarkStart w:id="57" w:name="Tc_VtpBYwu6G0GsY3G7hNrhoA_43_0"/>
      <w:bookmarkStart w:id="58" w:name="Tc_Zz4lRIoro0e1ZX-8MVgDwg_42_0"/>
      <w:bookmarkStart w:id="59" w:name="Tc_WOQbZUjPDkmoufKX5vURmg_41_0"/>
      <w:bookmarkStart w:id="60" w:name="Tc_Pfin3PRjGkKT1IlgyNm5Xw_40_0"/>
      <w:bookmarkStart w:id="61" w:name="Tc_YsyeCEP5BEqn4qoMTqpjRA_39_0"/>
      <w:bookmarkStart w:id="62" w:name="Tc_Fax73Xk6_E64N-Ipy38bcg_38_0"/>
      <w:bookmarkStart w:id="63" w:name="Tc_tlyhTsVsWE-Mb4HpWoM_Og_37_0"/>
      <w:bookmarkStart w:id="64" w:name="Tc_JD-38ejH_EC0G7z-HWZ7bQ_36_0"/>
      <w:bookmarkStart w:id="65" w:name="Tc_2VowaNM3kkahYayNp2e9Sw_35_0"/>
      <w:bookmarkStart w:id="66" w:name="Tc_T2qGm6hrA02DPpT9UI6q0Q_34_0"/>
      <w:bookmarkStart w:id="67" w:name="Tc_8P4wYnwBrUS8xG0a_L-DpQ_33_5"/>
      <w:bookmarkStart w:id="68" w:name="Tc_vBHu6w9OaEOO7ZQuyEhORA_33_2"/>
      <w:bookmarkStart w:id="69" w:name="Tc__a7AP89aJEqfk0nNE0NeZg_33_0"/>
      <w:bookmarkStart w:id="70" w:name="Tc_GKS4LRM3yU2aGMZoSZgGJg_32_0"/>
      <w:bookmarkStart w:id="71" w:name="Tc_RFR3TDAz2U2_tV2xwLjWTQ_31_0"/>
      <w:bookmarkStart w:id="72" w:name="Tc_AIFwghLypU-cA4jlldEIXQ_30_0"/>
      <w:bookmarkStart w:id="73" w:name="Tc_96whER6YjU2iJYicQoD8GQ_29_0"/>
      <w:bookmarkStart w:id="74" w:name="Tc_79HBNY3efEurYZpjznZsuw_28_0"/>
      <w:bookmarkStart w:id="75" w:name="Tc_OAjCTQldR0SXxHVVdif2-A_27_0"/>
      <w:bookmarkStart w:id="76" w:name="Tc_R3zdOT21-ka4Mkn1xuN7ow_26_0"/>
      <w:bookmarkStart w:id="77" w:name="Tc_4jALjS4JnEKSphXHwWmG-g_25_0"/>
      <w:bookmarkStart w:id="78" w:name="Tc_6tpcQ1NHBEi85qbojjVPbQ_24_5"/>
      <w:bookmarkStart w:id="79" w:name="Tc_Uv3TRpXl70K0p21tJrQyLA_24_2"/>
      <w:bookmarkStart w:id="80" w:name="Tc_q1lcAr_CNUiln2k5gPE0iQ_24_0"/>
      <w:bookmarkStart w:id="81" w:name="Tc_GInw5lt_yEaNJsVPLPDaOg_23_0"/>
      <w:bookmarkStart w:id="82" w:name="Tc_UIywIsJUEEy8oLYhwwFbXA_22_0"/>
      <w:bookmarkStart w:id="83" w:name="Tc_QN6odSBgEUm8AhehCwgUcg_21_5"/>
      <w:bookmarkStart w:id="84" w:name="Tc_Qa3EvF2KHk6PbdC097FZ5Q_21_2"/>
      <w:bookmarkStart w:id="85" w:name="Tc_pX5iGiy1NEKPc5RbhXb7Vg_21_0"/>
      <w:bookmarkStart w:id="86" w:name="Tc_eMFsg5hx8U2nh5ghRKstyQ_20_0"/>
      <w:bookmarkStart w:id="87" w:name="Tc_iYNxf4rPb0e15OGS-_o2XQ_19_0"/>
      <w:bookmarkStart w:id="88" w:name="Tc_9HjT5lHfBEWJ_DDjIQLSjQ_18_0"/>
      <w:bookmarkStart w:id="89" w:name="Tc_nRmkOwNGzkWYGmyoUBqWDg_17_0"/>
      <w:bookmarkStart w:id="90" w:name="Tc_Z8hS1vUpBEWf746XiS5AKA_16_0"/>
      <w:bookmarkStart w:id="91" w:name="Tc_UbZeGCvTP0q54Xy_vzKGJA_15_5"/>
      <w:bookmarkStart w:id="92" w:name="Tc_PPscDhuv7UKZ9UmeaZT9UA_15_2"/>
      <w:bookmarkStart w:id="93" w:name="Tc_LXs4jMzVn0iai03IEiZ35g_15_0"/>
      <w:bookmarkStart w:id="94" w:name="Tc_eXWIf4UxcEeIwpqMm4RLoQ_14_0"/>
      <w:bookmarkStart w:id="95" w:name="Tc_IHnHw-nSJEuo-9QokMbvTw_13_0"/>
      <w:bookmarkStart w:id="96" w:name="Tc_dZ_WFIRPPE-ZCpyMgUTCiw_12_0"/>
      <w:bookmarkStart w:id="97" w:name="Tc_7PNtGGWyAUaZBkurNXAMYQ_11_0"/>
      <w:bookmarkStart w:id="98" w:name="Tc_OOttXG_hwUGMUAkfU509ew_10_0"/>
      <w:bookmarkStart w:id="99" w:name="Tc_gK21fUKrp0yjzXY91FpZHQ_9_0"/>
      <w:bookmarkStart w:id="100" w:name="Tc_HVSLwLA7VU2Ua6GogTM-Hg_8_0"/>
      <w:bookmarkStart w:id="101" w:name="Tc_MKTmEJamfkCxNuYrgP8n_Q_7_0"/>
      <w:bookmarkStart w:id="102" w:name="Tc_1LC7KJrchEuFDylzmz3PoQ_6_0"/>
      <w:bookmarkStart w:id="103" w:name="Tc_Ertx2xtlOkqPsxMv6NjtcQ_5_5"/>
      <w:bookmarkStart w:id="104" w:name="Tc_gmBeKqop002qQbTjP_87VA_5_2"/>
      <w:bookmarkStart w:id="105" w:name="Tc_JRFO96QeR0CSw7WuFM7OiA_5_0"/>
      <w:bookmarkStart w:id="106" w:name="Tc_-iiGMtDvz0awiO0bvOVX_A_4_0"/>
      <w:bookmarkStart w:id="107" w:name="Tc_NfwkT41RckGZo6gJ8_X7Bw_3_0"/>
      <w:bookmarkStart w:id="108" w:name="Tc_fi00LgMcd0CgZ8ZzaWMGzg_2_5"/>
      <w:bookmarkStart w:id="109" w:name="Tc_K2OmbftQd0mP1mKdfSqgbg_2_2"/>
      <w:bookmarkStart w:id="110" w:name="Tc_xhLumWoaWUWxzstOQEYUow_1_2"/>
      <w:bookmarkStart w:id="111" w:name="_8bd1022f_efc8_4e7c_bc29_4db2e3ab06a5"/>
      <w:bookmarkStart w:id="112" w:name="Tc_Sj80qg0ZFEm5kOwTRvJqUw_50_5"/>
      <w:bookmarkStart w:id="113" w:name="Tc_0hbHsT1UiEqR4GNhCGwfLA_50_2"/>
      <w:bookmarkStart w:id="114" w:name="Tc_W7aoMDtXhkGJVq0mnxd66A_50_0"/>
      <w:bookmarkStart w:id="115" w:name="Tc_sfJTAaYU0EOQtyeI2NH8dw_49_0"/>
      <w:bookmarkStart w:id="116" w:name="Tc_qsT7TGiO-UaH6F8hXQrPMw_48_0"/>
      <w:bookmarkStart w:id="117" w:name="Tc_rRgl7rct1UqIkZ79B_yuBw_47_0"/>
      <w:bookmarkStart w:id="118" w:name="Tc_AcXd9SDgykKDpvYtaFkqZQ_46_0"/>
      <w:bookmarkStart w:id="119" w:name="Tc_xl2jHESchEeH790DKrnA1w_45_0"/>
      <w:bookmarkStart w:id="120" w:name="Tc_OVYzBwh3sU6dZcAn17nWJQ_44_0"/>
      <w:bookmarkStart w:id="121" w:name="Tc_VtpBYwu6G0GsY3G7hNrhoA_43_0"/>
      <w:bookmarkStart w:id="122" w:name="Tc_Zz4lRIoro0e1ZX-8MVgDwg_42_0"/>
      <w:bookmarkStart w:id="123" w:name="Tc_WOQbZUjPDkmoufKX5vURmg_41_0"/>
      <w:bookmarkStart w:id="124" w:name="Tc_Pfin3PRjGkKT1IlgyNm5Xw_40_0"/>
      <w:bookmarkStart w:id="125" w:name="Tc_YsyeCEP5BEqn4qoMTqpjRA_39_0"/>
      <w:bookmarkStart w:id="126" w:name="Tc_Fax73Xk6_E64N-Ipy38bcg_38_0"/>
      <w:bookmarkStart w:id="127" w:name="Tc_tlyhTsVsWE-Mb4HpWoM_Og_37_0"/>
      <w:bookmarkStart w:id="128" w:name="Tc_JD-38ejH_EC0G7z-HWZ7bQ_36_0"/>
      <w:bookmarkStart w:id="129" w:name="Tc_2VowaNM3kkahYayNp2e9Sw_35_0"/>
      <w:bookmarkStart w:id="130" w:name="Tc_T2qGm6hrA02DPpT9UI6q0Q_34_0"/>
      <w:bookmarkStart w:id="131" w:name="Tc_8P4wYnwBrUS8xG0a_L-DpQ_33_5"/>
      <w:bookmarkStart w:id="132" w:name="Tc_vBHu6w9OaEOO7ZQuyEhORA_33_2"/>
      <w:bookmarkStart w:id="133" w:name="Tc__a7AP89aJEqfk0nNE0NeZg_33_0"/>
      <w:bookmarkStart w:id="134" w:name="Tc_GKS4LRM3yU2aGMZoSZgGJg_32_0"/>
      <w:bookmarkStart w:id="135" w:name="Tc_RFR3TDAz2U2_tV2xwLjWTQ_31_0"/>
      <w:bookmarkStart w:id="136" w:name="Tc_AIFwghLypU-cA4jlldEIXQ_30_0"/>
      <w:bookmarkStart w:id="137" w:name="Tc_96whER6YjU2iJYicQoD8GQ_29_0"/>
      <w:bookmarkStart w:id="138" w:name="Tc_79HBNY3efEurYZpjznZsuw_28_0"/>
      <w:bookmarkStart w:id="139" w:name="Tc_OAjCTQldR0SXxHVVdif2-A_27_0"/>
      <w:bookmarkStart w:id="140" w:name="Tc_R3zdOT21-ka4Mkn1xuN7ow_26_0"/>
      <w:bookmarkStart w:id="141" w:name="Tc_4jALjS4JnEKSphXHwWmG-g_25_0"/>
      <w:bookmarkStart w:id="142" w:name="Tc_6tpcQ1NHBEi85qbojjVPbQ_24_5"/>
      <w:bookmarkStart w:id="143" w:name="Tc_Uv3TRpXl70K0p21tJrQyLA_24_2"/>
      <w:bookmarkStart w:id="144" w:name="Tc_q1lcAr_CNUiln2k5gPE0iQ_24_0"/>
      <w:bookmarkStart w:id="145" w:name="Tc_GInw5lt_yEaNJsVPLPDaOg_23_0"/>
      <w:bookmarkStart w:id="146" w:name="Tc_UIywIsJUEEy8oLYhwwFbXA_22_0"/>
      <w:bookmarkStart w:id="147" w:name="Tc_QN6odSBgEUm8AhehCwgUcg_21_5"/>
      <w:bookmarkStart w:id="148" w:name="Tc_Qa3EvF2KHk6PbdC097FZ5Q_21_2"/>
      <w:bookmarkStart w:id="149" w:name="Tc_pX5iGiy1NEKPc5RbhXb7Vg_21_0"/>
      <w:bookmarkStart w:id="150" w:name="Tc_eMFsg5hx8U2nh5ghRKstyQ_20_0"/>
      <w:bookmarkStart w:id="151" w:name="Tc_iYNxf4rPb0e15OGS-_o2XQ_19_0"/>
      <w:bookmarkStart w:id="152" w:name="Tc_9HjT5lHfBEWJ_DDjIQLSjQ_18_0"/>
      <w:bookmarkStart w:id="153" w:name="Tc_nRmkOwNGzkWYGmyoUBqWDg_17_0"/>
      <w:bookmarkStart w:id="154" w:name="Tc_Z8hS1vUpBEWf746XiS5AKA_16_0"/>
      <w:bookmarkStart w:id="155" w:name="Tc_UbZeGCvTP0q54Xy_vzKGJA_15_5"/>
      <w:bookmarkStart w:id="156" w:name="Tc_PPscDhuv7UKZ9UmeaZT9UA_15_2"/>
      <w:bookmarkStart w:id="157" w:name="Tc_LXs4jMzVn0iai03IEiZ35g_15_0"/>
      <w:bookmarkStart w:id="158" w:name="Tc_eXWIf4UxcEeIwpqMm4RLoQ_14_0"/>
      <w:bookmarkStart w:id="159" w:name="Tc_IHnHw-nSJEuo-9QokMbvTw_13_0"/>
      <w:bookmarkStart w:id="160" w:name="Tc_dZ_WFIRPPE-ZCpyMgUTCiw_12_0"/>
      <w:bookmarkStart w:id="161" w:name="Tc_7PNtGGWyAUaZBkurNXAMYQ_11_0"/>
      <w:bookmarkStart w:id="162" w:name="Tc_OOttXG_hwUGMUAkfU509ew_10_0"/>
      <w:bookmarkStart w:id="163" w:name="Tc_gK21fUKrp0yjzXY91FpZHQ_9_0"/>
      <w:bookmarkStart w:id="164" w:name="Tc_HVSLwLA7VU2Ua6GogTM-Hg_8_0"/>
      <w:bookmarkStart w:id="165" w:name="Tc_MKTmEJamfkCxNuYrgP8n_Q_7_0"/>
      <w:bookmarkStart w:id="166" w:name="Tc_1LC7KJrchEuFDylzmz3PoQ_6_0"/>
      <w:bookmarkStart w:id="167" w:name="Tc_Ertx2xtlOkqPsxMv6NjtcQ_5_5"/>
      <w:bookmarkStart w:id="168" w:name="Tc_gmBeKqop002qQbTjP_87VA_5_2"/>
      <w:bookmarkStart w:id="169" w:name="Tc_JRFO96QeR0CSw7WuFM7OiA_5_0"/>
      <w:bookmarkStart w:id="170" w:name="Tc_-iiGMtDvz0awiO0bvOVX_A_4_0"/>
      <w:bookmarkStart w:id="171" w:name="Tc_NfwkT41RckGZo6gJ8_X7Bw_3_0"/>
      <w:bookmarkStart w:id="172" w:name="Tc_fi00LgMcd0CgZ8ZzaWMGzg_2_5"/>
      <w:bookmarkStart w:id="173" w:name="Tc_K2OmbftQd0mP1mKdfSqgbg_2_2"/>
      <w:bookmarkStart w:id="174" w:name="Tc_xhLumWoaWUWxzstOQEYUow_1_2"/>
      <w:bookmarkStart w:id="175" w:name="_8bd1022f_efc8_4e7c_bc29_4db2e3ab06a5"/>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W w:w="10205" w:type="dxa"/>
        <w:jc w:val="left"/>
        <w:tblInd w:w="0" w:type="dxa"/>
        <w:tblLayout w:type="fixed"/>
        <w:tblCellMar>
          <w:top w:w="0" w:type="dxa"/>
          <w:left w:w="0" w:type="dxa"/>
          <w:bottom w:w="0" w:type="dxa"/>
          <w:right w:w="0" w:type="dxa"/>
        </w:tblCellMar>
      </w:tblPr>
      <w:tblGrid>
        <w:gridCol w:w="7118"/>
        <w:gridCol w:w="346"/>
        <w:gridCol w:w="210"/>
        <w:gridCol w:w="888"/>
        <w:gridCol w:w="346"/>
        <w:gridCol w:w="252"/>
        <w:gridCol w:w="1045"/>
      </w:tblGrid>
      <w:tr>
        <w:trPr/>
        <w:tc>
          <w:tcPr>
            <w:tcW w:w="7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519930" cy="175260"/>
                      <wp:effectExtent l="0" t="0" r="0" b="0"/>
                      <wp:wrapNone/>
                      <wp:docPr id="78" name="Frame78"/>
                      <a:graphic xmlns:a="http://schemas.openxmlformats.org/drawingml/2006/main">
                        <a:graphicData uri="http://schemas.microsoft.com/office/word/2010/wordprocessingShape">
                          <wps:wsp>
                            <wps:cNvSpPr txBox="1"/>
                            <wps:spPr>
                              <a:xfrm>
                                <a:off x="0" y="0"/>
                                <a:ext cx="451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350" cy="175260"/>
                      <wp:effectExtent l="0" t="0" r="0" b="0"/>
                      <wp:wrapNone/>
                      <wp:docPr id="80" name="Frame80"/>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3880" cy="175260"/>
                      <wp:effectExtent l="0" t="0" r="0" b="0"/>
                      <wp:wrapNone/>
                      <wp:docPr id="81" name="Frame8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0020" cy="175260"/>
                      <wp:effectExtent l="0" t="0" r="0" b="0"/>
                      <wp:wrapNone/>
                      <wp:docPr id="83" name="Frame8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3575" cy="175260"/>
                      <wp:effectExtent l="0" t="0" r="0" b="0"/>
                      <wp:wrapNone/>
                      <wp:docPr id="84" name="Frame8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center"/>
              <w:rPr/>
            </w:pPr>
            <w:r>
              <w:rPr/>
              <w:t>  ​ ​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71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w:t>
            </w:r>
          </w:p>
        </w:tc>
        <w:tc>
          <w:tcPr>
            <w:tcW w:w="12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0"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  ​</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210"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2"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pPr>
            <w:r>
              <w:rPr/>
              <w:t>  ​</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387,299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690,768</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25,590</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23,862</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receivables,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180,132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272,820</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Unbilled receivables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284,711</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239,594</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Receivables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137,534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200,748</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Advances to suppliers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207,218</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126,778</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764,158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455,015</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95,850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54,671</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2,082,492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2,064,256</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Non-current assets: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  ​</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41,766</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50,320</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64,126</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63,403</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28,514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28,584</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asset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4,076</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4,046</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126,923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146,391</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265,405</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292,744</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2,347,897</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2,357,000</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  ​</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pPr>
            <w:r>
              <w:rPr/>
              <w:t>  ​</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189,078</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321,004</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805,530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640,457</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with related parties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66,379</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79,916</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Personnel related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35,410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31,850</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Accruals and provisions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254,610</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246,235</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30,317</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89,066</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20,590</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1,451,325</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1,370,369</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Non-current liabilities:</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  ​</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9,530</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Convertible senior notes, net</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391,707</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390,804</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37,449</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liabilities</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438,389</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437,783</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1,889,714</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1,808,152</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pPr>
            <w:r>
              <w:rPr/>
              <w:t>  ​</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w:t>
            </w:r>
            <w:r>
              <w:rPr>
                <w:rFonts w:ascii="Times New Roman;Times;serif" w:hAnsi="Times New Roman;Times;serif"/>
                <w:color w:val="0D0D0D"/>
                <w:sz w:val="16"/>
              </w:rPr>
              <w:t>$0.00001 per share, 10,000,000 shares authorized; no shares issued and outstanding as of March 31, 2026 and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common stock, $0.00001 par value per share, 1,200,000,000 shares authorized; 133,769,454 shares issued and 132,781,092 shares outstanding as of March 31, 2026; 132,014,571 shares issued and 131,164,365 shares outstanding as of September 30, 2025, respectively</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B-1 common stock, $0.00001 par value per share, 134,325,805 shares authorized; 51,499,195 shares issued and outstanding as of March 31, 2026 and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B-2 common stock, $0.00001 par value per share, 200,000,000 shares authorized; 0 shares issued and outstanding as of March 31, 2026 and September 30, 2025</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(12,930)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(10,213)</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210"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640,755</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627,956</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6,052</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11,613</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(265,759)</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(199,762)</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attributable to Fluence Energy, Inc.</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368,119</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pPr>
            <w:r>
              <w:rPr/>
              <w:t> </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429,595</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90,064</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119,253</w:t>
            </w:r>
          </w:p>
        </w:tc>
      </w:tr>
      <w:tr>
        <w:trPr/>
        <w:tc>
          <w:tcPr>
            <w:tcW w:w="711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458,183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548,848</w:t>
            </w:r>
          </w:p>
        </w:tc>
      </w:tr>
      <w:tr>
        <w:trPr/>
        <w:tc>
          <w:tcPr>
            <w:tcW w:w="711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2,347,897</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2,357,000</w:t>
            </w:r>
          </w:p>
        </w:tc>
      </w:tr>
    </w:tbl>
    <w:p>
      <w:pPr>
        <w:pStyle w:val="TextBody"/>
        <w:bidi w:val="0"/>
        <w:spacing w:before="0" w:after="240"/>
        <w:ind w:left="0" w:right="0" w:hanging="0"/>
        <w:jc w:val="both"/>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6" w:name="_41efc9cf_aed6_4c33_a90f_229e4d1f61da"/>
      <w:bookmarkEnd w:id="176"/>
      <w:r>
        <w:rPr>
          <w:rFonts w:ascii="Times New Roman;Times;serif" w:hAnsi="Times New Roman;Times;serif"/>
          <w:b/>
          <w:sz w:val="20"/>
        </w:rPr>
        <w:t>FLUENCE ENERGY, INC.</w:t>
      </w:r>
    </w:p>
    <w:p>
      <w:pPr>
        <w:pStyle w:val="TextBody"/>
        <w:bidi w:val="0"/>
        <w:spacing w:before="0" w:after="0"/>
        <w:ind w:left="0" w:right="0" w:hanging="0"/>
        <w:jc w:val="center"/>
        <w:rPr>
          <w:rFonts w:ascii="Times New Roman;Times;serif" w:hAnsi="Times New Roman;Times;serif"/>
          <w:b/>
          <w:sz w:val="20"/>
        </w:rPr>
      </w:pPr>
      <w:bookmarkStart w:id="177" w:name="CONDENSEDCONSOLIDATEDSTATEMENTSOFOPERATI"/>
      <w:bookmarkEnd w:id="177"/>
      <w:r>
        <w:rPr>
          <w:rFonts w:ascii="Times New Roman;Times;serif" w:hAnsi="Times New Roman;Times;serif"/>
          <w:b/>
          <w:sz w:val="20"/>
        </w:rPr>
        <w:t>CONDENSED CONSOLIDATED STATEMENTS OF OPERATIONS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 Dollars in Thousands, except share and per share amounts)</w:t>
      </w:r>
    </w:p>
    <w:p>
      <w:pPr>
        <w:pStyle w:val="Normal"/>
        <w:bidi w:val="0"/>
        <w:spacing w:before="0" w:after="0"/>
        <w:jc w:val="left"/>
        <w:rPr>
          <w:sz w:val="4"/>
          <w:szCs w:val="4"/>
        </w:rPr>
      </w:pPr>
      <w:r>
        <w:rPr>
          <w:sz w:val="4"/>
          <w:szCs w:val="4"/>
        </w:rPr>
      </w:r>
      <w:bookmarkStart w:id="178" w:name="Tc_guu8wpaiaEKWq7gY2eeyyw_26_11"/>
      <w:bookmarkStart w:id="179" w:name="Tc_aicemZt8F0iIrX_jZZOtEw_26_8"/>
      <w:bookmarkStart w:id="180" w:name="Tc_pajTGKMo20iKC_94Uj8VDg_26_5"/>
      <w:bookmarkStart w:id="181" w:name="Tc_9M-FBErdLUWSmBHSFEn_QQ_26_2"/>
      <w:bookmarkStart w:id="182" w:name="Tc_acdVLPwOQU66ZJxUPxCSOQ_26_0"/>
      <w:bookmarkStart w:id="183" w:name="Tc_3GaHoVnDn0qZa_DTvbmjTA_25_11"/>
      <w:bookmarkStart w:id="184" w:name="Tc_8qEq33Ci_k-w4QLMsCQogQ_25_8"/>
      <w:bookmarkStart w:id="185" w:name="Tc_PL27u-rX_kW-ps_E2_RWAQ_25_5"/>
      <w:bookmarkStart w:id="186" w:name="Tc_CI95Yn4C30SXfKCp-UAXUw_25_2"/>
      <w:bookmarkStart w:id="187" w:name="Tc_eZq9J0_ZwUiAT2TMKGBzVg_25_0"/>
      <w:bookmarkStart w:id="188" w:name="Tc_vzi_f1tyLkGVjhvoTx984A_24_0"/>
      <w:bookmarkStart w:id="189" w:name="Tc_A04Bcdi22Eyf_NGldEzByw_23_0"/>
      <w:bookmarkStart w:id="190" w:name="Tc_rxmnNvHiu0uptDEGOAJPJg_22_0"/>
      <w:bookmarkStart w:id="191" w:name="Tc_qVir_OvynEO2Nv9NRx4g-g_21_0"/>
      <w:bookmarkStart w:id="192" w:name="Tc_t44AO_ZBgkmMT2Nec_eUnQ_19_11"/>
      <w:bookmarkStart w:id="193" w:name="Tc_dMsH5cqCS0aEWgNdfT7Fog_19_8"/>
      <w:bookmarkStart w:id="194" w:name="Tc_qHUdjsdU2UaFaHO4YltjSw_19_5"/>
      <w:bookmarkStart w:id="195" w:name="Tc_0uHniVqK9ki8kwueOVIqxQ_19_2"/>
      <w:bookmarkStart w:id="196" w:name="Tc_tun4eSpKtk6qc0f6VMUqhQ_19_0"/>
      <w:bookmarkStart w:id="197" w:name="Tc_fBuCfkdiTUiW96miI4T--g_18_11"/>
      <w:bookmarkStart w:id="198" w:name="Tc_wFQ656n2xUyzNI8zYKAp2A_18_8"/>
      <w:bookmarkStart w:id="199" w:name="Tc_Fkd4dPEauUKaGaVZ0gwjXA_18_5"/>
      <w:bookmarkStart w:id="200" w:name="Tc_vbQVKmOMQkmX_Qlj3rjncg_18_2"/>
      <w:bookmarkStart w:id="201" w:name="Tc_TQJfm-M-MEmx2sgAvlTqSQ_18_0"/>
      <w:bookmarkStart w:id="202" w:name="Tc_xLlZtv3y-0OSYS69YRLxMQ_17_11"/>
      <w:bookmarkStart w:id="203" w:name="Tc_-ULFzLTcXUWDDPcAEOb4Mw_17_8"/>
      <w:bookmarkStart w:id="204" w:name="Tc_XL7V5slvf0Kz1zQPJKV5uw_17_5"/>
      <w:bookmarkStart w:id="205" w:name="Tc_a6JbXKhUtEKMzTdZ87tZbg_17_2"/>
      <w:bookmarkStart w:id="206" w:name="Tc_iTcH7Lv7IkOR_z_Jxwrd1w_17_0"/>
      <w:bookmarkStart w:id="207" w:name="Tc_1nQoARk9LU6QmEq4shp7Gw_16_0"/>
      <w:bookmarkStart w:id="208" w:name="Tc_mq0Fza3JYUuY__BLtxHMpg_15_0"/>
      <w:bookmarkStart w:id="209" w:name="Tc_dQlBHC6UZEeFDn1LBwBXCQ_14_0"/>
      <w:bookmarkStart w:id="210" w:name="Tc_zmZcVxZW3USbs43-Qlt5hg_13_0"/>
      <w:bookmarkStart w:id="211" w:name="Tc_N7Q3y2VQB0qeL9ronX1tIw_12_0"/>
      <w:bookmarkStart w:id="212" w:name="Tc_3_RTMifk5UuCgjRk9Lojmg_11_0"/>
      <w:bookmarkStart w:id="213" w:name="Tc_x3YqCj0mF0ahKgQwhErX-g_10_0"/>
      <w:bookmarkStart w:id="214" w:name="Tc_xhLaEn116ECyRmyXf05BRw_9_0"/>
      <w:bookmarkStart w:id="215" w:name="Tc_kp5b8azVQEqTyalG5s8IuA_8_0"/>
      <w:bookmarkStart w:id="216" w:name="Tc_cgdqIdgqekO7_uESpnoduA_7_0"/>
      <w:bookmarkStart w:id="217" w:name="Tc_G3roPUVnxE-Z-B-Vdft7OQ_6_0"/>
      <w:bookmarkStart w:id="218" w:name="Tc_o8-TbUgf20OhWdvit8h1VQ_5_0"/>
      <w:bookmarkStart w:id="219" w:name="Tc_UmIY8Isu40W5MGZnRvXwow_4_0"/>
      <w:bookmarkStart w:id="220" w:name="Tc_WdXKDUBqPU-wEXYIqv8U_A_3_11"/>
      <w:bookmarkStart w:id="221" w:name="Tc__4Qd-4LUlk2G6TqDPHVkiw_3_8"/>
      <w:bookmarkStart w:id="222" w:name="Tc_1F-v32kcI0Gjok8TYEfy1g_3_5"/>
      <w:bookmarkStart w:id="223" w:name="Tc_kuK18JSN2k6EVzj2GzHDyQ_3_2"/>
      <w:bookmarkStart w:id="224" w:name="Tc_mwxeFlurEUiHOubbpIsgrw_3_0"/>
      <w:bookmarkStart w:id="225" w:name="Tc_AtRfjXAjlk264LKsAnkv0w_2_11"/>
      <w:bookmarkStart w:id="226" w:name="Tc_pqsVPSWauku8xvqy6odphA_2_8"/>
      <w:bookmarkStart w:id="227" w:name="Tc_I6bFerGgMEW9WDhxDog4Ug_2_5"/>
      <w:bookmarkStart w:id="228" w:name="Tc_8vGEthX96k2_PChwi6NU9g_2_2"/>
      <w:bookmarkStart w:id="229" w:name="Tc_QzrH2tsV20aZdEIWtRs4SA_1_8"/>
      <w:bookmarkStart w:id="230" w:name="Tc_OWk7aFf4F0OV2GouCBlmRw_1_2"/>
      <w:bookmarkStart w:id="231" w:name="_f28b3b33_1337_4a85_9d7e_edf4c189460e"/>
      <w:bookmarkStart w:id="232" w:name="Tc_guu8wpaiaEKWq7gY2eeyyw_26_11"/>
      <w:bookmarkStart w:id="233" w:name="Tc_aicemZt8F0iIrX_jZZOtEw_26_8"/>
      <w:bookmarkStart w:id="234" w:name="Tc_pajTGKMo20iKC_94Uj8VDg_26_5"/>
      <w:bookmarkStart w:id="235" w:name="Tc_9M-FBErdLUWSmBHSFEn_QQ_26_2"/>
      <w:bookmarkStart w:id="236" w:name="Tc_acdVLPwOQU66ZJxUPxCSOQ_26_0"/>
      <w:bookmarkStart w:id="237" w:name="Tc_3GaHoVnDn0qZa_DTvbmjTA_25_11"/>
      <w:bookmarkStart w:id="238" w:name="Tc_8qEq33Ci_k-w4QLMsCQogQ_25_8"/>
      <w:bookmarkStart w:id="239" w:name="Tc_PL27u-rX_kW-ps_E2_RWAQ_25_5"/>
      <w:bookmarkStart w:id="240" w:name="Tc_CI95Yn4C30SXfKCp-UAXUw_25_2"/>
      <w:bookmarkStart w:id="241" w:name="Tc_eZq9J0_ZwUiAT2TMKGBzVg_25_0"/>
      <w:bookmarkStart w:id="242" w:name="Tc_vzi_f1tyLkGVjhvoTx984A_24_0"/>
      <w:bookmarkStart w:id="243" w:name="Tc_A04Bcdi22Eyf_NGldEzByw_23_0"/>
      <w:bookmarkStart w:id="244" w:name="Tc_rxmnNvHiu0uptDEGOAJPJg_22_0"/>
      <w:bookmarkStart w:id="245" w:name="Tc_qVir_OvynEO2Nv9NRx4g-g_21_0"/>
      <w:bookmarkStart w:id="246" w:name="Tc_t44AO_ZBgkmMT2Nec_eUnQ_19_11"/>
      <w:bookmarkStart w:id="247" w:name="Tc_dMsH5cqCS0aEWgNdfT7Fog_19_8"/>
      <w:bookmarkStart w:id="248" w:name="Tc_qHUdjsdU2UaFaHO4YltjSw_19_5"/>
      <w:bookmarkStart w:id="249" w:name="Tc_0uHniVqK9ki8kwueOVIqxQ_19_2"/>
      <w:bookmarkStart w:id="250" w:name="Tc_tun4eSpKtk6qc0f6VMUqhQ_19_0"/>
      <w:bookmarkStart w:id="251" w:name="Tc_fBuCfkdiTUiW96miI4T--g_18_11"/>
      <w:bookmarkStart w:id="252" w:name="Tc_wFQ656n2xUyzNI8zYKAp2A_18_8"/>
      <w:bookmarkStart w:id="253" w:name="Tc_Fkd4dPEauUKaGaVZ0gwjXA_18_5"/>
      <w:bookmarkStart w:id="254" w:name="Tc_vbQVKmOMQkmX_Qlj3rjncg_18_2"/>
      <w:bookmarkStart w:id="255" w:name="Tc_TQJfm-M-MEmx2sgAvlTqSQ_18_0"/>
      <w:bookmarkStart w:id="256" w:name="Tc_xLlZtv3y-0OSYS69YRLxMQ_17_11"/>
      <w:bookmarkStart w:id="257" w:name="Tc_-ULFzLTcXUWDDPcAEOb4Mw_17_8"/>
      <w:bookmarkStart w:id="258" w:name="Tc_XL7V5slvf0Kz1zQPJKV5uw_17_5"/>
      <w:bookmarkStart w:id="259" w:name="Tc_a6JbXKhUtEKMzTdZ87tZbg_17_2"/>
      <w:bookmarkStart w:id="260" w:name="Tc_iTcH7Lv7IkOR_z_Jxwrd1w_17_0"/>
      <w:bookmarkStart w:id="261" w:name="Tc_1nQoARk9LU6QmEq4shp7Gw_16_0"/>
      <w:bookmarkStart w:id="262" w:name="Tc_mq0Fza3JYUuY__BLtxHMpg_15_0"/>
      <w:bookmarkStart w:id="263" w:name="Tc_dQlBHC6UZEeFDn1LBwBXCQ_14_0"/>
      <w:bookmarkStart w:id="264" w:name="Tc_zmZcVxZW3USbs43-Qlt5hg_13_0"/>
      <w:bookmarkStart w:id="265" w:name="Tc_N7Q3y2VQB0qeL9ronX1tIw_12_0"/>
      <w:bookmarkStart w:id="266" w:name="Tc_3_RTMifk5UuCgjRk9Lojmg_11_0"/>
      <w:bookmarkStart w:id="267" w:name="Tc_x3YqCj0mF0ahKgQwhErX-g_10_0"/>
      <w:bookmarkStart w:id="268" w:name="Tc_xhLaEn116ECyRmyXf05BRw_9_0"/>
      <w:bookmarkStart w:id="269" w:name="Tc_kp5b8azVQEqTyalG5s8IuA_8_0"/>
      <w:bookmarkStart w:id="270" w:name="Tc_cgdqIdgqekO7_uESpnoduA_7_0"/>
      <w:bookmarkStart w:id="271" w:name="Tc_G3roPUVnxE-Z-B-Vdft7OQ_6_0"/>
      <w:bookmarkStart w:id="272" w:name="Tc_o8-TbUgf20OhWdvit8h1VQ_5_0"/>
      <w:bookmarkStart w:id="273" w:name="Tc_UmIY8Isu40W5MGZnRvXwow_4_0"/>
      <w:bookmarkStart w:id="274" w:name="Tc_WdXKDUBqPU-wEXYIqv8U_A_3_11"/>
      <w:bookmarkStart w:id="275" w:name="Tc__4Qd-4LUlk2G6TqDPHVkiw_3_8"/>
      <w:bookmarkStart w:id="276" w:name="Tc_1F-v32kcI0Gjok8TYEfy1g_3_5"/>
      <w:bookmarkStart w:id="277" w:name="Tc_kuK18JSN2k6EVzj2GzHDyQ_3_2"/>
      <w:bookmarkStart w:id="278" w:name="Tc_mwxeFlurEUiHOubbpIsgrw_3_0"/>
      <w:bookmarkStart w:id="279" w:name="Tc_AtRfjXAjlk264LKsAnkv0w_2_11"/>
      <w:bookmarkStart w:id="280" w:name="Tc_pqsVPSWauku8xvqy6odphA_2_8"/>
      <w:bookmarkStart w:id="281" w:name="Tc_I6bFerGgMEW9WDhxDog4Ug_2_5"/>
      <w:bookmarkStart w:id="282" w:name="Tc_8vGEthX96k2_PChwi6NU9g_2_2"/>
      <w:bookmarkStart w:id="283" w:name="Tc_QzrH2tsV20aZdEIWtRs4SA_1_8"/>
      <w:bookmarkStart w:id="284" w:name="Tc_OWk7aFf4F0OV2GouCBlmRw_1_2"/>
      <w:bookmarkStart w:id="285" w:name="_f28b3b33_1337_4a85_9d7e_edf4c189460e"/>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tbl>
      <w:tblPr>
        <w:tblW w:w="10205" w:type="dxa"/>
        <w:jc w:val="left"/>
        <w:tblInd w:w="0" w:type="dxa"/>
        <w:tblLayout w:type="fixed"/>
        <w:tblCellMar>
          <w:top w:w="0" w:type="dxa"/>
          <w:left w:w="0" w:type="dxa"/>
          <w:bottom w:w="0" w:type="dxa"/>
          <w:right w:w="0" w:type="dxa"/>
        </w:tblCellMar>
      </w:tblPr>
      <w:tblGrid>
        <w:gridCol w:w="3368"/>
        <w:gridCol w:w="346"/>
        <w:gridCol w:w="211"/>
        <w:gridCol w:w="1141"/>
        <w:gridCol w:w="346"/>
        <w:gridCol w:w="211"/>
        <w:gridCol w:w="1141"/>
        <w:gridCol w:w="346"/>
        <w:gridCol w:w="211"/>
        <w:gridCol w:w="1141"/>
        <w:gridCol w:w="346"/>
        <w:gridCol w:w="211"/>
        <w:gridCol w:w="1186"/>
      </w:tblGrid>
      <w:tr>
        <w:trPr/>
        <w:tc>
          <w:tcPr>
            <w:tcW w:w="3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38680" cy="175260"/>
                      <wp:effectExtent l="0" t="0" r="0" b="0"/>
                      <wp:wrapNone/>
                      <wp:docPr id="85" name="Frame85"/>
                      <a:graphic xmlns:a="http://schemas.openxmlformats.org/drawingml/2006/main">
                        <a:graphicData uri="http://schemas.microsoft.com/office/word/2010/wordprocessingShape">
                          <wps:wsp>
                            <wps:cNvSpPr txBox="1"/>
                            <wps:spPr>
                              <a:xfrm>
                                <a:off x="0" y="0"/>
                                <a:ext cx="213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24535" cy="175260"/>
                      <wp:effectExtent l="0" t="0" r="0" b="0"/>
                      <wp:wrapNone/>
                      <wp:docPr id="88" name="Frame8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24535" cy="175260"/>
                      <wp:effectExtent l="0" t="0" r="0" b="0"/>
                      <wp:wrapNone/>
                      <wp:docPr id="91" name="Frame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24535" cy="175260"/>
                      <wp:effectExtent l="0" t="0" r="0" b="0"/>
                      <wp:wrapNone/>
                      <wp:docPr id="94" name="Frame9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53110" cy="175260"/>
                      <wp:effectExtent l="0" t="0" r="0" b="0"/>
                      <wp:wrapNone/>
                      <wp:docPr id="97" name="Frame9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0"/>
              <w:ind w:left="0" w:right="0" w:hanging="0"/>
              <w:jc w:val="center"/>
              <w:rPr/>
            </w:pPr>
            <w:r>
              <w:rPr/>
              <w:t>  ​ ​ ​</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424,726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380,606</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related parties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222,397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237,800</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618,406</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and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418,261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389,036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870,446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554,623</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63,783</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39,314</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39,391</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78,119</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5,758</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4,204</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(102,653)</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(3,708)</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(98,945)</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(26,433)</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Fluence Energy,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(72,512)</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Class A common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132,542,675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129,985,932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132,026,842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129,731,535</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132,542,675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129,985,932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132,026,842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129,731,535</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of Class A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3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r>
      <w:tr>
        <w:trPr/>
        <w:tc>
          <w:tcPr>
            <w:tcW w:w="33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6" w:name="_a8b7bc53_48b9_4dca_a03f_a3dbe32e31e0"/>
      <w:bookmarkEnd w:id="286"/>
      <w:r>
        <w:rPr>
          <w:rFonts w:ascii="Times New Roman;Times;serif" w:hAnsi="Times New Roman;Times;serif"/>
          <w:b/>
          <w:sz w:val="20"/>
        </w:rPr>
        <w:t>FLUENCE ENERGY, INC.</w:t>
      </w:r>
    </w:p>
    <w:p>
      <w:pPr>
        <w:pStyle w:val="TextBody"/>
        <w:bidi w:val="0"/>
        <w:spacing w:before="0" w:after="0"/>
        <w:ind w:left="0" w:right="0" w:hanging="0"/>
        <w:jc w:val="center"/>
        <w:rPr>
          <w:rFonts w:ascii="Times New Roman;Times;serif" w:hAnsi="Times New Roman;Times;serif"/>
          <w:b/>
          <w:sz w:val="20"/>
        </w:rPr>
      </w:pPr>
      <w:bookmarkStart w:id="287" w:name="CONDENSEDCONSOLIDATEDSTATEMENTSOFCOMPREH"/>
      <w:bookmarkEnd w:id="287"/>
      <w:r>
        <w:rPr>
          <w:rFonts w:ascii="Times New Roman;Times;serif" w:hAnsi="Times New Roman;Times;serif"/>
          <w:b/>
          <w:sz w:val="20"/>
        </w:rPr>
        <w:t>CONDENSED CONSOLIDATED STATEMENTS OF COMPREHENSIVE INCOME (LOSS)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Normal"/>
        <w:bidi w:val="0"/>
        <w:spacing w:before="0" w:after="0"/>
        <w:jc w:val="left"/>
        <w:rPr>
          <w:sz w:val="4"/>
          <w:szCs w:val="4"/>
        </w:rPr>
      </w:pPr>
      <w:r>
        <w:rPr>
          <w:sz w:val="4"/>
          <w:szCs w:val="4"/>
        </w:rPr>
      </w:r>
      <w:bookmarkStart w:id="288" w:name="Tc_IPVdXhUuvUarjJATqWLTrQ_10_11"/>
      <w:bookmarkStart w:id="289" w:name="Tc_Oahz9OAGjEukszCuSiEVGw_10_8"/>
      <w:bookmarkStart w:id="290" w:name="Tc_unlSr5WEgUSV7rUfrMWI9g_10_5"/>
      <w:bookmarkStart w:id="291" w:name="Tc_W3sPQGS7vkqFrWyx-0nnsQ_10_2"/>
      <w:bookmarkStart w:id="292" w:name="Tc_QWA2xA5sxkS3D4jeyd04WQ_10_0"/>
      <w:bookmarkStart w:id="293" w:name="Tc_qEDGuWzcckuMviUnctm5RA_9_11"/>
      <w:bookmarkStart w:id="294" w:name="Tc_XTlx7SPwiUKth_Cbo_3_rg_9_8"/>
      <w:bookmarkStart w:id="295" w:name="Tc_l449hStXQE2cLFhq_YzgSA_9_5"/>
      <w:bookmarkStart w:id="296" w:name="Tc_Uf3tUQ65-U-Ul0jAWtQIPg_9_2"/>
      <w:bookmarkStart w:id="297" w:name="Tc_ZHhOK1PxFUefoHfC571WHg_9_0"/>
      <w:bookmarkStart w:id="298" w:name="Tc_YoaT6Ysz2k2ldtlggU2nIw_8_11"/>
      <w:bookmarkStart w:id="299" w:name="Tc_8ZXBuL3IkUu7FDJta65wTA_8_8"/>
      <w:bookmarkStart w:id="300" w:name="Tc_ROJfQ8Lx3UiL8lYioyn5bQ_8_5"/>
      <w:bookmarkStart w:id="301" w:name="Tc_KX2X6M3VuEyCL8HWQjekCg_8_2"/>
      <w:bookmarkStart w:id="302" w:name="Tc_rYmpbuXNv0ilXIHrVutSsg_8_0"/>
      <w:bookmarkStart w:id="303" w:name="Tc_Jb6aiQC-D0W1ZxV8tltdqQ_7_0"/>
      <w:bookmarkStart w:id="304" w:name="Tc_tDDg_pKeu0CBN9GatfBX3w_6_0"/>
      <w:bookmarkStart w:id="305" w:name="Tc_M0ZHRLvyAkebdrdT-BnUjw_5_0"/>
      <w:bookmarkStart w:id="306" w:name="Tc_Z7842z2JnEiVAbPm3QkM_w_3_11"/>
      <w:bookmarkStart w:id="307" w:name="Tc_cpLlXMJ92EWfaNVyPzdlYQ_3_8"/>
      <w:bookmarkStart w:id="308" w:name="Tc_GK5h2ni0ZEevpSzLXhJ3hg_3_5"/>
      <w:bookmarkStart w:id="309" w:name="Tc_m1mWM5Cgc06P9n6onWPmrQ_3_2"/>
      <w:bookmarkStart w:id="310" w:name="Tc_NsEqWOgrrkSWQuiJTsBlCA_3_0"/>
      <w:bookmarkStart w:id="311" w:name="Tc_JIQ1bAxq80Cjp7YE1iwqjw_2_11"/>
      <w:bookmarkStart w:id="312" w:name="Tc_ROEfMaJ0J0O3tOw8syrgow_2_8"/>
      <w:bookmarkStart w:id="313" w:name="Tc_xwSa_wyeEEq_bX5g-WQJcw_2_5"/>
      <w:bookmarkStart w:id="314" w:name="Tc_tEhBsgNiMk-QEJh6AevW9A_2_2"/>
      <w:bookmarkStart w:id="315" w:name="Tc_t3UuS4RvJ0ukBEn9aJ6HPg_1_8"/>
      <w:bookmarkStart w:id="316" w:name="Tc_uslnl6jnoUKDrtQ_e_DPDQ_1_2"/>
      <w:bookmarkStart w:id="317" w:name="_878d5cb5_c5fb_4c89_82ba_4ec8cb67ebab"/>
      <w:bookmarkStart w:id="318" w:name="Tc_IPVdXhUuvUarjJATqWLTrQ_10_11"/>
      <w:bookmarkStart w:id="319" w:name="Tc_Oahz9OAGjEukszCuSiEVGw_10_8"/>
      <w:bookmarkStart w:id="320" w:name="Tc_unlSr5WEgUSV7rUfrMWI9g_10_5"/>
      <w:bookmarkStart w:id="321" w:name="Tc_W3sPQGS7vkqFrWyx-0nnsQ_10_2"/>
      <w:bookmarkStart w:id="322" w:name="Tc_QWA2xA5sxkS3D4jeyd04WQ_10_0"/>
      <w:bookmarkStart w:id="323" w:name="Tc_qEDGuWzcckuMviUnctm5RA_9_11"/>
      <w:bookmarkStart w:id="324" w:name="Tc_XTlx7SPwiUKth_Cbo_3_rg_9_8"/>
      <w:bookmarkStart w:id="325" w:name="Tc_l449hStXQE2cLFhq_YzgSA_9_5"/>
      <w:bookmarkStart w:id="326" w:name="Tc_Uf3tUQ65-U-Ul0jAWtQIPg_9_2"/>
      <w:bookmarkStart w:id="327" w:name="Tc_ZHhOK1PxFUefoHfC571WHg_9_0"/>
      <w:bookmarkStart w:id="328" w:name="Tc_YoaT6Ysz2k2ldtlggU2nIw_8_11"/>
      <w:bookmarkStart w:id="329" w:name="Tc_8ZXBuL3IkUu7FDJta65wTA_8_8"/>
      <w:bookmarkStart w:id="330" w:name="Tc_ROJfQ8Lx3UiL8lYioyn5bQ_8_5"/>
      <w:bookmarkStart w:id="331" w:name="Tc_KX2X6M3VuEyCL8HWQjekCg_8_2"/>
      <w:bookmarkStart w:id="332" w:name="Tc_rYmpbuXNv0ilXIHrVutSsg_8_0"/>
      <w:bookmarkStart w:id="333" w:name="Tc_Jb6aiQC-D0W1ZxV8tltdqQ_7_0"/>
      <w:bookmarkStart w:id="334" w:name="Tc_tDDg_pKeu0CBN9GatfBX3w_6_0"/>
      <w:bookmarkStart w:id="335" w:name="Tc_M0ZHRLvyAkebdrdT-BnUjw_5_0"/>
      <w:bookmarkStart w:id="336" w:name="Tc_Z7842z2JnEiVAbPm3QkM_w_3_11"/>
      <w:bookmarkStart w:id="337" w:name="Tc_cpLlXMJ92EWfaNVyPzdlYQ_3_8"/>
      <w:bookmarkStart w:id="338" w:name="Tc_GK5h2ni0ZEevpSzLXhJ3hg_3_5"/>
      <w:bookmarkStart w:id="339" w:name="Tc_m1mWM5Cgc06P9n6onWPmrQ_3_2"/>
      <w:bookmarkStart w:id="340" w:name="Tc_NsEqWOgrrkSWQuiJTsBlCA_3_0"/>
      <w:bookmarkStart w:id="341" w:name="Tc_JIQ1bAxq80Cjp7YE1iwqjw_2_11"/>
      <w:bookmarkStart w:id="342" w:name="Tc_ROEfMaJ0J0O3tOw8syrgow_2_8"/>
      <w:bookmarkStart w:id="343" w:name="Tc_xwSa_wyeEEq_bX5g-WQJcw_2_5"/>
      <w:bookmarkStart w:id="344" w:name="Tc_tEhBsgNiMk-QEJh6AevW9A_2_2"/>
      <w:bookmarkStart w:id="345" w:name="Tc_t3UuS4RvJ0ukBEn9aJ6HPg_1_8"/>
      <w:bookmarkStart w:id="346" w:name="Tc_uslnl6jnoUKDrtQ_e_DPDQ_1_2"/>
      <w:bookmarkStart w:id="347" w:name="_878d5cb5_c5fb_4c89_82ba_4ec8cb67ebab"/>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tbl>
      <w:tblPr>
        <w:tblW w:w="10205" w:type="dxa"/>
        <w:jc w:val="left"/>
        <w:tblInd w:w="0" w:type="dxa"/>
        <w:tblLayout w:type="fixed"/>
        <w:tblCellMar>
          <w:top w:w="0" w:type="dxa"/>
          <w:left w:w="0" w:type="dxa"/>
          <w:bottom w:w="0" w:type="dxa"/>
          <w:right w:w="0" w:type="dxa"/>
        </w:tblCellMar>
      </w:tblPr>
      <w:tblGrid>
        <w:gridCol w:w="4871"/>
        <w:gridCol w:w="346"/>
        <w:gridCol w:w="251"/>
        <w:gridCol w:w="880"/>
        <w:gridCol w:w="129"/>
        <w:gridCol w:w="251"/>
        <w:gridCol w:w="882"/>
        <w:gridCol w:w="346"/>
        <w:gridCol w:w="230"/>
        <w:gridCol w:w="808"/>
        <w:gridCol w:w="118"/>
        <w:gridCol w:w="230"/>
        <w:gridCol w:w="863"/>
      </w:tblGrid>
      <w:tr>
        <w:trPr/>
        <w:tc>
          <w:tcPr>
            <w:tcW w:w="4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093085" cy="175260"/>
                      <wp:effectExtent l="0" t="0" r="0" b="0"/>
                      <wp:wrapNone/>
                      <wp:docPr id="98" name="Frame98"/>
                      <a:graphic xmlns:a="http://schemas.openxmlformats.org/drawingml/2006/main">
                        <a:graphicData uri="http://schemas.microsoft.com/office/word/2010/wordprocessingShape">
                          <wps:wsp>
                            <wps:cNvSpPr txBox="1"/>
                            <wps:spPr>
                              <a:xfrm>
                                <a:off x="0" y="0"/>
                                <a:ext cx="309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9385" cy="175260"/>
                      <wp:effectExtent l="0" t="0" r="0" b="0"/>
                      <wp:wrapNone/>
                      <wp:docPr id="100" name="Frame10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58800" cy="175260"/>
                      <wp:effectExtent l="0" t="0" r="0" b="0"/>
                      <wp:wrapNone/>
                      <wp:docPr id="101" name="Frame101"/>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1915" cy="175260"/>
                      <wp:effectExtent l="0" t="0" r="0" b="0"/>
                      <wp:wrapNone/>
                      <wp:docPr id="102" name="Frame102"/>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9385" cy="175260"/>
                      <wp:effectExtent l="0" t="0" r="0" b="0"/>
                      <wp:wrapNone/>
                      <wp:docPr id="103" name="Frame10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0070" cy="175260"/>
                      <wp:effectExtent l="0" t="0" r="0" b="0"/>
                      <wp:wrapNone/>
                      <wp:docPr id="104" name="Frame104"/>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6050" cy="175260"/>
                      <wp:effectExtent l="0" t="0" r="0" b="0"/>
                      <wp:wrapNone/>
                      <wp:docPr id="106" name="Frame10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13080" cy="175260"/>
                      <wp:effectExtent l="0" t="0" r="0" b="0"/>
                      <wp:wrapNone/>
                      <wp:docPr id="107" name="Frame10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4930" cy="175260"/>
                      <wp:effectExtent l="0" t="0" r="0" b="0"/>
                      <wp:wrapNone/>
                      <wp:docPr id="108" name="Frame108"/>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6050" cy="175260"/>
                      <wp:effectExtent l="0" t="0" r="0" b="0"/>
                      <wp:wrapNone/>
                      <wp:docPr id="109" name="Frame10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48005" cy="175260"/>
                      <wp:effectExtent l="0" t="0" r="0" b="0"/>
                      <wp:wrapNone/>
                      <wp:docPr id="110" name="Frame110"/>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  ​ ​ ​</w:t>
            </w:r>
          </w:p>
        </w:tc>
        <w:tc>
          <w:tcPr>
            <w:tcW w:w="22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4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9" w:type="dxa"/>
            <w:tcBorders/>
            <w:vAlign w:val="center"/>
          </w:tcPr>
          <w:p>
            <w:pPr>
              <w:pStyle w:val="TableContents"/>
              <w:bidi w:val="0"/>
              <w:spacing w:before="0" w:after="1"/>
              <w:ind w:left="0" w:right="0" w:hanging="0"/>
              <w:jc w:val="center"/>
              <w:rPr/>
            </w:pPr>
            <w:r>
              <w:rPr/>
              <w:t>​</w:t>
            </w:r>
          </w:p>
        </w:tc>
        <w:tc>
          <w:tcPr>
            <w:tcW w:w="11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8" w:type="dxa"/>
            <w:tcBorders/>
            <w:vAlign w:val="center"/>
          </w:tcPr>
          <w:p>
            <w:pPr>
              <w:pStyle w:val="TableContents"/>
              <w:bidi w:val="0"/>
              <w:spacing w:before="0" w:after="1"/>
              <w:ind w:left="0" w:right="0" w:hanging="0"/>
              <w:jc w:val="center"/>
              <w:rPr/>
            </w:pPr>
            <w:r>
              <w:rPr/>
              <w:t>​</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(29,239)</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(91,827)</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(98,945)</w:t>
            </w:r>
          </w:p>
        </w:tc>
      </w:tr>
      <w:tr>
        <w:trPr/>
        <w:tc>
          <w:tcPr>
            <w:tcW w:w="4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0" w:type="dxa"/>
            <w:tcBorders/>
            <w:vAlign w:val="center"/>
          </w:tcPr>
          <w:p>
            <w:pPr>
              <w:pStyle w:val="TableContents"/>
              <w:bidi w:val="0"/>
              <w:spacing w:before="0" w:after="1"/>
              <w:ind w:left="0" w:right="0" w:hanging="0"/>
              <w:jc w:val="left"/>
              <w:rPr/>
            </w:pPr>
            <w:r>
              <w:rPr/>
              <w:t>​</w:t>
            </w:r>
          </w:p>
        </w:tc>
        <w:tc>
          <w:tcPr>
            <w:tcW w:w="12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left"/>
              <w:rPr/>
            </w:pPr>
            <w:r>
              <w:rPr/>
              <w:t>​</w:t>
            </w:r>
          </w:p>
        </w:tc>
        <w:tc>
          <w:tcPr>
            <w:tcW w:w="118"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3" w:type="dxa"/>
            <w:tcBorders/>
            <w:vAlign w:val="center"/>
          </w:tcPr>
          <w:p>
            <w:pPr>
              <w:pStyle w:val="TableContents"/>
              <w:bidi w:val="0"/>
              <w:spacing w:before="0" w:after="1"/>
              <w:ind w:left="0" w:right="0" w:hanging="0"/>
              <w:jc w:val="left"/>
              <w:rPr/>
            </w:pPr>
            <w:r>
              <w:rPr/>
              <w:t>​</w:t>
            </w:r>
          </w:p>
        </w:tc>
      </w:tr>
      <w:tr>
        <w:trPr/>
        <w:tc>
          <w:tcPr>
            <w:tcW w:w="4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foreign currency translation,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8,674</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8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3,363</w:t>
            </w:r>
          </w:p>
        </w:tc>
      </w:tr>
      <w:tr>
        <w:trPr/>
        <w:tc>
          <w:tcPr>
            <w:tcW w:w="4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gain on cash flow hedges, net of tax</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w:t>
            </w:r>
          </w:p>
        </w:tc>
        <w:tc>
          <w:tcPr>
            <w:tcW w:w="12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(5,725)</w:t>
            </w:r>
          </w:p>
        </w:tc>
        <w:tc>
          <w:tcPr>
            <w:tcW w:w="11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7,699</w:t>
            </w:r>
          </w:p>
        </w:tc>
      </w:tr>
      <w:tr>
        <w:trPr/>
        <w:tc>
          <w:tcPr>
            <w:tcW w:w="4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(5,255)</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8,180</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11,062</w:t>
            </w:r>
          </w:p>
        </w:tc>
      </w:tr>
      <w:tr>
        <w:trPr/>
        <w:tc>
          <w:tcPr>
            <w:tcW w:w="4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(34,494)</w:t>
            </w:r>
          </w:p>
        </w:tc>
        <w:tc>
          <w:tcPr>
            <w:tcW w:w="12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(33,752)</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(99,557)</w:t>
            </w:r>
          </w:p>
        </w:tc>
        <w:tc>
          <w:tcPr>
            <w:tcW w:w="11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(87,883)</w:t>
            </w:r>
          </w:p>
        </w:tc>
      </w:tr>
      <w:tr>
        <w:trPr/>
        <w:tc>
          <w:tcPr>
            <w:tcW w:w="4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 attributable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(9,784)</w:t>
            </w:r>
          </w:p>
        </w:tc>
        <w:tc>
          <w:tcPr>
            <w:tcW w:w="129"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(27,999)</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(23,294)</w:t>
            </w:r>
          </w:p>
        </w:tc>
      </w:tr>
      <w:tr>
        <w:trPr/>
        <w:tc>
          <w:tcPr>
            <w:tcW w:w="4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loss attributable to Fluence Energy, Inc.</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(24,710)</w:t>
            </w:r>
          </w:p>
        </w:tc>
        <w:tc>
          <w:tcPr>
            <w:tcW w:w="129"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(25,185)</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(71,558)</w:t>
            </w:r>
          </w:p>
        </w:tc>
        <w:tc>
          <w:tcPr>
            <w:tcW w:w="118"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(64,589)</w:t>
            </w:r>
          </w:p>
        </w:tc>
      </w:tr>
    </w:tbl>
    <w:p>
      <w:pPr>
        <w:pStyle w:val="TextBody"/>
        <w:bidi w:val="0"/>
        <w:spacing w:before="0" w:after="24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8" w:name="_9f44bca0_45bf_4d30_b636_cd156ab5f9d0"/>
      <w:bookmarkEnd w:id="348"/>
      <w:r>
        <w:rPr>
          <w:rFonts w:ascii="Times New Roman;Times;serif" w:hAnsi="Times New Roman;Times;serif"/>
          <w:b/>
          <w:sz w:val="20"/>
        </w:rPr>
        <w:t>FLUENCE ENERGY, INC.</w:t>
      </w:r>
    </w:p>
    <w:p>
      <w:pPr>
        <w:pStyle w:val="TextBody"/>
        <w:bidi w:val="0"/>
        <w:spacing w:before="0" w:after="0"/>
        <w:ind w:left="0" w:right="0" w:hanging="0"/>
        <w:jc w:val="center"/>
        <w:rPr>
          <w:rFonts w:ascii="Times New Roman;Times;serif" w:hAnsi="Times New Roman;Times;serif"/>
          <w:b/>
          <w:sz w:val="20"/>
        </w:rPr>
      </w:pPr>
      <w:bookmarkStart w:id="349" w:name="CONDENSEDCONSOLIDATEDSTATEMENTSOFCHANGES"/>
      <w:bookmarkEnd w:id="349"/>
      <w:r>
        <w:rPr>
          <w:rFonts w:ascii="Times New Roman;Times;serif" w:hAnsi="Times New Roman;Times;serif"/>
          <w:b/>
          <w:sz w:val="20"/>
        </w:rPr>
        <w:t>CONDENSED CONSOLIDATED STATEMENTS OF CHANGES IN STOCKHOLDERS’ EQUITY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 Dollars in Thousands, except Shares)</w:t>
      </w:r>
    </w:p>
    <w:p>
      <w:pPr>
        <w:pStyle w:val="Normal"/>
        <w:bidi w:val="0"/>
        <w:spacing w:before="0" w:after="0"/>
        <w:jc w:val="left"/>
        <w:rPr>
          <w:sz w:val="4"/>
          <w:szCs w:val="4"/>
        </w:rPr>
      </w:pPr>
      <w:r>
        <w:rPr>
          <w:sz w:val="4"/>
          <w:szCs w:val="4"/>
        </w:rPr>
      </w:r>
      <w:bookmarkStart w:id="350" w:name="Tc_bBi74Kj85U6CmULrIwNWVw_14_28"/>
      <w:bookmarkStart w:id="351" w:name="Tc_0T2VJhH4fk-OfLaLjO1Gbg_14_25"/>
      <w:bookmarkStart w:id="352" w:name="Tc_jhhzcZzK0UCvEbon3vTJ9A_14_22"/>
      <w:bookmarkStart w:id="353" w:name="Tc_anyBwYoRAU6pq21DThJ0zg_14_17"/>
      <w:bookmarkStart w:id="354" w:name="Tc_OG8qmH4gjkGpSgVQF9d58w_14_14"/>
      <w:bookmarkStart w:id="355" w:name="Tc_w0sWJrbGx0O-nOtTZdum2w_14_11"/>
      <w:bookmarkStart w:id="356" w:name="Tc_traUq6mDUE2Ribv-wzTCeg_14_9"/>
      <w:bookmarkStart w:id="357" w:name="Tc_BhvCDRAcnUefo0GS043xbw_14_4"/>
      <w:bookmarkStart w:id="358" w:name="Tc_t4PAMQTBrEu8-8u-zF0Mwg_14_0"/>
      <w:bookmarkStart w:id="359" w:name="Tc_UCYbvxTe5kKAv8Sno6Mggg_13_23"/>
      <w:bookmarkStart w:id="360" w:name="Tc_88poxR1QC0OMhE5A5-gq2w_13_20"/>
      <w:bookmarkStart w:id="361" w:name="Tc_mtZMsBRvDUyunW7nz5b74g_13_15"/>
      <w:bookmarkStart w:id="362" w:name="Tc_BmO2kM4mJUWET9k1j3DzEw_13_12"/>
      <w:bookmarkStart w:id="363" w:name="Tc_UCT7HIw-gkiAGsqu6SK1UA_13_9"/>
      <w:bookmarkStart w:id="364" w:name="Tc_yydhTuqBYkCEFjQTxRZ8_w_13_7"/>
      <w:bookmarkStart w:id="365" w:name="Tc_6KDpvZ1EnECFN1UefZDfYg_13_5"/>
      <w:bookmarkStart w:id="366" w:name="Tc_x4w5DUUZr0aoR1L2vdz5hQ_13_2"/>
      <w:bookmarkStart w:id="367" w:name="Tc_FZSig4PDQ0WR6lkaKTK0TA_13_0"/>
      <w:bookmarkStart w:id="368" w:name="Tc_Cj4vPaZyIkiXNDqSom4Ulg_12_23"/>
      <w:bookmarkStart w:id="369" w:name="Tc__NJJ9yXz2UK7HNE8MIr92Q_12_20"/>
      <w:bookmarkStart w:id="370" w:name="Tc_AEFLlTcG-k2sdb6kPrPZ2Q_12_15"/>
      <w:bookmarkStart w:id="371" w:name="Tc_5wuhGT4se0ekZZwrIDmOgg_12_12"/>
      <w:bookmarkStart w:id="372" w:name="Tc_bh939vr0JkKr-Y0oSTOn6w_12_9"/>
      <w:bookmarkStart w:id="373" w:name="Tc_jGW6dF2m3UO0ytZ88LyrRw_12_7"/>
      <w:bookmarkStart w:id="374" w:name="Tc_x1hvQFJ3Z0G1nIzHmOxOvw_12_5"/>
      <w:bookmarkStart w:id="375" w:name="Tc_nG0o3hSPkUOfoUdGZCvucg_12_2"/>
      <w:bookmarkStart w:id="376" w:name="Tc_ojN32gld3Ee14674s5pNWw_12_0"/>
      <w:bookmarkStart w:id="377" w:name="Tc_3z1UXyP_tUWluO_sq0u-wQ_11_20"/>
      <w:bookmarkStart w:id="378" w:name="Tc_mp4KBT5cOECudeoP0gFttw_11_18"/>
      <w:bookmarkStart w:id="379" w:name="Tc_MmOcgN_mAU-jvtJohj7qYQ_11_15"/>
      <w:bookmarkStart w:id="380" w:name="Tc_yEBVrpjN0E66Rpzug-QXMw_11_9"/>
      <w:bookmarkStart w:id="381" w:name="Tc_WLY7hISH2k-XValPuHSLzw_11_7"/>
      <w:bookmarkStart w:id="382" w:name="Tc_PA7d-9Y3XEi7eEKFbphVRA_11_5"/>
      <w:bookmarkStart w:id="383" w:name="Tc_v1XwbACBHEC7gptfrzRWlg_11_0"/>
      <w:bookmarkStart w:id="384" w:name="Tc_xvlxKKypokONmMEPeCSs2w_10_26"/>
      <w:bookmarkStart w:id="385" w:name="Tc_9xrfU2aXGEq6fgJWbPgTwA_10_20"/>
      <w:bookmarkStart w:id="386" w:name="Tc_skfSmFInPUWqpr53ZZJsdg_10_18"/>
      <w:bookmarkStart w:id="387" w:name="Tc_WEUecjYPdUquYiyGXOZzdQ_10_15"/>
      <w:bookmarkStart w:id="388" w:name="Tc_yh_d1mxUj0eC2W0u9pP_lw_10_9"/>
      <w:bookmarkStart w:id="389" w:name="Tc_CeVxrJZCQ0uviXekSQ3YDA_10_7"/>
      <w:bookmarkStart w:id="390" w:name="Tc_HT2yHxR0nkGp6JSSCTvN_w_10_5"/>
      <w:bookmarkStart w:id="391" w:name="Tc_yCq06JF0oEe_hBT2lDVfoA_10_2"/>
      <w:bookmarkStart w:id="392" w:name="Tc_bGDhFy4KaUOzvwIFH8vDKw_10_0"/>
      <w:bookmarkStart w:id="393" w:name="Tc_IQ4d-eFoZ0S1i83RvZtZVQ_9_26"/>
      <w:bookmarkStart w:id="394" w:name="Tc_KYwNSBZT20GRU7VogJelVw_9_18"/>
      <w:bookmarkStart w:id="395" w:name="Tc_ejEMToDhc0G52dWY1k1R9w_9_15"/>
      <w:bookmarkStart w:id="396" w:name="Tc_52eX_FgZQU-pcaXjnk7l2g_9_12"/>
      <w:bookmarkStart w:id="397" w:name="Tc_wJ10S8dREEe0cmXrtt0sAw_9_9"/>
      <w:bookmarkStart w:id="398" w:name="Tc_9jbCUXdzwk2aV5sVSzNlAg_9_7"/>
      <w:bookmarkStart w:id="399" w:name="Tc_ZKK79Xlp2ke4bM9KHEkOtg_9_5"/>
      <w:bookmarkStart w:id="400" w:name="Tc_NXOxULpP9EKuuwEZ_k9LOA_9_0"/>
      <w:bookmarkStart w:id="401" w:name="Tc_w7kP_d8b5kOPEnMUX1h3xg_8_26"/>
      <w:bookmarkStart w:id="402" w:name="Tc_WqLs5Or1bE6KH4vYO88eiA_8_23"/>
      <w:bookmarkStart w:id="403" w:name="Tc_s-uDkJOfwUaFBh1vnrpaxg_8_20"/>
      <w:bookmarkStart w:id="404" w:name="Tc_qHZR_OsEYUiKy1NbkuBTGQ_8_18"/>
      <w:bookmarkStart w:id="405" w:name="Tc_2oDlXTzYJ0a3xEflDm7rsA_8_15"/>
      <w:bookmarkStart w:id="406" w:name="Tc_dUgyKHmNZUe-kUgZb8o-sg_8_9"/>
      <w:bookmarkStart w:id="407" w:name="Tc_YGUyXKQYxUepJzWwv5IFVQ_8_7"/>
      <w:bookmarkStart w:id="408" w:name="Tc_MfvK-lm8CUam8-0_75-7Gw_8_5"/>
      <w:bookmarkStart w:id="409" w:name="Tc_4Wd7BANV_Umol_VHPXKATQ_8_0"/>
      <w:bookmarkStart w:id="410" w:name="Tc_yYBWuO2JYU6-1dLGkY4yBQ_7_23"/>
      <w:bookmarkStart w:id="411" w:name="Tc_AsAT_8qw9UGkV1dprKKgKQ_7_20"/>
      <w:bookmarkStart w:id="412" w:name="Tc_eWff26Xya0afwPnU2F1soQ_7_18"/>
      <w:bookmarkStart w:id="413" w:name="Tc_IxlwZWVvtkOs75cg66F6Fg_7_12"/>
      <w:bookmarkStart w:id="414" w:name="Tc_sPlKIcKk60i4q_efiV4NcA_7_9"/>
      <w:bookmarkStart w:id="415" w:name="Tc_G7Oj8EgqgkSJ5A-kWm6L0Q_7_7"/>
      <w:bookmarkStart w:id="416" w:name="Tc_41_-QtFq-0i-tPCPSSnkoQ_7_5"/>
      <w:bookmarkStart w:id="417" w:name="Tc_J-9GcnfYzkaugvPLdXP3NA_7_2"/>
      <w:bookmarkStart w:id="418" w:name="Tc_h9PIYl5-sUOYQLvkn-sa9A_7_0"/>
      <w:bookmarkStart w:id="419" w:name="Tc_GlemWlTqnES5z8zmkKgOtw_6_28"/>
      <w:bookmarkStart w:id="420" w:name="Tc_F5vNceOszkOcR_8-qsekGQ_6_25"/>
      <w:bookmarkStart w:id="421" w:name="Tc_OJVX6u_6106_we2_Ugyoow_6_22"/>
      <w:bookmarkStart w:id="422" w:name="Tc_4gE28Ksbc0KUQRGvJKqaaA_6_17"/>
      <w:bookmarkStart w:id="423" w:name="Tc_sxuqxtxJmE2ybf3MOLpAbw_6_14"/>
      <w:bookmarkStart w:id="424" w:name="Tc_sbJopIs4mU-LVjk0nTNGhg_6_11"/>
      <w:bookmarkStart w:id="425" w:name="Tc_Tv6B60TolEyPfSNDaNL8Tw_6_9"/>
      <w:bookmarkStart w:id="426" w:name="Tc_Pxb-xVO7sEKZapnAw4LvCA_6_4"/>
      <w:bookmarkStart w:id="427" w:name="Tc_MzXoGxTf00699cOP7HLrhQ_6_0"/>
      <w:bookmarkStart w:id="428" w:name="Tc_d5kOuMMZwU60tXbaKkXMqQ_5_28"/>
      <w:bookmarkStart w:id="429" w:name="Tc_bp0GxQceL0eKqdxh5c2XBw_5_25"/>
      <w:bookmarkStart w:id="430" w:name="Tc_fdxu9RkN-Uq7qKGvELhCrQ_5_22"/>
      <w:bookmarkStart w:id="431" w:name="Tc_KMnoCkyqYEGUD_CI77FtHw_5_20"/>
      <w:bookmarkStart w:id="432" w:name="Tc_dvqg7zxC8EiHHUQ0Q6l2Uw_5_17"/>
      <w:bookmarkStart w:id="433" w:name="Tc_O3U9X_FPtEGnJ6He1Bk5PQ_5_14"/>
      <w:bookmarkStart w:id="434" w:name="Tc_co9wmlh4GU6R_l-rXtzw8Q_5_11"/>
      <w:bookmarkStart w:id="435" w:name="Tc_lEvFGXF91Umo0_9lkoXDOQ_5_9"/>
      <w:bookmarkStart w:id="436" w:name="Tc_rHRFHBaOA0KdztLsIpXKfw_5_7"/>
      <w:bookmarkStart w:id="437" w:name="Tc_E_3Jjjd-SUSKrXo8jEplNA_5_4"/>
      <w:bookmarkStart w:id="438" w:name="Tc_eSE_8GfkDkuQRrMJYgNyWg_5_2"/>
      <w:bookmarkStart w:id="439" w:name="Tc_ty4R0Se0bkCF41uY3df1pw_4_28"/>
      <w:bookmarkStart w:id="440" w:name="Tc_OMx4DBdOj0We-hGMpnvJrg_4_26"/>
      <w:bookmarkStart w:id="441" w:name="Tc_hoNUSzVkTUq2yFyqoMs3bg_4_20"/>
      <w:bookmarkStart w:id="442" w:name="Tc_uE1N_XziZU61I0WT32aOIg_4_17"/>
      <w:bookmarkStart w:id="443" w:name="Tc_qzK9zx_TIEubQl6RMSfHvw_4_14"/>
      <w:bookmarkStart w:id="444" w:name="Tc_nyymMAalfUW5uhwIS5oG-w_4_11"/>
      <w:bookmarkStart w:id="445" w:name="Tc_J_UYoITsl0WbBH6Ly4T8KA_4_7"/>
      <w:bookmarkStart w:id="446" w:name="Tc_fciSwpVqUkeWI8nYbXj_vg_4_2"/>
      <w:bookmarkStart w:id="447" w:name="Tc_trTX6qxD6kiTtAhpZx2pMg_3_28"/>
      <w:bookmarkStart w:id="448" w:name="Tc_0PyggcNWNE-3UrJ2RKPB5Q_3_18"/>
      <w:bookmarkStart w:id="449" w:name="Tc_h95QJfI4iE-CLwUEQx1hig_3_11"/>
      <w:bookmarkStart w:id="450" w:name="Tc_3vL3DTzodEOIdnq-xRovMw_3_7"/>
      <w:bookmarkStart w:id="451" w:name="Tc_zw3p-ggClk6L9wCJDdhGYg_3_2"/>
      <w:bookmarkStart w:id="452" w:name="Tc_Io7gyDEU1EeFWnV7JhkVAQ_2_17"/>
      <w:bookmarkStart w:id="453" w:name="Tc_D64qUw0J_0CFdyYMl6JrwQ_1_17"/>
      <w:bookmarkStart w:id="454" w:name="_a030dad9_52df_4cf4_9f9e_4e4498bd1b6b"/>
      <w:bookmarkStart w:id="455" w:name="Tc_bBi74Kj85U6CmULrIwNWVw_14_28"/>
      <w:bookmarkStart w:id="456" w:name="Tc_0T2VJhH4fk-OfLaLjO1Gbg_14_25"/>
      <w:bookmarkStart w:id="457" w:name="Tc_jhhzcZzK0UCvEbon3vTJ9A_14_22"/>
      <w:bookmarkStart w:id="458" w:name="Tc_anyBwYoRAU6pq21DThJ0zg_14_17"/>
      <w:bookmarkStart w:id="459" w:name="Tc_OG8qmH4gjkGpSgVQF9d58w_14_14"/>
      <w:bookmarkStart w:id="460" w:name="Tc_w0sWJrbGx0O-nOtTZdum2w_14_11"/>
      <w:bookmarkStart w:id="461" w:name="Tc_traUq6mDUE2Ribv-wzTCeg_14_9"/>
      <w:bookmarkStart w:id="462" w:name="Tc_BhvCDRAcnUefo0GS043xbw_14_4"/>
      <w:bookmarkStart w:id="463" w:name="Tc_t4PAMQTBrEu8-8u-zF0Mwg_14_0"/>
      <w:bookmarkStart w:id="464" w:name="Tc_UCYbvxTe5kKAv8Sno6Mggg_13_23"/>
      <w:bookmarkStart w:id="465" w:name="Tc_88poxR1QC0OMhE5A5-gq2w_13_20"/>
      <w:bookmarkStart w:id="466" w:name="Tc_mtZMsBRvDUyunW7nz5b74g_13_15"/>
      <w:bookmarkStart w:id="467" w:name="Tc_BmO2kM4mJUWET9k1j3DzEw_13_12"/>
      <w:bookmarkStart w:id="468" w:name="Tc_UCT7HIw-gkiAGsqu6SK1UA_13_9"/>
      <w:bookmarkStart w:id="469" w:name="Tc_yydhTuqBYkCEFjQTxRZ8_w_13_7"/>
      <w:bookmarkStart w:id="470" w:name="Tc_6KDpvZ1EnECFN1UefZDfYg_13_5"/>
      <w:bookmarkStart w:id="471" w:name="Tc_x4w5DUUZr0aoR1L2vdz5hQ_13_2"/>
      <w:bookmarkStart w:id="472" w:name="Tc_FZSig4PDQ0WR6lkaKTK0TA_13_0"/>
      <w:bookmarkStart w:id="473" w:name="Tc_Cj4vPaZyIkiXNDqSom4Ulg_12_23"/>
      <w:bookmarkStart w:id="474" w:name="Tc__NJJ9yXz2UK7HNE8MIr92Q_12_20"/>
      <w:bookmarkStart w:id="475" w:name="Tc_AEFLlTcG-k2sdb6kPrPZ2Q_12_15"/>
      <w:bookmarkStart w:id="476" w:name="Tc_5wuhGT4se0ekZZwrIDmOgg_12_12"/>
      <w:bookmarkStart w:id="477" w:name="Tc_bh939vr0JkKr-Y0oSTOn6w_12_9"/>
      <w:bookmarkStart w:id="478" w:name="Tc_jGW6dF2m3UO0ytZ88LyrRw_12_7"/>
      <w:bookmarkStart w:id="479" w:name="Tc_x1hvQFJ3Z0G1nIzHmOxOvw_12_5"/>
      <w:bookmarkStart w:id="480" w:name="Tc_nG0o3hSPkUOfoUdGZCvucg_12_2"/>
      <w:bookmarkStart w:id="481" w:name="Tc_ojN32gld3Ee14674s5pNWw_12_0"/>
      <w:bookmarkStart w:id="482" w:name="Tc_3z1UXyP_tUWluO_sq0u-wQ_11_20"/>
      <w:bookmarkStart w:id="483" w:name="Tc_mp4KBT5cOECudeoP0gFttw_11_18"/>
      <w:bookmarkStart w:id="484" w:name="Tc_MmOcgN_mAU-jvtJohj7qYQ_11_15"/>
      <w:bookmarkStart w:id="485" w:name="Tc_yEBVrpjN0E66Rpzug-QXMw_11_9"/>
      <w:bookmarkStart w:id="486" w:name="Tc_WLY7hISH2k-XValPuHSLzw_11_7"/>
      <w:bookmarkStart w:id="487" w:name="Tc_PA7d-9Y3XEi7eEKFbphVRA_11_5"/>
      <w:bookmarkStart w:id="488" w:name="Tc_v1XwbACBHEC7gptfrzRWlg_11_0"/>
      <w:bookmarkStart w:id="489" w:name="Tc_xvlxKKypokONmMEPeCSs2w_10_26"/>
      <w:bookmarkStart w:id="490" w:name="Tc_9xrfU2aXGEq6fgJWbPgTwA_10_20"/>
      <w:bookmarkStart w:id="491" w:name="Tc_skfSmFInPUWqpr53ZZJsdg_10_18"/>
      <w:bookmarkStart w:id="492" w:name="Tc_WEUecjYPdUquYiyGXOZzdQ_10_15"/>
      <w:bookmarkStart w:id="493" w:name="Tc_yh_d1mxUj0eC2W0u9pP_lw_10_9"/>
      <w:bookmarkStart w:id="494" w:name="Tc_CeVxrJZCQ0uviXekSQ3YDA_10_7"/>
      <w:bookmarkStart w:id="495" w:name="Tc_HT2yHxR0nkGp6JSSCTvN_w_10_5"/>
      <w:bookmarkStart w:id="496" w:name="Tc_yCq06JF0oEe_hBT2lDVfoA_10_2"/>
      <w:bookmarkStart w:id="497" w:name="Tc_bGDhFy4KaUOzvwIFH8vDKw_10_0"/>
      <w:bookmarkStart w:id="498" w:name="Tc_IQ4d-eFoZ0S1i83RvZtZVQ_9_26"/>
      <w:bookmarkStart w:id="499" w:name="Tc_KYwNSBZT20GRU7VogJelVw_9_18"/>
      <w:bookmarkStart w:id="500" w:name="Tc_ejEMToDhc0G52dWY1k1R9w_9_15"/>
      <w:bookmarkStart w:id="501" w:name="Tc_52eX_FgZQU-pcaXjnk7l2g_9_12"/>
      <w:bookmarkStart w:id="502" w:name="Tc_wJ10S8dREEe0cmXrtt0sAw_9_9"/>
      <w:bookmarkStart w:id="503" w:name="Tc_9jbCUXdzwk2aV5sVSzNlAg_9_7"/>
      <w:bookmarkStart w:id="504" w:name="Tc_ZKK79Xlp2ke4bM9KHEkOtg_9_5"/>
      <w:bookmarkStart w:id="505" w:name="Tc_NXOxULpP9EKuuwEZ_k9LOA_9_0"/>
      <w:bookmarkStart w:id="506" w:name="Tc_w7kP_d8b5kOPEnMUX1h3xg_8_26"/>
      <w:bookmarkStart w:id="507" w:name="Tc_WqLs5Or1bE6KH4vYO88eiA_8_23"/>
      <w:bookmarkStart w:id="508" w:name="Tc_s-uDkJOfwUaFBh1vnrpaxg_8_20"/>
      <w:bookmarkStart w:id="509" w:name="Tc_qHZR_OsEYUiKy1NbkuBTGQ_8_18"/>
      <w:bookmarkStart w:id="510" w:name="Tc_2oDlXTzYJ0a3xEflDm7rsA_8_15"/>
      <w:bookmarkStart w:id="511" w:name="Tc_dUgyKHmNZUe-kUgZb8o-sg_8_9"/>
      <w:bookmarkStart w:id="512" w:name="Tc_YGUyXKQYxUepJzWwv5IFVQ_8_7"/>
      <w:bookmarkStart w:id="513" w:name="Tc_MfvK-lm8CUam8-0_75-7Gw_8_5"/>
      <w:bookmarkStart w:id="514" w:name="Tc_4Wd7BANV_Umol_VHPXKATQ_8_0"/>
      <w:bookmarkStart w:id="515" w:name="Tc_yYBWuO2JYU6-1dLGkY4yBQ_7_23"/>
      <w:bookmarkStart w:id="516" w:name="Tc_AsAT_8qw9UGkV1dprKKgKQ_7_20"/>
      <w:bookmarkStart w:id="517" w:name="Tc_eWff26Xya0afwPnU2F1soQ_7_18"/>
      <w:bookmarkStart w:id="518" w:name="Tc_IxlwZWVvtkOs75cg66F6Fg_7_12"/>
      <w:bookmarkStart w:id="519" w:name="Tc_sPlKIcKk60i4q_efiV4NcA_7_9"/>
      <w:bookmarkStart w:id="520" w:name="Tc_G7Oj8EgqgkSJ5A-kWm6L0Q_7_7"/>
      <w:bookmarkStart w:id="521" w:name="Tc_41_-QtFq-0i-tPCPSSnkoQ_7_5"/>
      <w:bookmarkStart w:id="522" w:name="Tc_J-9GcnfYzkaugvPLdXP3NA_7_2"/>
      <w:bookmarkStart w:id="523" w:name="Tc_h9PIYl5-sUOYQLvkn-sa9A_7_0"/>
      <w:bookmarkStart w:id="524" w:name="Tc_GlemWlTqnES5z8zmkKgOtw_6_28"/>
      <w:bookmarkStart w:id="525" w:name="Tc_F5vNceOszkOcR_8-qsekGQ_6_25"/>
      <w:bookmarkStart w:id="526" w:name="Tc_OJVX6u_6106_we2_Ugyoow_6_22"/>
      <w:bookmarkStart w:id="527" w:name="Tc_4gE28Ksbc0KUQRGvJKqaaA_6_17"/>
      <w:bookmarkStart w:id="528" w:name="Tc_sxuqxtxJmE2ybf3MOLpAbw_6_14"/>
      <w:bookmarkStart w:id="529" w:name="Tc_sbJopIs4mU-LVjk0nTNGhg_6_11"/>
      <w:bookmarkStart w:id="530" w:name="Tc_Tv6B60TolEyPfSNDaNL8Tw_6_9"/>
      <w:bookmarkStart w:id="531" w:name="Tc_Pxb-xVO7sEKZapnAw4LvCA_6_4"/>
      <w:bookmarkStart w:id="532" w:name="Tc_MzXoGxTf00699cOP7HLrhQ_6_0"/>
      <w:bookmarkStart w:id="533" w:name="Tc_d5kOuMMZwU60tXbaKkXMqQ_5_28"/>
      <w:bookmarkStart w:id="534" w:name="Tc_bp0GxQceL0eKqdxh5c2XBw_5_25"/>
      <w:bookmarkStart w:id="535" w:name="Tc_fdxu9RkN-Uq7qKGvELhCrQ_5_22"/>
      <w:bookmarkStart w:id="536" w:name="Tc_KMnoCkyqYEGUD_CI77FtHw_5_20"/>
      <w:bookmarkStart w:id="537" w:name="Tc_dvqg7zxC8EiHHUQ0Q6l2Uw_5_17"/>
      <w:bookmarkStart w:id="538" w:name="Tc_O3U9X_FPtEGnJ6He1Bk5PQ_5_14"/>
      <w:bookmarkStart w:id="539" w:name="Tc_co9wmlh4GU6R_l-rXtzw8Q_5_11"/>
      <w:bookmarkStart w:id="540" w:name="Tc_lEvFGXF91Umo0_9lkoXDOQ_5_9"/>
      <w:bookmarkStart w:id="541" w:name="Tc_rHRFHBaOA0KdztLsIpXKfw_5_7"/>
      <w:bookmarkStart w:id="542" w:name="Tc_E_3Jjjd-SUSKrXo8jEplNA_5_4"/>
      <w:bookmarkStart w:id="543" w:name="Tc_eSE_8GfkDkuQRrMJYgNyWg_5_2"/>
      <w:bookmarkStart w:id="544" w:name="Tc_ty4R0Se0bkCF41uY3df1pw_4_28"/>
      <w:bookmarkStart w:id="545" w:name="Tc_OMx4DBdOj0We-hGMpnvJrg_4_26"/>
      <w:bookmarkStart w:id="546" w:name="Tc_hoNUSzVkTUq2yFyqoMs3bg_4_20"/>
      <w:bookmarkStart w:id="547" w:name="Tc_uE1N_XziZU61I0WT32aOIg_4_17"/>
      <w:bookmarkStart w:id="548" w:name="Tc_qzK9zx_TIEubQl6RMSfHvw_4_14"/>
      <w:bookmarkStart w:id="549" w:name="Tc_nyymMAalfUW5uhwIS5oG-w_4_11"/>
      <w:bookmarkStart w:id="550" w:name="Tc_J_UYoITsl0WbBH6Ly4T8KA_4_7"/>
      <w:bookmarkStart w:id="551" w:name="Tc_fciSwpVqUkeWI8nYbXj_vg_4_2"/>
      <w:bookmarkStart w:id="552" w:name="Tc_trTX6qxD6kiTtAhpZx2pMg_3_28"/>
      <w:bookmarkStart w:id="553" w:name="Tc_0PyggcNWNE-3UrJ2RKPB5Q_3_18"/>
      <w:bookmarkStart w:id="554" w:name="Tc_h95QJfI4iE-CLwUEQx1hig_3_11"/>
      <w:bookmarkStart w:id="555" w:name="Tc_3vL3DTzodEOIdnq-xRovMw_3_7"/>
      <w:bookmarkStart w:id="556" w:name="Tc_zw3p-ggClk6L9wCJDdhGYg_3_2"/>
      <w:bookmarkStart w:id="557" w:name="Tc_Io7gyDEU1EeFWnV7JhkVAQ_2_17"/>
      <w:bookmarkStart w:id="558" w:name="Tc_D64qUw0J_0CFdyYMl6JrwQ_1_17"/>
      <w:bookmarkStart w:id="559" w:name="_a030dad9_52df_4cf4_9f9e_4e4498bd1b6b"/>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tbl>
      <w:tblPr>
        <w:tblW w:w="13560" w:type="dxa"/>
        <w:jc w:val="left"/>
        <w:tblInd w:w="0" w:type="dxa"/>
        <w:tblLayout w:type="fixed"/>
        <w:tblCellMar>
          <w:top w:w="0" w:type="dxa"/>
          <w:left w:w="0" w:type="dxa"/>
          <w:bottom w:w="0" w:type="dxa"/>
          <w:right w:w="0" w:type="dxa"/>
        </w:tblCellMar>
      </w:tblPr>
      <w:tblGrid>
        <w:gridCol w:w="886"/>
        <w:gridCol w:w="346"/>
        <w:gridCol w:w="706"/>
        <w:gridCol w:w="346"/>
        <w:gridCol w:w="346"/>
        <w:gridCol w:w="346"/>
        <w:gridCol w:w="346"/>
        <w:gridCol w:w="646"/>
        <w:gridCol w:w="346"/>
        <w:gridCol w:w="526"/>
        <w:gridCol w:w="346"/>
        <w:gridCol w:w="346"/>
        <w:gridCol w:w="496"/>
        <w:gridCol w:w="346"/>
        <w:gridCol w:w="346"/>
        <w:gridCol w:w="541"/>
        <w:gridCol w:w="346"/>
        <w:gridCol w:w="166"/>
        <w:gridCol w:w="916"/>
        <w:gridCol w:w="346"/>
        <w:gridCol w:w="496"/>
        <w:gridCol w:w="346"/>
        <w:gridCol w:w="346"/>
        <w:gridCol w:w="481"/>
        <w:gridCol w:w="346"/>
        <w:gridCol w:w="346"/>
        <w:gridCol w:w="886"/>
        <w:gridCol w:w="346"/>
        <w:gridCol w:w="346"/>
        <w:gridCol w:w="586"/>
      </w:tblGrid>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48310" cy="175260"/>
                      <wp:effectExtent l="0" t="0" r="0" b="0"/>
                      <wp:wrapNone/>
                      <wp:docPr id="112" name="Frame11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10210" cy="175260"/>
                      <wp:effectExtent l="0" t="0" r="0" b="0"/>
                      <wp:wrapNone/>
                      <wp:docPr id="117" name="Frame11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34010" cy="175260"/>
                      <wp:effectExtent l="0" t="0" r="0" b="0"/>
                      <wp:wrapNone/>
                      <wp:docPr id="119" name="Frame11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14960" cy="175260"/>
                      <wp:effectExtent l="0" t="0" r="0" b="0"/>
                      <wp:wrapNone/>
                      <wp:docPr id="122" name="Frame12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3535" cy="175260"/>
                      <wp:effectExtent l="0" t="0" r="0" b="0"/>
                      <wp:wrapNone/>
                      <wp:docPr id="125" name="Frame12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5410" cy="175260"/>
                      <wp:effectExtent l="0" t="0" r="0" b="0"/>
                      <wp:wrapNone/>
                      <wp:docPr id="127" name="Frame12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81660" cy="175260"/>
                      <wp:effectExtent l="0" t="0" r="0" b="0"/>
                      <wp:wrapNone/>
                      <wp:docPr id="128" name="Frame1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14960" cy="175260"/>
                      <wp:effectExtent l="0" t="0" r="0" b="0"/>
                      <wp:wrapNone/>
                      <wp:docPr id="130" name="Frame13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05435" cy="175260"/>
                      <wp:effectExtent l="0" t="0" r="0" b="0"/>
                      <wp:wrapNone/>
                      <wp:docPr id="133" name="Frame13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2610" cy="175260"/>
                      <wp:effectExtent l="0" t="0" r="0" b="0"/>
                      <wp:wrapNone/>
                      <wp:docPr id="136" name="Frame13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72110" cy="175260"/>
                      <wp:effectExtent l="0" t="0" r="0" b="0"/>
                      <wp:wrapNone/>
                      <wp:docPr id="139" name="Frame1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0"/>
              <w:ind w:left="0" w:right="0" w:hanging="0"/>
              <w:jc w:val="center"/>
              <w:rPr/>
            </w:pPr>
            <w:r>
              <w:rPr/>
              <w:t>​</w:t>
            </w:r>
          </w:p>
        </w:tc>
        <w:tc>
          <w:tcPr>
            <w:tcW w:w="151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B-1</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15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rPr/>
            </w:pPr>
            <w:r>
              <w:rPr/>
              <w:t>​</w:t>
            </w:r>
          </w:p>
        </w:tc>
        <w:tc>
          <w:tcPr>
            <w:tcW w:w="16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Non-Controllig</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0"/>
              <w:ind w:left="0" w:right="0" w:hanging="0"/>
              <w:jc w:val="center"/>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132,220,374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635,552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(244,832)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9,835</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968,602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(12,568)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100,236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488,224</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(20,927)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(8,312)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(29,239)</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246,213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3,942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3,942</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Class A common stock withheld related to settlement of employee taxes for stock-based compensation awards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(19,760)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19,760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(362)</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Effect of remeasurement of non-controlling interest due to other share transactions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(388)</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334,265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 on foreign currency translation,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(2,216)</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(3,072)</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 on cash flow hedges, net of tax</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(1,567)</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(616)</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(2,183)</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132,781,092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640,755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(265,759)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6,052</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988,362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(12,930)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90,064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458,183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60" w:name="Tc_2RVzijzc9UiNYo74GPXzWw_14_28"/>
      <w:bookmarkStart w:id="561" w:name="Tc_1DJoGNgs1k6p6rQAoux3DQ_14_25"/>
      <w:bookmarkStart w:id="562" w:name="Tc_Ds3AkQslFEGNHtvK5HEAkQ_14_22"/>
      <w:bookmarkStart w:id="563" w:name="Tc_m4DSLPRzWEOUXKWiworynA_14_17"/>
      <w:bookmarkStart w:id="564" w:name="Tc_cETJPfDJT0OVChwgQXBm3g_14_14"/>
      <w:bookmarkStart w:id="565" w:name="Tc_Vb-Ic4vqk0uJCnWzBY00aA_14_11"/>
      <w:bookmarkStart w:id="566" w:name="Tc_vxrAc66dwECKxvtZRdiuJw_14_9"/>
      <w:bookmarkStart w:id="567" w:name="Tc_VByHXnBtCUa0ifIPRVsgwA_14_4"/>
      <w:bookmarkStart w:id="568" w:name="Tc_mqzljp9kvESPA5pNNn6vFA_14_0"/>
      <w:bookmarkStart w:id="569" w:name="Tc_UxDROdXcPU6giFoxQKsQKQ_13_23"/>
      <w:bookmarkStart w:id="570" w:name="Tc_oIzWwMcF2UWq1F2xI_dqyA_13_20"/>
      <w:bookmarkStart w:id="571" w:name="Tc_mHGp465ev06A4Fo-_ALhmQ_13_15"/>
      <w:bookmarkStart w:id="572" w:name="Tc_h99JHHNvskiQbgOEGcmoGw_13_12"/>
      <w:bookmarkStart w:id="573" w:name="Tc_Y5XY1knhNUac5PSPf13Img_13_9"/>
      <w:bookmarkStart w:id="574" w:name="Tc_IsBeqPPmN0eEMBHMBycs3w_13_7"/>
      <w:bookmarkStart w:id="575" w:name="Tc_-PVti6EnAESK0m-EvbzVjA_13_5"/>
      <w:bookmarkStart w:id="576" w:name="Tc_6fwWo5AGbkuV6UYKSEtk_g_13_2"/>
      <w:bookmarkStart w:id="577" w:name="Tc_Z8qNNRVmUEC3dEUsl0v2ag_13_0"/>
      <w:bookmarkStart w:id="578" w:name="Tc_2jo8ELe4pUO0z9dWifkesQ_12_23"/>
      <w:bookmarkStart w:id="579" w:name="Tc_WLfNydgIbU2toSwwLInFLw_12_20"/>
      <w:bookmarkStart w:id="580" w:name="Tc_2IVkxT4kskC5LSKvuMW9eQ_12_15"/>
      <w:bookmarkStart w:id="581" w:name="Tc_AsudQBFTO0u3K8lj5PzdfQ_12_12"/>
      <w:bookmarkStart w:id="582" w:name="Tc_eoeDEUsJHk6eqBWwGoGLfQ_12_9"/>
      <w:bookmarkStart w:id="583" w:name="Tc_NWWlM06Ul0q0LOj8TfFRZA_12_7"/>
      <w:bookmarkStart w:id="584" w:name="Tc_t-sUj3kIxEey5G9ISr8BHQ_12_5"/>
      <w:bookmarkStart w:id="585" w:name="Tc_k7GSL-Q7c0uSupCaRLHY0Q_12_2"/>
      <w:bookmarkStart w:id="586" w:name="Tc__cHNVAfqk0eCA9i_CSPO2g_12_0"/>
      <w:bookmarkStart w:id="587" w:name="Tc_fOBI4zI-tEKX6KxIhNlJ8Q_11_23"/>
      <w:bookmarkStart w:id="588" w:name="Tc_nb5hTMnrqkm6C_mIXkOfXg_11_20"/>
      <w:bookmarkStart w:id="589" w:name="Tc_YH-pCXIYU06sln24236oMw_11_18"/>
      <w:bookmarkStart w:id="590" w:name="Tc_vIKNVLWkOEm8g7U4l_UmYQ_11_15"/>
      <w:bookmarkStart w:id="591" w:name="Tc_xjGIDV-LhU6QP1R8i7sPJQ_11_9"/>
      <w:bookmarkStart w:id="592" w:name="Tc_gfpL82D0lEqRB7Ls6hrnBQ_11_7"/>
      <w:bookmarkStart w:id="593" w:name="Tc_w4Lyansf2UOCsDgxNzSMwA_11_5"/>
      <w:bookmarkStart w:id="594" w:name="Tc_DxJdWzQnWEK6MqLQD_pKsw_11_0"/>
      <w:bookmarkStart w:id="595" w:name="Tc_RAKUKgrqK0SfAkpILmnz5w_10_29"/>
      <w:bookmarkStart w:id="596" w:name="Tc_fCoqLckzv0ie8Bmf4i3qfQ_10_23"/>
      <w:bookmarkStart w:id="597" w:name="Tc_FP5q9jLq3kCU7dhJBk2d5g_10_20"/>
      <w:bookmarkStart w:id="598" w:name="Tc_9mpSc6DOskqppKzMM4s53A_10_18"/>
      <w:bookmarkStart w:id="599" w:name="Tc_35DfvJHC2kaQ7Z8dxaSFsA_10_15"/>
      <w:bookmarkStart w:id="600" w:name="Tc_HlFfKASSOEehqnRyeqh6yw_10_9"/>
      <w:bookmarkStart w:id="601" w:name="Tc_weQAhl3HQUuiO0Jgx1oHXw_10_7"/>
      <w:bookmarkStart w:id="602" w:name="Tc_WJVGogCFmkS8f5gOCVqOfQ_10_5"/>
      <w:bookmarkStart w:id="603" w:name="Tc_IajHeudzoUiMznC4pPaESw_10_2"/>
      <w:bookmarkStart w:id="604" w:name="Tc_0SzsC5AQtkybJVwu0aOJtA_10_0"/>
      <w:bookmarkStart w:id="605" w:name="Tc_8bNBLPWoekqbcjvN6gXs0Q_9_18"/>
      <w:bookmarkStart w:id="606" w:name="Tc_5RZ22vZCRkGfGTNRVw4jww_9_15"/>
      <w:bookmarkStart w:id="607" w:name="Tc_43j78CAI9k6M5rCRDkh69A_9_12"/>
      <w:bookmarkStart w:id="608" w:name="Tc_p9GuH28b8E27sAiJ7VLwYA_9_9"/>
      <w:bookmarkStart w:id="609" w:name="Tc_0qH3Xerv5k6x4we1YdefAw_9_7"/>
      <w:bookmarkStart w:id="610" w:name="Tc_lxzoenZZpEe_4jt7F-J7UQ_9_5"/>
      <w:bookmarkStart w:id="611" w:name="Tc_XrZ-TW6IlUidDCf9jLP8Uw_9_0"/>
      <w:bookmarkStart w:id="612" w:name="Tc_sWIySsZAaEiBb-CeEQiYqw_8_26"/>
      <w:bookmarkStart w:id="613" w:name="Tc_Jb9UYQDO6kK97-OcvmePjg_8_23"/>
      <w:bookmarkStart w:id="614" w:name="Tc_GTdma03bfkeBEMJ4pf_mSw_8_20"/>
      <w:bookmarkStart w:id="615" w:name="Tc_nPyOMXms9EmzSm_APuYshg_8_18"/>
      <w:bookmarkStart w:id="616" w:name="Tc_LKYOTq4oFU---0fH2XuxOw_8_15"/>
      <w:bookmarkStart w:id="617" w:name="Tc_sC69AxmDkU-VZm_bY63jJQ_8_9"/>
      <w:bookmarkStart w:id="618" w:name="Tc_Udb_f15ieUKrHNMoW1m8aQ_8_7"/>
      <w:bookmarkStart w:id="619" w:name="Tc_p0fDmUgxm0aAF4wKW0HuYA_8_5"/>
      <w:bookmarkStart w:id="620" w:name="Tc_xXXBKg10xkqS3EYDVsbrqw_8_0"/>
      <w:bookmarkStart w:id="621" w:name="Tc_ZayfWdVGHkmVcT06lC4ehw_7_20"/>
      <w:bookmarkStart w:id="622" w:name="Tc_alTeMPsmAkukGmfKYdLSBQ_7_18"/>
      <w:bookmarkStart w:id="623" w:name="Tc_9JvLBt5vPUi7k9_-tKCi1Q_7_15"/>
      <w:bookmarkStart w:id="624" w:name="Tc_WfTQr8TICkiJ2MbUe_4ncA_7_9"/>
      <w:bookmarkStart w:id="625" w:name="Tc_lCYAjjJNRUS46xCIAVKaxA_7_7"/>
      <w:bookmarkStart w:id="626" w:name="Tc_khX8zymtDki6O7i3nn0W2A_7_5"/>
      <w:bookmarkStart w:id="627" w:name="Tc_N60ncTvSTEicN0JcaE7XRA_7_2"/>
      <w:bookmarkStart w:id="628" w:name="Tc_8QPzg_LJEE-qe8QLcU7Qnw_7_0"/>
      <w:bookmarkStart w:id="629" w:name="Tc_8KtYyRZU0kWQXCL2T96Naw_6_28"/>
      <w:bookmarkStart w:id="630" w:name="Tc_tjUA4VCxZ0K8dlV9QeXyiw_6_25"/>
      <w:bookmarkStart w:id="631" w:name="Tc_QdtLX6VaGkCAQTzn9u18Qw_6_22"/>
      <w:bookmarkStart w:id="632" w:name="Tc__-7PeXlcyku_W-EBbDioJQ_6_17"/>
      <w:bookmarkStart w:id="633" w:name="Tc_4mYupBeOs0aKaBNco5_IjA_6_14"/>
      <w:bookmarkStart w:id="634" w:name="Tc_uNgFZi0QPEKTIw2oIJ9OjA_6_11"/>
      <w:bookmarkStart w:id="635" w:name="Tc_STFsAERZukeuelQ7gGXnaQ_6_9"/>
      <w:bookmarkStart w:id="636" w:name="Tc_E7BUMh_qUEada1A3TZHfdQ_6_4"/>
      <w:bookmarkStart w:id="637" w:name="Tc_za4mjIGc0kev9Jdj0sOPsw_6_0"/>
      <w:bookmarkStart w:id="638" w:name="Tc_R9vQinqfoECucdSDAZjWiA_5_28"/>
      <w:bookmarkStart w:id="639" w:name="Tc_gUe447NT6UiBWbhGaqtE9g_5_25"/>
      <w:bookmarkStart w:id="640" w:name="Tc_J07_p0OgAEiuwJ8Z3NhEaw_5_22"/>
      <w:bookmarkStart w:id="641" w:name="Tc_B8sOe6RyIEG_EvojFC7cpg_5_20"/>
      <w:bookmarkStart w:id="642" w:name="Tc_Cq1V5oGoQkOrnAU-E4zHvQ_5_17"/>
      <w:bookmarkStart w:id="643" w:name="Tc_jc7CCzfoxUCsqn_7GsS25g_5_14"/>
      <w:bookmarkStart w:id="644" w:name="Tc_2Rjt-8w8AUCGjz62eFNDZQ_5_11"/>
      <w:bookmarkStart w:id="645" w:name="Tc_NWgfDxi6106ndqJ9JdBdoQ_5_9"/>
      <w:bookmarkStart w:id="646" w:name="Tc_HQkrK3ft10WLNgLbJ0bZ4w_5_7"/>
      <w:bookmarkStart w:id="647" w:name="Tc_j5kaatEKk02lmxucymMtgw_5_4"/>
      <w:bookmarkStart w:id="648" w:name="Tc_lnv2vGf4JUmlJqJz5JcmGQ_5_2"/>
      <w:bookmarkStart w:id="649" w:name="Tc_e0C7G6tLYUCD4wnmz5runQ_4_28"/>
      <w:bookmarkStart w:id="650" w:name="Tc_IxdgOn7oKk68u0Us2lB21g_4_26"/>
      <w:bookmarkStart w:id="651" w:name="Tc_C1ci2jbR_k2269EclQb1Kw_4_20"/>
      <w:bookmarkStart w:id="652" w:name="Tc_yXVNcay9SESVsdyieEDfVA_4_17"/>
      <w:bookmarkStart w:id="653" w:name="Tc_bwvZmmeu4EucBWilRHXesw_4_14"/>
      <w:bookmarkStart w:id="654" w:name="Tc_yDbw4CgKykW5qZkLpadZDA_4_11"/>
      <w:bookmarkStart w:id="655" w:name="Tc_g8vd8mz3IkyuN0rZOiHwpw_4_7"/>
      <w:bookmarkStart w:id="656" w:name="Tc_pARDkQcVTUKiM8EtOYFb_A_4_2"/>
      <w:bookmarkStart w:id="657" w:name="Tc_mih9wAAgG0emXIZ1PmOiqA_3_28"/>
      <w:bookmarkStart w:id="658" w:name="Tc_hZ6LT74-S02YB2vtEu0raw_3_18"/>
      <w:bookmarkStart w:id="659" w:name="Tc_QOoRv5DVN06Y8ZyeN9rUJQ_3_11"/>
      <w:bookmarkStart w:id="660" w:name="Tc_7Z7YDIk1GkiHOWFu7Ss68g_3_7"/>
      <w:bookmarkStart w:id="661" w:name="Tc_XXf6GBNS20WK5L1d0drmTw_3_2"/>
      <w:bookmarkStart w:id="662" w:name="Tc_iboMsWCt_EKeXXhJjUaeNw_2_17"/>
      <w:bookmarkStart w:id="663" w:name="Tc_Ixzq_S8GTUe_UWVglcLtZA_1_17"/>
      <w:bookmarkStart w:id="664" w:name="_a629f03d_14a9_4232_9108_4d3c175e4bec"/>
      <w:bookmarkStart w:id="665" w:name="Tc_2RVzijzc9UiNYo74GPXzWw_14_28"/>
      <w:bookmarkStart w:id="666" w:name="Tc_1DJoGNgs1k6p6rQAoux3DQ_14_25"/>
      <w:bookmarkStart w:id="667" w:name="Tc_Ds3AkQslFEGNHtvK5HEAkQ_14_22"/>
      <w:bookmarkStart w:id="668" w:name="Tc_m4DSLPRzWEOUXKWiworynA_14_17"/>
      <w:bookmarkStart w:id="669" w:name="Tc_cETJPfDJT0OVChwgQXBm3g_14_14"/>
      <w:bookmarkStart w:id="670" w:name="Tc_Vb-Ic4vqk0uJCnWzBY00aA_14_11"/>
      <w:bookmarkStart w:id="671" w:name="Tc_vxrAc66dwECKxvtZRdiuJw_14_9"/>
      <w:bookmarkStart w:id="672" w:name="Tc_VByHXnBtCUa0ifIPRVsgwA_14_4"/>
      <w:bookmarkStart w:id="673" w:name="Tc_mqzljp9kvESPA5pNNn6vFA_14_0"/>
      <w:bookmarkStart w:id="674" w:name="Tc_UxDROdXcPU6giFoxQKsQKQ_13_23"/>
      <w:bookmarkStart w:id="675" w:name="Tc_oIzWwMcF2UWq1F2xI_dqyA_13_20"/>
      <w:bookmarkStart w:id="676" w:name="Tc_mHGp465ev06A4Fo-_ALhmQ_13_15"/>
      <w:bookmarkStart w:id="677" w:name="Tc_h99JHHNvskiQbgOEGcmoGw_13_12"/>
      <w:bookmarkStart w:id="678" w:name="Tc_Y5XY1knhNUac5PSPf13Img_13_9"/>
      <w:bookmarkStart w:id="679" w:name="Tc_IsBeqPPmN0eEMBHMBycs3w_13_7"/>
      <w:bookmarkStart w:id="680" w:name="Tc_-PVti6EnAESK0m-EvbzVjA_13_5"/>
      <w:bookmarkStart w:id="681" w:name="Tc_6fwWo5AGbkuV6UYKSEtk_g_13_2"/>
      <w:bookmarkStart w:id="682" w:name="Tc_Z8qNNRVmUEC3dEUsl0v2ag_13_0"/>
      <w:bookmarkStart w:id="683" w:name="Tc_2jo8ELe4pUO0z9dWifkesQ_12_23"/>
      <w:bookmarkStart w:id="684" w:name="Tc_WLfNydgIbU2toSwwLInFLw_12_20"/>
      <w:bookmarkStart w:id="685" w:name="Tc_2IVkxT4kskC5LSKvuMW9eQ_12_15"/>
      <w:bookmarkStart w:id="686" w:name="Tc_AsudQBFTO0u3K8lj5PzdfQ_12_12"/>
      <w:bookmarkStart w:id="687" w:name="Tc_eoeDEUsJHk6eqBWwGoGLfQ_12_9"/>
      <w:bookmarkStart w:id="688" w:name="Tc_NWWlM06Ul0q0LOj8TfFRZA_12_7"/>
      <w:bookmarkStart w:id="689" w:name="Tc_t-sUj3kIxEey5G9ISr8BHQ_12_5"/>
      <w:bookmarkStart w:id="690" w:name="Tc_k7GSL-Q7c0uSupCaRLHY0Q_12_2"/>
      <w:bookmarkStart w:id="691" w:name="Tc__cHNVAfqk0eCA9i_CSPO2g_12_0"/>
      <w:bookmarkStart w:id="692" w:name="Tc_fOBI4zI-tEKX6KxIhNlJ8Q_11_23"/>
      <w:bookmarkStart w:id="693" w:name="Tc_nb5hTMnrqkm6C_mIXkOfXg_11_20"/>
      <w:bookmarkStart w:id="694" w:name="Tc_YH-pCXIYU06sln24236oMw_11_18"/>
      <w:bookmarkStart w:id="695" w:name="Tc_vIKNVLWkOEm8g7U4l_UmYQ_11_15"/>
      <w:bookmarkStart w:id="696" w:name="Tc_xjGIDV-LhU6QP1R8i7sPJQ_11_9"/>
      <w:bookmarkStart w:id="697" w:name="Tc_gfpL82D0lEqRB7Ls6hrnBQ_11_7"/>
      <w:bookmarkStart w:id="698" w:name="Tc_w4Lyansf2UOCsDgxNzSMwA_11_5"/>
      <w:bookmarkStart w:id="699" w:name="Tc_DxJdWzQnWEK6MqLQD_pKsw_11_0"/>
      <w:bookmarkStart w:id="700" w:name="Tc_RAKUKgrqK0SfAkpILmnz5w_10_29"/>
      <w:bookmarkStart w:id="701" w:name="Tc_fCoqLckzv0ie8Bmf4i3qfQ_10_23"/>
      <w:bookmarkStart w:id="702" w:name="Tc_FP5q9jLq3kCU7dhJBk2d5g_10_20"/>
      <w:bookmarkStart w:id="703" w:name="Tc_9mpSc6DOskqppKzMM4s53A_10_18"/>
      <w:bookmarkStart w:id="704" w:name="Tc_35DfvJHC2kaQ7Z8dxaSFsA_10_15"/>
      <w:bookmarkStart w:id="705" w:name="Tc_HlFfKASSOEehqnRyeqh6yw_10_9"/>
      <w:bookmarkStart w:id="706" w:name="Tc_weQAhl3HQUuiO0Jgx1oHXw_10_7"/>
      <w:bookmarkStart w:id="707" w:name="Tc_WJVGogCFmkS8f5gOCVqOfQ_10_5"/>
      <w:bookmarkStart w:id="708" w:name="Tc_IajHeudzoUiMznC4pPaESw_10_2"/>
      <w:bookmarkStart w:id="709" w:name="Tc_0SzsC5AQtkybJVwu0aOJtA_10_0"/>
      <w:bookmarkStart w:id="710" w:name="Tc_8bNBLPWoekqbcjvN6gXs0Q_9_18"/>
      <w:bookmarkStart w:id="711" w:name="Tc_5RZ22vZCRkGfGTNRVw4jww_9_15"/>
      <w:bookmarkStart w:id="712" w:name="Tc_43j78CAI9k6M5rCRDkh69A_9_12"/>
      <w:bookmarkStart w:id="713" w:name="Tc_p9GuH28b8E27sAiJ7VLwYA_9_9"/>
      <w:bookmarkStart w:id="714" w:name="Tc_0qH3Xerv5k6x4we1YdefAw_9_7"/>
      <w:bookmarkStart w:id="715" w:name="Tc_lxzoenZZpEe_4jt7F-J7UQ_9_5"/>
      <w:bookmarkStart w:id="716" w:name="Tc_XrZ-TW6IlUidDCf9jLP8Uw_9_0"/>
      <w:bookmarkStart w:id="717" w:name="Tc_sWIySsZAaEiBb-CeEQiYqw_8_26"/>
      <w:bookmarkStart w:id="718" w:name="Tc_Jb9UYQDO6kK97-OcvmePjg_8_23"/>
      <w:bookmarkStart w:id="719" w:name="Tc_GTdma03bfkeBEMJ4pf_mSw_8_20"/>
      <w:bookmarkStart w:id="720" w:name="Tc_nPyOMXms9EmzSm_APuYshg_8_18"/>
      <w:bookmarkStart w:id="721" w:name="Tc_LKYOTq4oFU---0fH2XuxOw_8_15"/>
      <w:bookmarkStart w:id="722" w:name="Tc_sC69AxmDkU-VZm_bY63jJQ_8_9"/>
      <w:bookmarkStart w:id="723" w:name="Tc_Udb_f15ieUKrHNMoW1m8aQ_8_7"/>
      <w:bookmarkStart w:id="724" w:name="Tc_p0fDmUgxm0aAF4wKW0HuYA_8_5"/>
      <w:bookmarkStart w:id="725" w:name="Tc_xXXBKg10xkqS3EYDVsbrqw_8_0"/>
      <w:bookmarkStart w:id="726" w:name="Tc_ZayfWdVGHkmVcT06lC4ehw_7_20"/>
      <w:bookmarkStart w:id="727" w:name="Tc_alTeMPsmAkukGmfKYdLSBQ_7_18"/>
      <w:bookmarkStart w:id="728" w:name="Tc_9JvLBt5vPUi7k9_-tKCi1Q_7_15"/>
      <w:bookmarkStart w:id="729" w:name="Tc_WfTQr8TICkiJ2MbUe_4ncA_7_9"/>
      <w:bookmarkStart w:id="730" w:name="Tc_lCYAjjJNRUS46xCIAVKaxA_7_7"/>
      <w:bookmarkStart w:id="731" w:name="Tc_khX8zymtDki6O7i3nn0W2A_7_5"/>
      <w:bookmarkStart w:id="732" w:name="Tc_N60ncTvSTEicN0JcaE7XRA_7_2"/>
      <w:bookmarkStart w:id="733" w:name="Tc_8QPzg_LJEE-qe8QLcU7Qnw_7_0"/>
      <w:bookmarkStart w:id="734" w:name="Tc_8KtYyRZU0kWQXCL2T96Naw_6_28"/>
      <w:bookmarkStart w:id="735" w:name="Tc_tjUA4VCxZ0K8dlV9QeXyiw_6_25"/>
      <w:bookmarkStart w:id="736" w:name="Tc_QdtLX6VaGkCAQTzn9u18Qw_6_22"/>
      <w:bookmarkStart w:id="737" w:name="Tc__-7PeXlcyku_W-EBbDioJQ_6_17"/>
      <w:bookmarkStart w:id="738" w:name="Tc_4mYupBeOs0aKaBNco5_IjA_6_14"/>
      <w:bookmarkStart w:id="739" w:name="Tc_uNgFZi0QPEKTIw2oIJ9OjA_6_11"/>
      <w:bookmarkStart w:id="740" w:name="Tc_STFsAERZukeuelQ7gGXnaQ_6_9"/>
      <w:bookmarkStart w:id="741" w:name="Tc_E7BUMh_qUEada1A3TZHfdQ_6_4"/>
      <w:bookmarkStart w:id="742" w:name="Tc_za4mjIGc0kev9Jdj0sOPsw_6_0"/>
      <w:bookmarkStart w:id="743" w:name="Tc_R9vQinqfoECucdSDAZjWiA_5_28"/>
      <w:bookmarkStart w:id="744" w:name="Tc_gUe447NT6UiBWbhGaqtE9g_5_25"/>
      <w:bookmarkStart w:id="745" w:name="Tc_J07_p0OgAEiuwJ8Z3NhEaw_5_22"/>
      <w:bookmarkStart w:id="746" w:name="Tc_B8sOe6RyIEG_EvojFC7cpg_5_20"/>
      <w:bookmarkStart w:id="747" w:name="Tc_Cq1V5oGoQkOrnAU-E4zHvQ_5_17"/>
      <w:bookmarkStart w:id="748" w:name="Tc_jc7CCzfoxUCsqn_7GsS25g_5_14"/>
      <w:bookmarkStart w:id="749" w:name="Tc_2Rjt-8w8AUCGjz62eFNDZQ_5_11"/>
      <w:bookmarkStart w:id="750" w:name="Tc_NWgfDxi6106ndqJ9JdBdoQ_5_9"/>
      <w:bookmarkStart w:id="751" w:name="Tc_HQkrK3ft10WLNgLbJ0bZ4w_5_7"/>
      <w:bookmarkStart w:id="752" w:name="Tc_j5kaatEKk02lmxucymMtgw_5_4"/>
      <w:bookmarkStart w:id="753" w:name="Tc_lnv2vGf4JUmlJqJz5JcmGQ_5_2"/>
      <w:bookmarkStart w:id="754" w:name="Tc_e0C7G6tLYUCD4wnmz5runQ_4_28"/>
      <w:bookmarkStart w:id="755" w:name="Tc_IxdgOn7oKk68u0Us2lB21g_4_26"/>
      <w:bookmarkStart w:id="756" w:name="Tc_C1ci2jbR_k2269EclQb1Kw_4_20"/>
      <w:bookmarkStart w:id="757" w:name="Tc_yXVNcay9SESVsdyieEDfVA_4_17"/>
      <w:bookmarkStart w:id="758" w:name="Tc_bwvZmmeu4EucBWilRHXesw_4_14"/>
      <w:bookmarkStart w:id="759" w:name="Tc_yDbw4CgKykW5qZkLpadZDA_4_11"/>
      <w:bookmarkStart w:id="760" w:name="Tc_g8vd8mz3IkyuN0rZOiHwpw_4_7"/>
      <w:bookmarkStart w:id="761" w:name="Tc_pARDkQcVTUKiM8EtOYFb_A_4_2"/>
      <w:bookmarkStart w:id="762" w:name="Tc_mih9wAAgG0emXIZ1PmOiqA_3_28"/>
      <w:bookmarkStart w:id="763" w:name="Tc_hZ6LT74-S02YB2vtEu0raw_3_18"/>
      <w:bookmarkStart w:id="764" w:name="Tc_QOoRv5DVN06Y8ZyeN9rUJQ_3_11"/>
      <w:bookmarkStart w:id="765" w:name="Tc_7Z7YDIk1GkiHOWFu7Ss68g_3_7"/>
      <w:bookmarkStart w:id="766" w:name="Tc_XXf6GBNS20WK5L1d0drmTw_3_2"/>
      <w:bookmarkStart w:id="767" w:name="Tc_iboMsWCt_EKeXXhJjUaeNw_2_17"/>
      <w:bookmarkStart w:id="768" w:name="Tc_Ixzq_S8GTUe_UWVglcLtZA_1_17"/>
      <w:bookmarkStart w:id="769" w:name="_a629f03d_14a9_4232_9108_4d3c175e4bec"/>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tbl>
      <w:tblPr>
        <w:tblW w:w="13560" w:type="dxa"/>
        <w:jc w:val="left"/>
        <w:tblInd w:w="0" w:type="dxa"/>
        <w:tblLayout w:type="fixed"/>
        <w:tblCellMar>
          <w:top w:w="0" w:type="dxa"/>
          <w:left w:w="0" w:type="dxa"/>
          <w:bottom w:w="0" w:type="dxa"/>
          <w:right w:w="0" w:type="dxa"/>
        </w:tblCellMar>
      </w:tblPr>
      <w:tblGrid>
        <w:gridCol w:w="886"/>
        <w:gridCol w:w="346"/>
        <w:gridCol w:w="706"/>
        <w:gridCol w:w="346"/>
        <w:gridCol w:w="346"/>
        <w:gridCol w:w="346"/>
        <w:gridCol w:w="346"/>
        <w:gridCol w:w="646"/>
        <w:gridCol w:w="346"/>
        <w:gridCol w:w="526"/>
        <w:gridCol w:w="346"/>
        <w:gridCol w:w="346"/>
        <w:gridCol w:w="496"/>
        <w:gridCol w:w="346"/>
        <w:gridCol w:w="346"/>
        <w:gridCol w:w="541"/>
        <w:gridCol w:w="346"/>
        <w:gridCol w:w="166"/>
        <w:gridCol w:w="916"/>
        <w:gridCol w:w="346"/>
        <w:gridCol w:w="496"/>
        <w:gridCol w:w="346"/>
        <w:gridCol w:w="346"/>
        <w:gridCol w:w="481"/>
        <w:gridCol w:w="346"/>
        <w:gridCol w:w="346"/>
        <w:gridCol w:w="886"/>
        <w:gridCol w:w="346"/>
        <w:gridCol w:w="346"/>
        <w:gridCol w:w="586"/>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2610" cy="175260"/>
                      <wp:effectExtent l="0" t="0" r="0" b="0"/>
                      <wp:wrapNone/>
                      <wp:docPr id="140" name="Frame1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48310" cy="175260"/>
                      <wp:effectExtent l="0" t="0" r="0" b="0"/>
                      <wp:wrapNone/>
                      <wp:docPr id="142" name="Frame14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10210" cy="175260"/>
                      <wp:effectExtent l="0" t="0" r="0" b="0"/>
                      <wp:wrapNone/>
                      <wp:docPr id="147" name="Frame14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34010" cy="175260"/>
                      <wp:effectExtent l="0" t="0" r="0" b="0"/>
                      <wp:wrapNone/>
                      <wp:docPr id="149" name="Frame14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14960" cy="175260"/>
                      <wp:effectExtent l="0" t="0" r="0" b="0"/>
                      <wp:wrapNone/>
                      <wp:docPr id="152" name="Frame15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43535" cy="175260"/>
                      <wp:effectExtent l="0" t="0" r="0" b="0"/>
                      <wp:wrapNone/>
                      <wp:docPr id="155" name="Frame15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05410" cy="175260"/>
                      <wp:effectExtent l="0" t="0" r="0" b="0"/>
                      <wp:wrapNone/>
                      <wp:docPr id="157" name="Frame15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1660" cy="175260"/>
                      <wp:effectExtent l="0" t="0" r="0" b="0"/>
                      <wp:wrapNone/>
                      <wp:docPr id="158" name="Frame15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14960" cy="175260"/>
                      <wp:effectExtent l="0" t="0" r="0" b="0"/>
                      <wp:wrapNone/>
                      <wp:docPr id="160" name="Frame16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05435" cy="175260"/>
                      <wp:effectExtent l="0" t="0" r="0" b="0"/>
                      <wp:wrapNone/>
                      <wp:docPr id="163" name="Frame16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2610" cy="175260"/>
                      <wp:effectExtent l="0" t="0" r="0" b="0"/>
                      <wp:wrapNone/>
                      <wp:docPr id="166" name="Frame1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72110" cy="175260"/>
                      <wp:effectExtent l="0" t="0" r="0" b="0"/>
                      <wp:wrapNone/>
                      <wp:docPr id="169" name="Frame16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0"/>
              <w:ind w:left="0" w:right="0" w:hanging="0"/>
              <w:jc w:val="center"/>
              <w:rPr/>
            </w:pPr>
            <w:r>
              <w:rPr/>
              <w:t>​</w:t>
            </w:r>
          </w:p>
        </w:tc>
        <w:tc>
          <w:tcPr>
            <w:tcW w:w="1518" w:type="dxa"/>
            <w:gridSpan w:val="3"/>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B-1</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15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rPr/>
            </w:pPr>
            <w:r>
              <w:rPr/>
              <w:t>​</w:t>
            </w:r>
          </w:p>
        </w:tc>
        <w:tc>
          <w:tcPr>
            <w:tcW w:w="16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Non-Controllig</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September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131,164,365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627,956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(199,762)</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11,613</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850,206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(10,213)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119,253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548,848</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(65,997)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(25,830)</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(91,827)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928,821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9,230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9,230</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Class A common stock withheld related to settlement of employee taxes for stock-based compensation awards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(138,156)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138,156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(2,717)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Effect of remeasurement of non-controlling interest due to other share transactions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826,062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 on foreign currency translation,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(1,448)</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(2,005)</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 on cash flow hedges, net of tax</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(4,113)</w:t>
            </w:r>
          </w:p>
        </w:tc>
        <w:tc>
          <w:tcPr>
            <w:tcW w:w="346" w:type="dxa"/>
            <w:tcBorders/>
            <w:vAlign w:val="center"/>
          </w:tcPr>
          <w:p>
            <w:pPr>
              <w:pStyle w:val="TableContents"/>
              <w:bidi w:val="0"/>
              <w:spacing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(1,612)</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(5,725)</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132,781,092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640,755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(265,759)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6,052</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988,362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(12,930)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90,064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458,183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70" w:name="Tc_fl2vzeKYHE6ClpqcgjpI5Q_15_30"/>
      <w:bookmarkStart w:id="771" w:name="Tc_EHaGuje5qkWbQ6-KnVFhGQ_15_27"/>
      <w:bookmarkStart w:id="772" w:name="Tc_VHsvzX2T_0W7jL3wkgxIPg_15_24"/>
      <w:bookmarkStart w:id="773" w:name="Tc_e9ZsypYCZUmZM4kJqVUCMQ_15_18"/>
      <w:bookmarkStart w:id="774" w:name="Tc_UfEvVhKXL0CxZXeXFWH56g_15_15"/>
      <w:bookmarkStart w:id="775" w:name="Tc_YBXIvQayy0-xtBzQK82ZAQ_15_12"/>
      <w:bookmarkStart w:id="776" w:name="Tc_dsLiN5MA3kOlnQrtUzO8cg_15_10"/>
      <w:bookmarkStart w:id="777" w:name="Tc_SYKkndWEb0mwHBgHLFBOSQ_15_9"/>
      <w:bookmarkStart w:id="778" w:name="Tc_5-7csnKMR0W69erB4BWrhQ_15_4"/>
      <w:bookmarkStart w:id="779" w:name="Tc_7XyI3FdZ_EKX16m2CP4csA_15_0"/>
      <w:bookmarkStart w:id="780" w:name="Tc_oxj9F8m1-0qqd_AMHNwCNg_14_25"/>
      <w:bookmarkStart w:id="781" w:name="Tc_j5VcktLHuUyqsirhicApcA_14_22"/>
      <w:bookmarkStart w:id="782" w:name="Tc_AdV0NJzQR0-5TeALkjMf4g_14_16"/>
      <w:bookmarkStart w:id="783" w:name="Tc_kRn4m3NGkUCLqa7owMgr6g_14_13"/>
      <w:bookmarkStart w:id="784" w:name="Tc_KAFFMjTiS0-NfB1auRXsPw_14_10"/>
      <w:bookmarkStart w:id="785" w:name="Tc_0k9ynodr00aQelkZbpNWGw_14_7"/>
      <w:bookmarkStart w:id="786" w:name="Tc_xu1YHGBqrke7QwTuJ4B0_g_14_5"/>
      <w:bookmarkStart w:id="787" w:name="Tc_mZhQWU6iF06NrtRjJBJEJw_14_2"/>
      <w:bookmarkStart w:id="788" w:name="Tc_nGpzg-9kZUyc1hVimyKEAQ_14_0"/>
      <w:bookmarkStart w:id="789" w:name="Tc_qV6aFSOcVEm6kKVvi2R0IA_13_25"/>
      <w:bookmarkStart w:id="790" w:name="Tc_De7CqKQZWkWF6DoHv8sPVw_13_22"/>
      <w:bookmarkStart w:id="791" w:name="Tc_RFf6MSm7rEmymIIILp4NCg_13_16"/>
      <w:bookmarkStart w:id="792" w:name="Tc_-oGt0R6950W6fCb6O-E9-w_13_13"/>
      <w:bookmarkStart w:id="793" w:name="Tc_z5zY-qG4pUWDbVeq060-AQ_13_10"/>
      <w:bookmarkStart w:id="794" w:name="Tc_HQWg8Rcz20G1MDlNL4nXbQ_13_7"/>
      <w:bookmarkStart w:id="795" w:name="Tc_iJqHpFt0VkqC5qjZBEPT3g_13_5"/>
      <w:bookmarkStart w:id="796" w:name="Tc_p5c24GhI7EeZUpasNmovbQ_13_2"/>
      <w:bookmarkStart w:id="797" w:name="Tc_A_SAtMAj10m_L9I1XTkI5Q_13_0"/>
      <w:bookmarkStart w:id="798" w:name="Tc_gVwjt54OSE6Qpb1y6nNsHQ_12_28"/>
      <w:bookmarkStart w:id="799" w:name="Tc_TzkVZl2Jx0mgX2_ACMZm_w_12_25"/>
      <w:bookmarkStart w:id="800" w:name="Tc_Tig-NohFdUmG-iYyFo1YtQ_12_22"/>
      <w:bookmarkStart w:id="801" w:name="Tc_cYSXigNEE0eDLeK6tOb8HA_12_19"/>
      <w:bookmarkStart w:id="802" w:name="Tc_jd-9-9KIGkeaZFW_f0xvng_12_16"/>
      <w:bookmarkStart w:id="803" w:name="Tc_PsKyhhv9f06rv9j1r78PFA_12_10"/>
      <w:bookmarkStart w:id="804" w:name="Tc_KpB8yZ_ZhEWetqLyu5PgwA_12_7"/>
      <w:bookmarkStart w:id="805" w:name="Tc_LpuOeM5pcUOc3CJB9gJNuA_12_5"/>
      <w:bookmarkStart w:id="806" w:name="Tc_8dQJPkZIr0a2VVg43Td2nw_12_2"/>
      <w:bookmarkStart w:id="807" w:name="Tc_c8nwex5hv0ySKA8XmUBOcg_12_0"/>
      <w:bookmarkStart w:id="808" w:name="Tc_PRLC1YDbHEeXwxV3F1hSJg_11_28"/>
      <w:bookmarkStart w:id="809" w:name="Tc_Rnwl0bu2o0aN8bZB949qeg_11_25"/>
      <w:bookmarkStart w:id="810" w:name="Tc_9tmUnye2hkO5YRLf-I6PjA_11_22"/>
      <w:bookmarkStart w:id="811" w:name="Tc_wD-du8dLhEeBczqBUMes4g_11_19"/>
      <w:bookmarkStart w:id="812" w:name="Tc_Bd1Zphs_o0mTRbzgzJrDrw_11_16"/>
      <w:bookmarkStart w:id="813" w:name="Tc_7DOjWHJeoEmtTAQ_vkNLLQ_11_10"/>
      <w:bookmarkStart w:id="814" w:name="Tc_gmPu7AOtr06mYQoxRyzdhA_11_7"/>
      <w:bookmarkStart w:id="815" w:name="Tc_s7OxCnVn9U-tUn2WUg8xvg_11_5"/>
      <w:bookmarkStart w:id="816" w:name="Tc_aYAwUJzT9EuFvObzfu4WBA_11_0"/>
      <w:bookmarkStart w:id="817" w:name="Tc_2swsGvYew0SgJV3dpQh9JQ_10_31"/>
      <w:bookmarkStart w:id="818" w:name="Tc_IfJnkJulTkmGP_MVwE1bDw_10_25"/>
      <w:bookmarkStart w:id="819" w:name="Tc_Lwdm_AHt8k2XI8vNcN4aCQ_10_22"/>
      <w:bookmarkStart w:id="820" w:name="Tc_00NlMqA1KECIBBfurwnzZQ_10_19"/>
      <w:bookmarkStart w:id="821" w:name="Tc_0Cux-9ugs0KEiSFPDBIxcg_10_16"/>
      <w:bookmarkStart w:id="822" w:name="Tc_DMPHSltnOEKJfxvqaPHcZQ_10_10"/>
      <w:bookmarkStart w:id="823" w:name="Tc_payGccLh90CRM1-LT3bxtQ_10_7"/>
      <w:bookmarkStart w:id="824" w:name="Tc_Z4MlI0ky9EmjN2raosBxYw_10_5"/>
      <w:bookmarkStart w:id="825" w:name="Tc_f2yRpP_oj0Sp5Yh_jg3eyA_10_2"/>
      <w:bookmarkStart w:id="826" w:name="Tc_402P3YsDKEmlz8PdDm0AqA_10_0"/>
      <w:bookmarkStart w:id="827" w:name="Tc_SUtivsfeO0Kj19SBJznQUg_9_28"/>
      <w:bookmarkStart w:id="828" w:name="Tc_VbDjZeS0KkedO5IIj2b7JA_9_19"/>
      <w:bookmarkStart w:id="829" w:name="Tc_qK4hEmVvNkiU5MFgMtPVnQ_9_16"/>
      <w:bookmarkStart w:id="830" w:name="Tc_vANMyqw-Q0GT3ApM5-rxSw_9_13"/>
      <w:bookmarkStart w:id="831" w:name="Tc_dkYb2H_wBEKIl3-tKFKb8A_9_10"/>
      <w:bookmarkStart w:id="832" w:name="Tc_Zh1MOcZMTkGzngnWvAy0GQ_9_7"/>
      <w:bookmarkStart w:id="833" w:name="Tc_cMASEu52bESV_I3dyAsXTQ_9_5"/>
      <w:bookmarkStart w:id="834" w:name="Tc_hC_f1zorL0eXzhRvBZfKvA_9_0"/>
      <w:bookmarkStart w:id="835" w:name="Tc_NRcsAjShakm-JqbufMBkmQ_8_28"/>
      <w:bookmarkStart w:id="836" w:name="Tc_H7WD9q0H00a30o1cfimNCw_8_25"/>
      <w:bookmarkStart w:id="837" w:name="Tc_7JpddpWkvUGC8YOwdZvMKw_8_22"/>
      <w:bookmarkStart w:id="838" w:name="Tc_RQzMdA1LOEy2AfGWltAgHw_8_19"/>
      <w:bookmarkStart w:id="839" w:name="Tc_8Lj59bJ330SDgiSlPfRPyA_8_16"/>
      <w:bookmarkStart w:id="840" w:name="Tc_FgV8gNhPCUK1iqt6jv0v_Q_8_10"/>
      <w:bookmarkStart w:id="841" w:name="Tc_PUZM2oFp0UeZEzM4wAQSTg_8_7"/>
      <w:bookmarkStart w:id="842" w:name="Tc_bNZJNHc2HU2pw5sEefcFNg_8_5"/>
      <w:bookmarkStart w:id="843" w:name="Tc_NIZU7u2MEkOuzbDXifCeEA_8_0"/>
      <w:bookmarkStart w:id="844" w:name="Tc_f9eKK2ITKkmGrudbrHrv1g_7_25"/>
      <w:bookmarkStart w:id="845" w:name="Tc_IbxwMuqsGEm88-Iwz1p69A_7_22"/>
      <w:bookmarkStart w:id="846" w:name="Tc_GcU8iHV5K0mFuIMjGN69vQ_7_19"/>
      <w:bookmarkStart w:id="847" w:name="Tc_8ItXq9Vd90-06umvyaxcSg_7_13"/>
      <w:bookmarkStart w:id="848" w:name="Tc_N2kRx6KPB06UxmKr75d5yw_7_10"/>
      <w:bookmarkStart w:id="849" w:name="Tc_9gv-Djb18kKQpw4MxV7e9Q_7_7"/>
      <w:bookmarkStart w:id="850" w:name="Tc_xqAZbDdXyEKT9aXgCc3gag_7_5"/>
      <w:bookmarkStart w:id="851" w:name="Tc_P-4rXEJvBk6B64DAbd0XiQ_7_2"/>
      <w:bookmarkStart w:id="852" w:name="Tc_JdOGQCsKh0-znKE3SxG69w_7_0"/>
      <w:bookmarkStart w:id="853" w:name="Tc_EgBTXcg47kytxzBlIstgdA_6_30"/>
      <w:bookmarkStart w:id="854" w:name="Tc_AWCU6AdVKkS8XixuiGLOWQ_6_27"/>
      <w:bookmarkStart w:id="855" w:name="Tc_IGsScYL2FE6K79zV8XPENA_6_24"/>
      <w:bookmarkStart w:id="856" w:name="Tc_SfUbzuFOVEug-PjQx5dwtw_6_21"/>
      <w:bookmarkStart w:id="857" w:name="Tc_WkYEYSXaEEORMgAFaF1GsQ_6_18"/>
      <w:bookmarkStart w:id="858" w:name="Tc_dkzulNuGHkOisXx1cS_OPA_6_15"/>
      <w:bookmarkStart w:id="859" w:name="Tc_uEzFFLMQ90iIWvPCJXKmdw_6_12"/>
      <w:bookmarkStart w:id="860" w:name="Tc_zWS8RlZ_NUCnf4u241WINw_6_10"/>
      <w:bookmarkStart w:id="861" w:name="Tc_Rnc9GDhR-UyEeJwOZvo8Nw_6_0"/>
      <w:bookmarkStart w:id="862" w:name="Tc_eeihypOnRUmJFE6tcg6FPQ_5_30"/>
      <w:bookmarkStart w:id="863" w:name="Tc_Y6vmLp7jW0eTn5lyOKj8QA_5_27"/>
      <w:bookmarkStart w:id="864" w:name="Tc_Qw3pHA2LxEG7OxM45Mq3eA_5_24"/>
      <w:bookmarkStart w:id="865" w:name="Tc_Sh04_igZC0-sO6n-Npu2IA_5_21"/>
      <w:bookmarkStart w:id="866" w:name="Tc_l1a6cDbb3Emlb9BAQRVGDQ_5_18"/>
      <w:bookmarkStart w:id="867" w:name="Tc_l1lfIoxNqE-dehYlI2nmQw_5_15"/>
      <w:bookmarkStart w:id="868" w:name="Tc_ry3Y8mEiIEK_jJcslaMzCQ_5_12"/>
      <w:bookmarkStart w:id="869" w:name="Tc_FbH_4fZWo0eXEWzRIuPLCA_5_9"/>
      <w:bookmarkStart w:id="870" w:name="Tc_XStguy9vj0qYyBo2fAARMA_5_7"/>
      <w:bookmarkStart w:id="871" w:name="Tc_qNKUoox4pEuqx-KSicuzow_5_4"/>
      <w:bookmarkStart w:id="872" w:name="Tc_7OLDoRnbVEC8ewHZVTUObw_5_2"/>
      <w:bookmarkStart w:id="873" w:name="Tc_wHLb5bEWmkq2Yp9s1N2oIw_4_30"/>
      <w:bookmarkStart w:id="874" w:name="Tc_sibo_dVmtUWiNNBiLh68Rg_4_28"/>
      <w:bookmarkStart w:id="875" w:name="Tc_zlSDsuqibk6otnhABG-99A_4_21"/>
      <w:bookmarkStart w:id="876" w:name="Tc_QydVoSpo7kSx4Zn2uvXxig_4_18"/>
      <w:bookmarkStart w:id="877" w:name="Tc_NyRVyBUN_06XPEeUNqLp4g_4_15"/>
      <w:bookmarkStart w:id="878" w:name="Tc_OyhYN40fCUGE8OHgS1eRrw_4_12"/>
      <w:bookmarkStart w:id="879" w:name="Tc_gY8sdcllGEqhm4e5j07H-A_4_7"/>
      <w:bookmarkStart w:id="880" w:name="Tc_C68QZIGYbkGaSiRANhd5pQ_4_2"/>
      <w:bookmarkStart w:id="881" w:name="Tc_WJeIDk_gl0es7cqzj3Vg4Q_3_30"/>
      <w:bookmarkStart w:id="882" w:name="Tc_qagVOHT1V0aTUqrz2b_6ow_3_19"/>
      <w:bookmarkStart w:id="883" w:name="Tc_GjErxNBlakW9rYsMux1XEg_3_12"/>
      <w:bookmarkStart w:id="884" w:name="Tc_UPa3eeStJ0OgCyJlEb7mOg_3_7"/>
      <w:bookmarkStart w:id="885" w:name="Tc_qNWtfLnafkO_QNO31Ae7XQ_3_2"/>
      <w:bookmarkStart w:id="886" w:name="Tc_RBSYEJtojECnx7I1Bnilug_2_18"/>
      <w:bookmarkStart w:id="887" w:name="Tc_M1ql_rsfEk2R8fugJ5a5LQ_1_18"/>
      <w:bookmarkStart w:id="888" w:name="_a5e122c5_d34b_4459_8a1e_e7e51010a395"/>
      <w:bookmarkStart w:id="889" w:name="Tc_fl2vzeKYHE6ClpqcgjpI5Q_15_30"/>
      <w:bookmarkStart w:id="890" w:name="Tc_EHaGuje5qkWbQ6-KnVFhGQ_15_27"/>
      <w:bookmarkStart w:id="891" w:name="Tc_VHsvzX2T_0W7jL3wkgxIPg_15_24"/>
      <w:bookmarkStart w:id="892" w:name="Tc_e9ZsypYCZUmZM4kJqVUCMQ_15_18"/>
      <w:bookmarkStart w:id="893" w:name="Tc_UfEvVhKXL0CxZXeXFWH56g_15_15"/>
      <w:bookmarkStart w:id="894" w:name="Tc_YBXIvQayy0-xtBzQK82ZAQ_15_12"/>
      <w:bookmarkStart w:id="895" w:name="Tc_dsLiN5MA3kOlnQrtUzO8cg_15_10"/>
      <w:bookmarkStart w:id="896" w:name="Tc_SYKkndWEb0mwHBgHLFBOSQ_15_9"/>
      <w:bookmarkStart w:id="897" w:name="Tc_5-7csnKMR0W69erB4BWrhQ_15_4"/>
      <w:bookmarkStart w:id="898" w:name="Tc_7XyI3FdZ_EKX16m2CP4csA_15_0"/>
      <w:bookmarkStart w:id="899" w:name="Tc_oxj9F8m1-0qqd_AMHNwCNg_14_25"/>
      <w:bookmarkStart w:id="900" w:name="Tc_j5VcktLHuUyqsirhicApcA_14_22"/>
      <w:bookmarkStart w:id="901" w:name="Tc_AdV0NJzQR0-5TeALkjMf4g_14_16"/>
      <w:bookmarkStart w:id="902" w:name="Tc_kRn4m3NGkUCLqa7owMgr6g_14_13"/>
      <w:bookmarkStart w:id="903" w:name="Tc_KAFFMjTiS0-NfB1auRXsPw_14_10"/>
      <w:bookmarkStart w:id="904" w:name="Tc_0k9ynodr00aQelkZbpNWGw_14_7"/>
      <w:bookmarkStart w:id="905" w:name="Tc_xu1YHGBqrke7QwTuJ4B0_g_14_5"/>
      <w:bookmarkStart w:id="906" w:name="Tc_mZhQWU6iF06NrtRjJBJEJw_14_2"/>
      <w:bookmarkStart w:id="907" w:name="Tc_nGpzg-9kZUyc1hVimyKEAQ_14_0"/>
      <w:bookmarkStart w:id="908" w:name="Tc_qV6aFSOcVEm6kKVvi2R0IA_13_25"/>
      <w:bookmarkStart w:id="909" w:name="Tc_De7CqKQZWkWF6DoHv8sPVw_13_22"/>
      <w:bookmarkStart w:id="910" w:name="Tc_RFf6MSm7rEmymIIILp4NCg_13_16"/>
      <w:bookmarkStart w:id="911" w:name="Tc_-oGt0R6950W6fCb6O-E9-w_13_13"/>
      <w:bookmarkStart w:id="912" w:name="Tc_z5zY-qG4pUWDbVeq060-AQ_13_10"/>
      <w:bookmarkStart w:id="913" w:name="Tc_HQWg8Rcz20G1MDlNL4nXbQ_13_7"/>
      <w:bookmarkStart w:id="914" w:name="Tc_iJqHpFt0VkqC5qjZBEPT3g_13_5"/>
      <w:bookmarkStart w:id="915" w:name="Tc_p5c24GhI7EeZUpasNmovbQ_13_2"/>
      <w:bookmarkStart w:id="916" w:name="Tc_A_SAtMAj10m_L9I1XTkI5Q_13_0"/>
      <w:bookmarkStart w:id="917" w:name="Tc_gVwjt54OSE6Qpb1y6nNsHQ_12_28"/>
      <w:bookmarkStart w:id="918" w:name="Tc_TzkVZl2Jx0mgX2_ACMZm_w_12_25"/>
      <w:bookmarkStart w:id="919" w:name="Tc_Tig-NohFdUmG-iYyFo1YtQ_12_22"/>
      <w:bookmarkStart w:id="920" w:name="Tc_cYSXigNEE0eDLeK6tOb8HA_12_19"/>
      <w:bookmarkStart w:id="921" w:name="Tc_jd-9-9KIGkeaZFW_f0xvng_12_16"/>
      <w:bookmarkStart w:id="922" w:name="Tc_PsKyhhv9f06rv9j1r78PFA_12_10"/>
      <w:bookmarkStart w:id="923" w:name="Tc_KpB8yZ_ZhEWetqLyu5PgwA_12_7"/>
      <w:bookmarkStart w:id="924" w:name="Tc_LpuOeM5pcUOc3CJB9gJNuA_12_5"/>
      <w:bookmarkStart w:id="925" w:name="Tc_8dQJPkZIr0a2VVg43Td2nw_12_2"/>
      <w:bookmarkStart w:id="926" w:name="Tc_c8nwex5hv0ySKA8XmUBOcg_12_0"/>
      <w:bookmarkStart w:id="927" w:name="Tc_PRLC1YDbHEeXwxV3F1hSJg_11_28"/>
      <w:bookmarkStart w:id="928" w:name="Tc_Rnwl0bu2o0aN8bZB949qeg_11_25"/>
      <w:bookmarkStart w:id="929" w:name="Tc_9tmUnye2hkO5YRLf-I6PjA_11_22"/>
      <w:bookmarkStart w:id="930" w:name="Tc_wD-du8dLhEeBczqBUMes4g_11_19"/>
      <w:bookmarkStart w:id="931" w:name="Tc_Bd1Zphs_o0mTRbzgzJrDrw_11_16"/>
      <w:bookmarkStart w:id="932" w:name="Tc_7DOjWHJeoEmtTAQ_vkNLLQ_11_10"/>
      <w:bookmarkStart w:id="933" w:name="Tc_gmPu7AOtr06mYQoxRyzdhA_11_7"/>
      <w:bookmarkStart w:id="934" w:name="Tc_s7OxCnVn9U-tUn2WUg8xvg_11_5"/>
      <w:bookmarkStart w:id="935" w:name="Tc_aYAwUJzT9EuFvObzfu4WBA_11_0"/>
      <w:bookmarkStart w:id="936" w:name="Tc_2swsGvYew0SgJV3dpQh9JQ_10_31"/>
      <w:bookmarkStart w:id="937" w:name="Tc_IfJnkJulTkmGP_MVwE1bDw_10_25"/>
      <w:bookmarkStart w:id="938" w:name="Tc_Lwdm_AHt8k2XI8vNcN4aCQ_10_22"/>
      <w:bookmarkStart w:id="939" w:name="Tc_00NlMqA1KECIBBfurwnzZQ_10_19"/>
      <w:bookmarkStart w:id="940" w:name="Tc_0Cux-9ugs0KEiSFPDBIxcg_10_16"/>
      <w:bookmarkStart w:id="941" w:name="Tc_DMPHSltnOEKJfxvqaPHcZQ_10_10"/>
      <w:bookmarkStart w:id="942" w:name="Tc_payGccLh90CRM1-LT3bxtQ_10_7"/>
      <w:bookmarkStart w:id="943" w:name="Tc_Z4MlI0ky9EmjN2raosBxYw_10_5"/>
      <w:bookmarkStart w:id="944" w:name="Tc_f2yRpP_oj0Sp5Yh_jg3eyA_10_2"/>
      <w:bookmarkStart w:id="945" w:name="Tc_402P3YsDKEmlz8PdDm0AqA_10_0"/>
      <w:bookmarkStart w:id="946" w:name="Tc_SUtivsfeO0Kj19SBJznQUg_9_28"/>
      <w:bookmarkStart w:id="947" w:name="Tc_VbDjZeS0KkedO5IIj2b7JA_9_19"/>
      <w:bookmarkStart w:id="948" w:name="Tc_qK4hEmVvNkiU5MFgMtPVnQ_9_16"/>
      <w:bookmarkStart w:id="949" w:name="Tc_vANMyqw-Q0GT3ApM5-rxSw_9_13"/>
      <w:bookmarkStart w:id="950" w:name="Tc_dkYb2H_wBEKIl3-tKFKb8A_9_10"/>
      <w:bookmarkStart w:id="951" w:name="Tc_Zh1MOcZMTkGzngnWvAy0GQ_9_7"/>
      <w:bookmarkStart w:id="952" w:name="Tc_cMASEu52bESV_I3dyAsXTQ_9_5"/>
      <w:bookmarkStart w:id="953" w:name="Tc_hC_f1zorL0eXzhRvBZfKvA_9_0"/>
      <w:bookmarkStart w:id="954" w:name="Tc_NRcsAjShakm-JqbufMBkmQ_8_28"/>
      <w:bookmarkStart w:id="955" w:name="Tc_H7WD9q0H00a30o1cfimNCw_8_25"/>
      <w:bookmarkStart w:id="956" w:name="Tc_7JpddpWkvUGC8YOwdZvMKw_8_22"/>
      <w:bookmarkStart w:id="957" w:name="Tc_RQzMdA1LOEy2AfGWltAgHw_8_19"/>
      <w:bookmarkStart w:id="958" w:name="Tc_8Lj59bJ330SDgiSlPfRPyA_8_16"/>
      <w:bookmarkStart w:id="959" w:name="Tc_FgV8gNhPCUK1iqt6jv0v_Q_8_10"/>
      <w:bookmarkStart w:id="960" w:name="Tc_PUZM2oFp0UeZEzM4wAQSTg_8_7"/>
      <w:bookmarkStart w:id="961" w:name="Tc_bNZJNHc2HU2pw5sEefcFNg_8_5"/>
      <w:bookmarkStart w:id="962" w:name="Tc_NIZU7u2MEkOuzbDXifCeEA_8_0"/>
      <w:bookmarkStart w:id="963" w:name="Tc_f9eKK2ITKkmGrudbrHrv1g_7_25"/>
      <w:bookmarkStart w:id="964" w:name="Tc_IbxwMuqsGEm88-Iwz1p69A_7_22"/>
      <w:bookmarkStart w:id="965" w:name="Tc_GcU8iHV5K0mFuIMjGN69vQ_7_19"/>
      <w:bookmarkStart w:id="966" w:name="Tc_8ItXq9Vd90-06umvyaxcSg_7_13"/>
      <w:bookmarkStart w:id="967" w:name="Tc_N2kRx6KPB06UxmKr75d5yw_7_10"/>
      <w:bookmarkStart w:id="968" w:name="Tc_9gv-Djb18kKQpw4MxV7e9Q_7_7"/>
      <w:bookmarkStart w:id="969" w:name="Tc_xqAZbDdXyEKT9aXgCc3gag_7_5"/>
      <w:bookmarkStart w:id="970" w:name="Tc_P-4rXEJvBk6B64DAbd0XiQ_7_2"/>
      <w:bookmarkStart w:id="971" w:name="Tc_JdOGQCsKh0-znKE3SxG69w_7_0"/>
      <w:bookmarkStart w:id="972" w:name="Tc_EgBTXcg47kytxzBlIstgdA_6_30"/>
      <w:bookmarkStart w:id="973" w:name="Tc_AWCU6AdVKkS8XixuiGLOWQ_6_27"/>
      <w:bookmarkStart w:id="974" w:name="Tc_IGsScYL2FE6K79zV8XPENA_6_24"/>
      <w:bookmarkStart w:id="975" w:name="Tc_SfUbzuFOVEug-PjQx5dwtw_6_21"/>
      <w:bookmarkStart w:id="976" w:name="Tc_WkYEYSXaEEORMgAFaF1GsQ_6_18"/>
      <w:bookmarkStart w:id="977" w:name="Tc_dkzulNuGHkOisXx1cS_OPA_6_15"/>
      <w:bookmarkStart w:id="978" w:name="Tc_uEzFFLMQ90iIWvPCJXKmdw_6_12"/>
      <w:bookmarkStart w:id="979" w:name="Tc_zWS8RlZ_NUCnf4u241WINw_6_10"/>
      <w:bookmarkStart w:id="980" w:name="Tc_Rnc9GDhR-UyEeJwOZvo8Nw_6_0"/>
      <w:bookmarkStart w:id="981" w:name="Tc_eeihypOnRUmJFE6tcg6FPQ_5_30"/>
      <w:bookmarkStart w:id="982" w:name="Tc_Y6vmLp7jW0eTn5lyOKj8QA_5_27"/>
      <w:bookmarkStart w:id="983" w:name="Tc_Qw3pHA2LxEG7OxM45Mq3eA_5_24"/>
      <w:bookmarkStart w:id="984" w:name="Tc_Sh04_igZC0-sO6n-Npu2IA_5_21"/>
      <w:bookmarkStart w:id="985" w:name="Tc_l1a6cDbb3Emlb9BAQRVGDQ_5_18"/>
      <w:bookmarkStart w:id="986" w:name="Tc_l1lfIoxNqE-dehYlI2nmQw_5_15"/>
      <w:bookmarkStart w:id="987" w:name="Tc_ry3Y8mEiIEK_jJcslaMzCQ_5_12"/>
      <w:bookmarkStart w:id="988" w:name="Tc_FbH_4fZWo0eXEWzRIuPLCA_5_9"/>
      <w:bookmarkStart w:id="989" w:name="Tc_XStguy9vj0qYyBo2fAARMA_5_7"/>
      <w:bookmarkStart w:id="990" w:name="Tc_qNKUoox4pEuqx-KSicuzow_5_4"/>
      <w:bookmarkStart w:id="991" w:name="Tc_7OLDoRnbVEC8ewHZVTUObw_5_2"/>
      <w:bookmarkStart w:id="992" w:name="Tc_wHLb5bEWmkq2Yp9s1N2oIw_4_30"/>
      <w:bookmarkStart w:id="993" w:name="Tc_sibo_dVmtUWiNNBiLh68Rg_4_28"/>
      <w:bookmarkStart w:id="994" w:name="Tc_zlSDsuqibk6otnhABG-99A_4_21"/>
      <w:bookmarkStart w:id="995" w:name="Tc_QydVoSpo7kSx4Zn2uvXxig_4_18"/>
      <w:bookmarkStart w:id="996" w:name="Tc_NyRVyBUN_06XPEeUNqLp4g_4_15"/>
      <w:bookmarkStart w:id="997" w:name="Tc_OyhYN40fCUGE8OHgS1eRrw_4_12"/>
      <w:bookmarkStart w:id="998" w:name="Tc_gY8sdcllGEqhm4e5j07H-A_4_7"/>
      <w:bookmarkStart w:id="999" w:name="Tc_C68QZIGYbkGaSiRANhd5pQ_4_2"/>
      <w:bookmarkStart w:id="1000" w:name="Tc_WJeIDk_gl0es7cqzj3Vg4Q_3_30"/>
      <w:bookmarkStart w:id="1001" w:name="Tc_qagVOHT1V0aTUqrz2b_6ow_3_19"/>
      <w:bookmarkStart w:id="1002" w:name="Tc_GjErxNBlakW9rYsMux1XEg_3_12"/>
      <w:bookmarkStart w:id="1003" w:name="Tc_UPa3eeStJ0OgCyJlEb7mOg_3_7"/>
      <w:bookmarkStart w:id="1004" w:name="Tc_qNWtfLnafkO_QNO31Ae7XQ_3_2"/>
      <w:bookmarkStart w:id="1005" w:name="Tc_RBSYEJtojECnx7I1Bnilug_2_18"/>
      <w:bookmarkStart w:id="1006" w:name="Tc_M1ql_rsfEk2R8fugJ5a5LQ_1_18"/>
      <w:bookmarkStart w:id="1007" w:name="_a5e122c5_d34b_4459_8a1e_e7e51010a395"/>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tbl>
      <w:tblPr>
        <w:tblW w:w="14012" w:type="dxa"/>
        <w:jc w:val="left"/>
        <w:tblInd w:w="0" w:type="dxa"/>
        <w:tblLayout w:type="fixed"/>
        <w:tblCellMar>
          <w:top w:w="0" w:type="dxa"/>
          <w:left w:w="0" w:type="dxa"/>
          <w:bottom w:w="0" w:type="dxa"/>
          <w:right w:w="0" w:type="dxa"/>
        </w:tblCellMar>
      </w:tblPr>
      <w:tblGrid>
        <w:gridCol w:w="886"/>
        <w:gridCol w:w="346"/>
        <w:gridCol w:w="706"/>
        <w:gridCol w:w="346"/>
        <w:gridCol w:w="346"/>
        <w:gridCol w:w="346"/>
        <w:gridCol w:w="346"/>
        <w:gridCol w:w="646"/>
        <w:gridCol w:w="346"/>
        <w:gridCol w:w="346"/>
        <w:gridCol w:w="346"/>
        <w:gridCol w:w="346"/>
        <w:gridCol w:w="346"/>
        <w:gridCol w:w="496"/>
        <w:gridCol w:w="346"/>
        <w:gridCol w:w="346"/>
        <w:gridCol w:w="541"/>
        <w:gridCol w:w="346"/>
        <w:gridCol w:w="166"/>
        <w:gridCol w:w="916"/>
        <w:gridCol w:w="346"/>
        <w:gridCol w:w="346"/>
        <w:gridCol w:w="496"/>
        <w:gridCol w:w="346"/>
        <w:gridCol w:w="346"/>
        <w:gridCol w:w="421"/>
        <w:gridCol w:w="346"/>
        <w:gridCol w:w="346"/>
        <w:gridCol w:w="886"/>
        <w:gridCol w:w="346"/>
        <w:gridCol w:w="346"/>
        <w:gridCol w:w="586"/>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62610" cy="175260"/>
                      <wp:effectExtent l="0" t="0" r="0" b="0"/>
                      <wp:wrapNone/>
                      <wp:docPr id="170" name="Frame1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48310" cy="175260"/>
                      <wp:effectExtent l="0" t="0" r="0" b="0"/>
                      <wp:wrapNone/>
                      <wp:docPr id="172" name="Frame17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10210" cy="175260"/>
                      <wp:effectExtent l="0" t="0" r="0" b="0"/>
                      <wp:wrapNone/>
                      <wp:docPr id="177" name="Frame17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14960" cy="175260"/>
                      <wp:effectExtent l="0" t="0" r="0" b="0"/>
                      <wp:wrapNone/>
                      <wp:docPr id="183" name="Frame18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43535" cy="175260"/>
                      <wp:effectExtent l="0" t="0" r="0" b="0"/>
                      <wp:wrapNone/>
                      <wp:docPr id="186" name="Frame18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05410" cy="175260"/>
                      <wp:effectExtent l="0" t="0" r="0" b="0"/>
                      <wp:wrapNone/>
                      <wp:docPr id="188" name="Frame18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81660" cy="175260"/>
                      <wp:effectExtent l="0" t="0" r="0" b="0"/>
                      <wp:wrapNone/>
                      <wp:docPr id="189" name="Frame1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14960" cy="175260"/>
                      <wp:effectExtent l="0" t="0" r="0" b="0"/>
                      <wp:wrapNone/>
                      <wp:docPr id="192" name="Frame19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7335" cy="175260"/>
                      <wp:effectExtent l="0" t="0" r="0" b="0"/>
                      <wp:wrapNone/>
                      <wp:docPr id="195" name="Frame1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62610" cy="175260"/>
                      <wp:effectExtent l="0" t="0" r="0" b="0"/>
                      <wp:wrapNone/>
                      <wp:docPr id="198" name="Frame19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72110" cy="175260"/>
                      <wp:effectExtent l="0" t="0" r="0" b="0"/>
                      <wp:wrapNone/>
                      <wp:docPr id="201" name="Frame2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0"/>
              <w:ind w:left="0" w:right="0" w:hanging="0"/>
              <w:jc w:val="center"/>
              <w:rPr/>
            </w:pPr>
            <w:r>
              <w:rPr/>
              <w:t>​</w:t>
            </w:r>
          </w:p>
        </w:tc>
        <w:tc>
          <w:tcPr>
            <w:tcW w:w="1684" w:type="dxa"/>
            <w:gridSpan w:val="4"/>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Class B-1</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16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0"/>
              <w:ind w:left="0" w:right="0" w:hanging="0"/>
              <w:jc w:val="center"/>
              <w:rPr/>
            </w:pPr>
            <w:r>
              <w:rPr/>
              <w:t>​</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Non-Controllig</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129,929,023</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611,982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(192,914)</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809,423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(9,856)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119,865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529,300</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(31,046)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(10,886)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(41,932)</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194,744</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3,826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3,826</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Class A common stock withheld related to settlement of employee taxes for stock-based compensation awards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(5,912)</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5,912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Effect of remeasurement of non-controlling interest due to other share transactions</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334,006</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818</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818</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Distribution to AES Grid Stability</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(1,035)</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Gain on foreign currency translation, net of tax</w:t>
            </w:r>
          </w:p>
        </w:tc>
        <w:tc>
          <w:tcPr>
            <w:tcW w:w="3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6,215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2,459</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8,674</w:t>
            </w:r>
          </w:p>
        </w:tc>
      </w:tr>
      <w:tr>
        <w:trPr/>
        <w:tc>
          <w:tcPr>
            <w:tcW w:w="8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 on cash flow hedges,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(494)</w:t>
            </w:r>
          </w:p>
        </w:tc>
      </w:tr>
      <w:tr>
        <w:trPr/>
        <w:tc>
          <w:tcPr>
            <w:tcW w:w="88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March 31, 2025</w:t>
            </w:r>
          </w:p>
        </w:tc>
        <w:tc>
          <w:tcPr>
            <w:tcW w:w="346" w:type="dxa"/>
            <w:tcBorders/>
            <w:vAlign w:val="center"/>
          </w:tcPr>
          <w:p>
            <w:pPr>
              <w:pStyle w:val="TableContents"/>
              <w:bidi w:val="0"/>
              <w:spacing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130,451,861</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615,996</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(223,960)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6,083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815,335</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(9,950)</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110,893</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499,063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08" w:name="Tc_eToqeBiwCUOaDZZ10p9FNg_16_30"/>
      <w:bookmarkStart w:id="1009" w:name="Tc_8QpGTJjm6ki_TYHhtboKKg_16_27"/>
      <w:bookmarkStart w:id="1010" w:name="Tc_E0J6oDE0JkarLpzQbgGAXw_16_24"/>
      <w:bookmarkStart w:id="1011" w:name="Tc_kNE-ZRdOK06FD9uIP3_Xlw_16_18"/>
      <w:bookmarkStart w:id="1012" w:name="Tc_H2toXieCFUOcD65ppyEP7w_16_15"/>
      <w:bookmarkStart w:id="1013" w:name="Tc_SHcpe2sef0qSSWimpxaJjg_16_12"/>
      <w:bookmarkStart w:id="1014" w:name="Tc_-COqYYqAN0GEaZe9qLyxYQ_16_10"/>
      <w:bookmarkStart w:id="1015" w:name="Tc_HyfRBhc1aUC3ctI6CIZRmQ_16_9"/>
      <w:bookmarkStart w:id="1016" w:name="Tc_gHrWkmTa7EeShWlLlLxq1Q_16_4"/>
      <w:bookmarkStart w:id="1017" w:name="Tc_R0xf2FAbw0OEBbFvdyyTbw_16_0"/>
      <w:bookmarkStart w:id="1018" w:name="Tc_siIqWyiscE6OfL8gy9Wc4A_15_25"/>
      <w:bookmarkStart w:id="1019" w:name="Tc_Px5Hyq4HuE6LCkkcH02ksg_15_22"/>
      <w:bookmarkStart w:id="1020" w:name="Tc_VUglUZTOAkqdE67Lkr3KRQ_15_16"/>
      <w:bookmarkStart w:id="1021" w:name="Tc_pr7opzA6_UOdsBMHUJotHw_15_13"/>
      <w:bookmarkStart w:id="1022" w:name="Tc_jg5PlK--hEOsyZTIAtFZdA_15_10"/>
      <w:bookmarkStart w:id="1023" w:name="Tc_zhoXk2Oj0kOOfkSeSJ0VPg_15_7"/>
      <w:bookmarkStart w:id="1024" w:name="Tc_NEA0TDy8REiBEITbjpvERA_15_5"/>
      <w:bookmarkStart w:id="1025" w:name="Tc_fr5qHgf9EUKHj7sOb5VvoA_15_2"/>
      <w:bookmarkStart w:id="1026" w:name="Tc_khMH_d3oKUCQk1pEklep8g_15_0"/>
      <w:bookmarkStart w:id="1027" w:name="Tc_wlOUQZaCkEuady8AI_K2vw_14_25"/>
      <w:bookmarkStart w:id="1028" w:name="Tc_D85Kmo4eakuvjagyCfF-wg_14_22"/>
      <w:bookmarkStart w:id="1029" w:name="Tc_ksbDcvTNFUOhLkeEiU2V5Q_14_16"/>
      <w:bookmarkStart w:id="1030" w:name="Tc_2olk1mE7Kk65Z0yfaMxuRA_14_13"/>
      <w:bookmarkStart w:id="1031" w:name="Tc_MCX8uw7lzUGlT2n9Nt08IQ_14_10"/>
      <w:bookmarkStart w:id="1032" w:name="Tc_3j8UWGfHa0enKYApUIXOxg_14_7"/>
      <w:bookmarkStart w:id="1033" w:name="Tc_3-3ICuODXUiTx1ptCTiq-g_14_5"/>
      <w:bookmarkStart w:id="1034" w:name="Tc_tzaBmgM3C0qAYv4AgDNnkw_14_2"/>
      <w:bookmarkStart w:id="1035" w:name="Tc_nNBmiGlEJUCCrDW8TISzOQ_14_0"/>
      <w:bookmarkStart w:id="1036" w:name="Tc_YuZ29BVRaEqj2D8GiyashA_13_28"/>
      <w:bookmarkStart w:id="1037" w:name="Tc_EVdIgLu2hkKYvnQ3YLD84w_13_25"/>
      <w:bookmarkStart w:id="1038" w:name="Tc_oTr2BH0Eb0GEctFbPlybtg_13_22"/>
      <w:bookmarkStart w:id="1039" w:name="Tc_tnIdfd5s9UqHJZlWheeudw_13_19"/>
      <w:bookmarkStart w:id="1040" w:name="Tc_HkiRPEzUQUW6WYUb6XBIkw_13_16"/>
      <w:bookmarkStart w:id="1041" w:name="Tc_pQr5L3aUuE6i4luWfRMziQ_13_10"/>
      <w:bookmarkStart w:id="1042" w:name="Tc_h1J2pthxaEyn3GLwvQ8E4g_13_7"/>
      <w:bookmarkStart w:id="1043" w:name="Tc_jAiFIn4ZHkqTiL8DJcfYrQ_13_5"/>
      <w:bookmarkStart w:id="1044" w:name="Tc_Er4yNxUtGEymV9-4TU9XWA_13_2"/>
      <w:bookmarkStart w:id="1045" w:name="Tc_sRRT2Mga6kiLKYhwYaxapw_13_0"/>
      <w:bookmarkStart w:id="1046" w:name="Tc_EfxbN8nkVEKEM9O6GT5b0g_12_28"/>
      <w:bookmarkStart w:id="1047" w:name="Tc_XBv7l7PkeUKRpjUDXhsIbg_12_25"/>
      <w:bookmarkStart w:id="1048" w:name="Tc_ZnTVIRUNYkOrcil0rYgjjQ_12_22"/>
      <w:bookmarkStart w:id="1049" w:name="Tc_nNiYGWmUKUycddnfI2o-Kg_12_19"/>
      <w:bookmarkStart w:id="1050" w:name="Tc_Cw_UmXwEIUWZNpTZwWETcQ_12_16"/>
      <w:bookmarkStart w:id="1051" w:name="Tc_f0dc8olAEU21Tb_ffxhJSw_12_10"/>
      <w:bookmarkStart w:id="1052" w:name="Tc_gFyndtHsskWeTNKRh84fTg_12_7"/>
      <w:bookmarkStart w:id="1053" w:name="Tc_xCBinSBNaUqD90TA_b8RAg_12_5"/>
      <w:bookmarkStart w:id="1054" w:name="Tc_LzJilqnDMkem4fx9fMoPVg_12_2"/>
      <w:bookmarkStart w:id="1055" w:name="Tc_8lIx6VV2TUGLYC6UHI_Ngg_12_0"/>
      <w:bookmarkStart w:id="1056" w:name="Tc_aAr-1t-cNEiz_nx11OP0XQ_11_28"/>
      <w:bookmarkStart w:id="1057" w:name="Tc__V2yxXkuhkWTEI9876u6ew_11_25"/>
      <w:bookmarkStart w:id="1058" w:name="Tc_5iKphNf0i0qO4pQ9r2xpvQ_11_22"/>
      <w:bookmarkStart w:id="1059" w:name="Tc_EY8P-Afk9UyTWHr2qqB4dw_11_19"/>
      <w:bookmarkStart w:id="1060" w:name="Tc_rRRA83hlHEa9sytnR4Muhg_11_16"/>
      <w:bookmarkStart w:id="1061" w:name="Tc_bATgdzH-0EqdMCRDeeEMbA_11_10"/>
      <w:bookmarkStart w:id="1062" w:name="Tc_3i3CBBoH-k6cBaq7HXUTUw_11_7"/>
      <w:bookmarkStart w:id="1063" w:name="Tc_0riXmsdzzUeVCPbojnhO5g_11_5"/>
      <w:bookmarkStart w:id="1064" w:name="Tc_9WO225Kkjk2kLBufMzMpTQ_11_0"/>
      <w:bookmarkStart w:id="1065" w:name="Tc_dvUqySNeLEOW212-HxKkTQ_10_28"/>
      <w:bookmarkStart w:id="1066" w:name="Tc_FuDBaRl2d0i7QJ_eb4Uicg_10_22"/>
      <w:bookmarkStart w:id="1067" w:name="Tc_PcV3Fg8Sfk6IWx53VcekqQ_10_19"/>
      <w:bookmarkStart w:id="1068" w:name="Tc_E8FybCuv4kCeUXG9dCQWfA_10_16"/>
      <w:bookmarkStart w:id="1069" w:name="Tc__qSBXlmVlESIhH1SjLUKpg_10_13"/>
      <w:bookmarkStart w:id="1070" w:name="Tc_e5YPSGtQDU6SAcjCG1EcpA_10_7"/>
      <w:bookmarkStart w:id="1071" w:name="Tc_HhIym-nEfkiGOWqVW2NPBg_10_5"/>
      <w:bookmarkStart w:id="1072" w:name="Tc_9tDvOUeDIEGQXI7YkM8KVA_10_2"/>
      <w:bookmarkStart w:id="1073" w:name="Tc_uFMFkBzq1k6_OftAWj6eEw_10_0"/>
      <w:bookmarkStart w:id="1074" w:name="Tc_BD7IAQVqL028feX2Ktm_Ig_9_28"/>
      <w:bookmarkStart w:id="1075" w:name="Tc_INXj1e4fREmc5LG-LgaWSw_9_19"/>
      <w:bookmarkStart w:id="1076" w:name="Tc_3IIztkIgnk6JDVf3SLvsWw_9_16"/>
      <w:bookmarkStart w:id="1077" w:name="Tc_BSqxbf5qmEuI-xssPErbZA_9_13"/>
      <w:bookmarkStart w:id="1078" w:name="Tc_AZoE3cSnqUm6X4LRE6QBDw_9_10"/>
      <w:bookmarkStart w:id="1079" w:name="Tc_M2W6ptMjJUGNGgiAWficJA_9_7"/>
      <w:bookmarkStart w:id="1080" w:name="Tc_-sLfVenYyka4C7hF9pQzdg_9_5"/>
      <w:bookmarkStart w:id="1081" w:name="Tc_Xb4fN7GdA0CjYwxH2xCznQ_9_0"/>
      <w:bookmarkStart w:id="1082" w:name="Tc_7Url-mqNUUqPlEQwRu1SZQ_8_28"/>
      <w:bookmarkStart w:id="1083" w:name="Tc_3jbgVzNWLkCVoQH3LKPVtA_8_25"/>
      <w:bookmarkStart w:id="1084" w:name="Tc_7BkgunQU9UmnqTbzco0TzA_8_22"/>
      <w:bookmarkStart w:id="1085" w:name="Tc_1EwAxquZlk2hR1s8Nlontg_8_19"/>
      <w:bookmarkStart w:id="1086" w:name="Tc_VPD-Hzx9U0miymLqRRWkGw_8_16"/>
      <w:bookmarkStart w:id="1087" w:name="Tc_wxiPhMI0s0uJlNw8Uz1C3A_8_10"/>
      <w:bookmarkStart w:id="1088" w:name="Tc_qcLRhFTWAkGWK_e4dCRyCQ_8_7"/>
      <w:bookmarkStart w:id="1089" w:name="Tc_AYzOkabUK0WyPELrvQba3A_8_5"/>
      <w:bookmarkStart w:id="1090" w:name="Tc_c-Lly-pT70yAr04_PeAnng_8_0"/>
      <w:bookmarkStart w:id="1091" w:name="Tc_hZboJgvcxkyyEN3Y2vtxxQ_7_25"/>
      <w:bookmarkStart w:id="1092" w:name="Tc_rqkhApF7lkCfIs_9iy2c0A_7_22"/>
      <w:bookmarkStart w:id="1093" w:name="Tc_InKv1dTEWEq8G-rXofYOgA_7_19"/>
      <w:bookmarkStart w:id="1094" w:name="Tc_lgQbrqkuUUOpNUsSwdnXhg_7_13"/>
      <w:bookmarkStart w:id="1095" w:name="Tc_2ROtVkqQpUee0CinY6pkaA_7_10"/>
      <w:bookmarkStart w:id="1096" w:name="Tc_v317b0lwDE-qEzVAbceoDw_7_7"/>
      <w:bookmarkStart w:id="1097" w:name="Tc_Giqa2MznFEedq00IhTwb1w_7_5"/>
      <w:bookmarkStart w:id="1098" w:name="Tc_5OPQ_QuxpUSpV26VXTMpCw_7_2"/>
      <w:bookmarkStart w:id="1099" w:name="Tc_BksHkL2IFkSXBH-hrJKjBw_7_0"/>
      <w:bookmarkStart w:id="1100" w:name="Tc_o26hjcKVNEy3sqGAHgvlIg_6_30"/>
      <w:bookmarkStart w:id="1101" w:name="Tc_YM7efHQKU0WIdErHVt5c4Q_6_27"/>
      <w:bookmarkStart w:id="1102" w:name="Tc_bdnM4vV95U265QjtblegOQ_6_24"/>
      <w:bookmarkStart w:id="1103" w:name="Tc_E8I24mKCwUCOOPwrAjJ_Qw_6_21"/>
      <w:bookmarkStart w:id="1104" w:name="Tc_1TRuMKXvgEqVJfHMQtBSLw_6_18"/>
      <w:bookmarkStart w:id="1105" w:name="Tc_7PPmyh288EScMOso_lF7hQ_6_15"/>
      <w:bookmarkStart w:id="1106" w:name="Tc_nC8mBk3vnU6NYQn1nN7DQw_6_12"/>
      <w:bookmarkStart w:id="1107" w:name="Tc_OMs6yftTx0Wli-VlpsTCCA_6_10"/>
      <w:bookmarkStart w:id="1108" w:name="Tc_dfhl5O1RpkKopARXGqoFug_6_0"/>
      <w:bookmarkStart w:id="1109" w:name="Tc_nR3NXVWTXE26lB4zltVFdA_5_30"/>
      <w:bookmarkStart w:id="1110" w:name="Tc_L39LYzl9uEa3q9S_rjwkbw_5_27"/>
      <w:bookmarkStart w:id="1111" w:name="Tc_l6ZTzvTbtUykWw94X3H2tA_5_24"/>
      <w:bookmarkStart w:id="1112" w:name="Tc_AD2flGyVfkGD8SQxmHvkfA_5_21"/>
      <w:bookmarkStart w:id="1113" w:name="Tc_A6nRTZ6sF0iw4aEwpTlL_w_5_18"/>
      <w:bookmarkStart w:id="1114" w:name="Tc_DCqQq2dCWEGqAmu1AuAdmA_5_15"/>
      <w:bookmarkStart w:id="1115" w:name="Tc_nmTzpGFiP0yDRGlYB4OG9A_5_12"/>
      <w:bookmarkStart w:id="1116" w:name="Tc_ANuQIsAiJ06jTjUBD3JrXw_5_9"/>
      <w:bookmarkStart w:id="1117" w:name="Tc_hGV1JpVhmkqDg0lZJF8WPg_5_7"/>
      <w:bookmarkStart w:id="1118" w:name="Tc_q0F3WVdv1E2jq7yacxBJoA_5_4"/>
      <w:bookmarkStart w:id="1119" w:name="Tc_6AKCmvvxPkStSo63fFQu2w_5_2"/>
      <w:bookmarkStart w:id="1120" w:name="Tc_SueZLqdIK0-1A-OV50-huA_4_30"/>
      <w:bookmarkStart w:id="1121" w:name="Tc_D3vQz1v5okiiTKvFHeRafA_4_27"/>
      <w:bookmarkStart w:id="1122" w:name="Tc_-7cLN_sz3USYGo3F4iJo8Q_4_21"/>
      <w:bookmarkStart w:id="1123" w:name="Tc_fl3ueCaAf0C_KQZJwXwclw_4_18"/>
      <w:bookmarkStart w:id="1124" w:name="Tc_N7qlF6eeg0Ol6hWQjtGmyg_4_15"/>
      <w:bookmarkStart w:id="1125" w:name="Tc_DUOJ3r2-SkmcIYKBKAIvhQ_4_12"/>
      <w:bookmarkStart w:id="1126" w:name="Tc_sPEg9jqKFEC2gtyVqzUjpA_4_7"/>
      <w:bookmarkStart w:id="1127" w:name="Tc_F3N5Oy9Y0E-YyWcwKjJr_w_4_2"/>
      <w:bookmarkStart w:id="1128" w:name="Tc_GdUbnQ6L9kCK8kfJjMwNKg_3_30"/>
      <w:bookmarkStart w:id="1129" w:name="Tc__Gp8HbjXYESZaKMf6dBNkQ_3_18"/>
      <w:bookmarkStart w:id="1130" w:name="Tc_K-03ED2_dU-pp-N3GXQghQ_3_12"/>
      <w:bookmarkStart w:id="1131" w:name="Tc_XGiPSCIEO0SZBfnJTUm19A_3_7"/>
      <w:bookmarkStart w:id="1132" w:name="Tc_YeJuW6oK8UeY7uIcmClSBg_3_2"/>
      <w:bookmarkStart w:id="1133" w:name="Tc_MsY7UVM4jEif4EQq4lZM-w_2_18"/>
      <w:bookmarkStart w:id="1134" w:name="Tc_IJZ9D5KZBEKY0gIbqoz2og_1_18"/>
      <w:bookmarkStart w:id="1135" w:name="_20c04f93_8f07_452f_9f7b_70a87fad5e77"/>
      <w:bookmarkStart w:id="1136" w:name="Tc_eToqeBiwCUOaDZZ10p9FNg_16_30"/>
      <w:bookmarkStart w:id="1137" w:name="Tc_8QpGTJjm6ki_TYHhtboKKg_16_27"/>
      <w:bookmarkStart w:id="1138" w:name="Tc_E0J6oDE0JkarLpzQbgGAXw_16_24"/>
      <w:bookmarkStart w:id="1139" w:name="Tc_kNE-ZRdOK06FD9uIP3_Xlw_16_18"/>
      <w:bookmarkStart w:id="1140" w:name="Tc_H2toXieCFUOcD65ppyEP7w_16_15"/>
      <w:bookmarkStart w:id="1141" w:name="Tc_SHcpe2sef0qSSWimpxaJjg_16_12"/>
      <w:bookmarkStart w:id="1142" w:name="Tc_-COqYYqAN0GEaZe9qLyxYQ_16_10"/>
      <w:bookmarkStart w:id="1143" w:name="Tc_HyfRBhc1aUC3ctI6CIZRmQ_16_9"/>
      <w:bookmarkStart w:id="1144" w:name="Tc_gHrWkmTa7EeShWlLlLxq1Q_16_4"/>
      <w:bookmarkStart w:id="1145" w:name="Tc_R0xf2FAbw0OEBbFvdyyTbw_16_0"/>
      <w:bookmarkStart w:id="1146" w:name="Tc_siIqWyiscE6OfL8gy9Wc4A_15_25"/>
      <w:bookmarkStart w:id="1147" w:name="Tc_Px5Hyq4HuE6LCkkcH02ksg_15_22"/>
      <w:bookmarkStart w:id="1148" w:name="Tc_VUglUZTOAkqdE67Lkr3KRQ_15_16"/>
      <w:bookmarkStart w:id="1149" w:name="Tc_pr7opzA6_UOdsBMHUJotHw_15_13"/>
      <w:bookmarkStart w:id="1150" w:name="Tc_jg5PlK--hEOsyZTIAtFZdA_15_10"/>
      <w:bookmarkStart w:id="1151" w:name="Tc_zhoXk2Oj0kOOfkSeSJ0VPg_15_7"/>
      <w:bookmarkStart w:id="1152" w:name="Tc_NEA0TDy8REiBEITbjpvERA_15_5"/>
      <w:bookmarkStart w:id="1153" w:name="Tc_fr5qHgf9EUKHj7sOb5VvoA_15_2"/>
      <w:bookmarkStart w:id="1154" w:name="Tc_khMH_d3oKUCQk1pEklep8g_15_0"/>
      <w:bookmarkStart w:id="1155" w:name="Tc_wlOUQZaCkEuady8AI_K2vw_14_25"/>
      <w:bookmarkStart w:id="1156" w:name="Tc_D85Kmo4eakuvjagyCfF-wg_14_22"/>
      <w:bookmarkStart w:id="1157" w:name="Tc_ksbDcvTNFUOhLkeEiU2V5Q_14_16"/>
      <w:bookmarkStart w:id="1158" w:name="Tc_2olk1mE7Kk65Z0yfaMxuRA_14_13"/>
      <w:bookmarkStart w:id="1159" w:name="Tc_MCX8uw7lzUGlT2n9Nt08IQ_14_10"/>
      <w:bookmarkStart w:id="1160" w:name="Tc_3j8UWGfHa0enKYApUIXOxg_14_7"/>
      <w:bookmarkStart w:id="1161" w:name="Tc_3-3ICuODXUiTx1ptCTiq-g_14_5"/>
      <w:bookmarkStart w:id="1162" w:name="Tc_tzaBmgM3C0qAYv4AgDNnkw_14_2"/>
      <w:bookmarkStart w:id="1163" w:name="Tc_nNBmiGlEJUCCrDW8TISzOQ_14_0"/>
      <w:bookmarkStart w:id="1164" w:name="Tc_YuZ29BVRaEqj2D8GiyashA_13_28"/>
      <w:bookmarkStart w:id="1165" w:name="Tc_EVdIgLu2hkKYvnQ3YLD84w_13_25"/>
      <w:bookmarkStart w:id="1166" w:name="Tc_oTr2BH0Eb0GEctFbPlybtg_13_22"/>
      <w:bookmarkStart w:id="1167" w:name="Tc_tnIdfd5s9UqHJZlWheeudw_13_19"/>
      <w:bookmarkStart w:id="1168" w:name="Tc_HkiRPEzUQUW6WYUb6XBIkw_13_16"/>
      <w:bookmarkStart w:id="1169" w:name="Tc_pQr5L3aUuE6i4luWfRMziQ_13_10"/>
      <w:bookmarkStart w:id="1170" w:name="Tc_h1J2pthxaEyn3GLwvQ8E4g_13_7"/>
      <w:bookmarkStart w:id="1171" w:name="Tc_jAiFIn4ZHkqTiL8DJcfYrQ_13_5"/>
      <w:bookmarkStart w:id="1172" w:name="Tc_Er4yNxUtGEymV9-4TU9XWA_13_2"/>
      <w:bookmarkStart w:id="1173" w:name="Tc_sRRT2Mga6kiLKYhwYaxapw_13_0"/>
      <w:bookmarkStart w:id="1174" w:name="Tc_EfxbN8nkVEKEM9O6GT5b0g_12_28"/>
      <w:bookmarkStart w:id="1175" w:name="Tc_XBv7l7PkeUKRpjUDXhsIbg_12_25"/>
      <w:bookmarkStart w:id="1176" w:name="Tc_ZnTVIRUNYkOrcil0rYgjjQ_12_22"/>
      <w:bookmarkStart w:id="1177" w:name="Tc_nNiYGWmUKUycddnfI2o-Kg_12_19"/>
      <w:bookmarkStart w:id="1178" w:name="Tc_Cw_UmXwEIUWZNpTZwWETcQ_12_16"/>
      <w:bookmarkStart w:id="1179" w:name="Tc_f0dc8olAEU21Tb_ffxhJSw_12_10"/>
      <w:bookmarkStart w:id="1180" w:name="Tc_gFyndtHsskWeTNKRh84fTg_12_7"/>
      <w:bookmarkStart w:id="1181" w:name="Tc_xCBinSBNaUqD90TA_b8RAg_12_5"/>
      <w:bookmarkStart w:id="1182" w:name="Tc_LzJilqnDMkem4fx9fMoPVg_12_2"/>
      <w:bookmarkStart w:id="1183" w:name="Tc_8lIx6VV2TUGLYC6UHI_Ngg_12_0"/>
      <w:bookmarkStart w:id="1184" w:name="Tc_aAr-1t-cNEiz_nx11OP0XQ_11_28"/>
      <w:bookmarkStart w:id="1185" w:name="Tc__V2yxXkuhkWTEI9876u6ew_11_25"/>
      <w:bookmarkStart w:id="1186" w:name="Tc_5iKphNf0i0qO4pQ9r2xpvQ_11_22"/>
      <w:bookmarkStart w:id="1187" w:name="Tc_EY8P-Afk9UyTWHr2qqB4dw_11_19"/>
      <w:bookmarkStart w:id="1188" w:name="Tc_rRRA83hlHEa9sytnR4Muhg_11_16"/>
      <w:bookmarkStart w:id="1189" w:name="Tc_bATgdzH-0EqdMCRDeeEMbA_11_10"/>
      <w:bookmarkStart w:id="1190" w:name="Tc_3i3CBBoH-k6cBaq7HXUTUw_11_7"/>
      <w:bookmarkStart w:id="1191" w:name="Tc_0riXmsdzzUeVCPbojnhO5g_11_5"/>
      <w:bookmarkStart w:id="1192" w:name="Tc_9WO225Kkjk2kLBufMzMpTQ_11_0"/>
      <w:bookmarkStart w:id="1193" w:name="Tc_dvUqySNeLEOW212-HxKkTQ_10_28"/>
      <w:bookmarkStart w:id="1194" w:name="Tc_FuDBaRl2d0i7QJ_eb4Uicg_10_22"/>
      <w:bookmarkStart w:id="1195" w:name="Tc_PcV3Fg8Sfk6IWx53VcekqQ_10_19"/>
      <w:bookmarkStart w:id="1196" w:name="Tc_E8FybCuv4kCeUXG9dCQWfA_10_16"/>
      <w:bookmarkStart w:id="1197" w:name="Tc__qSBXlmVlESIhH1SjLUKpg_10_13"/>
      <w:bookmarkStart w:id="1198" w:name="Tc_e5YPSGtQDU6SAcjCG1EcpA_10_7"/>
      <w:bookmarkStart w:id="1199" w:name="Tc_HhIym-nEfkiGOWqVW2NPBg_10_5"/>
      <w:bookmarkStart w:id="1200" w:name="Tc_9tDvOUeDIEGQXI7YkM8KVA_10_2"/>
      <w:bookmarkStart w:id="1201" w:name="Tc_uFMFkBzq1k6_OftAWj6eEw_10_0"/>
      <w:bookmarkStart w:id="1202" w:name="Tc_BD7IAQVqL028feX2Ktm_Ig_9_28"/>
      <w:bookmarkStart w:id="1203" w:name="Tc_INXj1e4fREmc5LG-LgaWSw_9_19"/>
      <w:bookmarkStart w:id="1204" w:name="Tc_3IIztkIgnk6JDVf3SLvsWw_9_16"/>
      <w:bookmarkStart w:id="1205" w:name="Tc_BSqxbf5qmEuI-xssPErbZA_9_13"/>
      <w:bookmarkStart w:id="1206" w:name="Tc_AZoE3cSnqUm6X4LRE6QBDw_9_10"/>
      <w:bookmarkStart w:id="1207" w:name="Tc_M2W6ptMjJUGNGgiAWficJA_9_7"/>
      <w:bookmarkStart w:id="1208" w:name="Tc_-sLfVenYyka4C7hF9pQzdg_9_5"/>
      <w:bookmarkStart w:id="1209" w:name="Tc_Xb4fN7GdA0CjYwxH2xCznQ_9_0"/>
      <w:bookmarkStart w:id="1210" w:name="Tc_7Url-mqNUUqPlEQwRu1SZQ_8_28"/>
      <w:bookmarkStart w:id="1211" w:name="Tc_3jbgVzNWLkCVoQH3LKPVtA_8_25"/>
      <w:bookmarkStart w:id="1212" w:name="Tc_7BkgunQU9UmnqTbzco0TzA_8_22"/>
      <w:bookmarkStart w:id="1213" w:name="Tc_1EwAxquZlk2hR1s8Nlontg_8_19"/>
      <w:bookmarkStart w:id="1214" w:name="Tc_VPD-Hzx9U0miymLqRRWkGw_8_16"/>
      <w:bookmarkStart w:id="1215" w:name="Tc_wxiPhMI0s0uJlNw8Uz1C3A_8_10"/>
      <w:bookmarkStart w:id="1216" w:name="Tc_qcLRhFTWAkGWK_e4dCRyCQ_8_7"/>
      <w:bookmarkStart w:id="1217" w:name="Tc_AYzOkabUK0WyPELrvQba3A_8_5"/>
      <w:bookmarkStart w:id="1218" w:name="Tc_c-Lly-pT70yAr04_PeAnng_8_0"/>
      <w:bookmarkStart w:id="1219" w:name="Tc_hZboJgvcxkyyEN3Y2vtxxQ_7_25"/>
      <w:bookmarkStart w:id="1220" w:name="Tc_rqkhApF7lkCfIs_9iy2c0A_7_22"/>
      <w:bookmarkStart w:id="1221" w:name="Tc_InKv1dTEWEq8G-rXofYOgA_7_19"/>
      <w:bookmarkStart w:id="1222" w:name="Tc_lgQbrqkuUUOpNUsSwdnXhg_7_13"/>
      <w:bookmarkStart w:id="1223" w:name="Tc_2ROtVkqQpUee0CinY6pkaA_7_10"/>
      <w:bookmarkStart w:id="1224" w:name="Tc_v317b0lwDE-qEzVAbceoDw_7_7"/>
      <w:bookmarkStart w:id="1225" w:name="Tc_Giqa2MznFEedq00IhTwb1w_7_5"/>
      <w:bookmarkStart w:id="1226" w:name="Tc_5OPQ_QuxpUSpV26VXTMpCw_7_2"/>
      <w:bookmarkStart w:id="1227" w:name="Tc_BksHkL2IFkSXBH-hrJKjBw_7_0"/>
      <w:bookmarkStart w:id="1228" w:name="Tc_o26hjcKVNEy3sqGAHgvlIg_6_30"/>
      <w:bookmarkStart w:id="1229" w:name="Tc_YM7efHQKU0WIdErHVt5c4Q_6_27"/>
      <w:bookmarkStart w:id="1230" w:name="Tc_bdnM4vV95U265QjtblegOQ_6_24"/>
      <w:bookmarkStart w:id="1231" w:name="Tc_E8I24mKCwUCOOPwrAjJ_Qw_6_21"/>
      <w:bookmarkStart w:id="1232" w:name="Tc_1TRuMKXvgEqVJfHMQtBSLw_6_18"/>
      <w:bookmarkStart w:id="1233" w:name="Tc_7PPmyh288EScMOso_lF7hQ_6_15"/>
      <w:bookmarkStart w:id="1234" w:name="Tc_nC8mBk3vnU6NYQn1nN7DQw_6_12"/>
      <w:bookmarkStart w:id="1235" w:name="Tc_OMs6yftTx0Wli-VlpsTCCA_6_10"/>
      <w:bookmarkStart w:id="1236" w:name="Tc_dfhl5O1RpkKopARXGqoFug_6_0"/>
      <w:bookmarkStart w:id="1237" w:name="Tc_nR3NXVWTXE26lB4zltVFdA_5_30"/>
      <w:bookmarkStart w:id="1238" w:name="Tc_L39LYzl9uEa3q9S_rjwkbw_5_27"/>
      <w:bookmarkStart w:id="1239" w:name="Tc_l6ZTzvTbtUykWw94X3H2tA_5_24"/>
      <w:bookmarkStart w:id="1240" w:name="Tc_AD2flGyVfkGD8SQxmHvkfA_5_21"/>
      <w:bookmarkStart w:id="1241" w:name="Tc_A6nRTZ6sF0iw4aEwpTlL_w_5_18"/>
      <w:bookmarkStart w:id="1242" w:name="Tc_DCqQq2dCWEGqAmu1AuAdmA_5_15"/>
      <w:bookmarkStart w:id="1243" w:name="Tc_nmTzpGFiP0yDRGlYB4OG9A_5_12"/>
      <w:bookmarkStart w:id="1244" w:name="Tc_ANuQIsAiJ06jTjUBD3JrXw_5_9"/>
      <w:bookmarkStart w:id="1245" w:name="Tc_hGV1JpVhmkqDg0lZJF8WPg_5_7"/>
      <w:bookmarkStart w:id="1246" w:name="Tc_q0F3WVdv1E2jq7yacxBJoA_5_4"/>
      <w:bookmarkStart w:id="1247" w:name="Tc_6AKCmvvxPkStSo63fFQu2w_5_2"/>
      <w:bookmarkStart w:id="1248" w:name="Tc_SueZLqdIK0-1A-OV50-huA_4_30"/>
      <w:bookmarkStart w:id="1249" w:name="Tc_D3vQz1v5okiiTKvFHeRafA_4_27"/>
      <w:bookmarkStart w:id="1250" w:name="Tc_-7cLN_sz3USYGo3F4iJo8Q_4_21"/>
      <w:bookmarkStart w:id="1251" w:name="Tc_fl3ueCaAf0C_KQZJwXwclw_4_18"/>
      <w:bookmarkStart w:id="1252" w:name="Tc_N7qlF6eeg0Ol6hWQjtGmyg_4_15"/>
      <w:bookmarkStart w:id="1253" w:name="Tc_DUOJ3r2-SkmcIYKBKAIvhQ_4_12"/>
      <w:bookmarkStart w:id="1254" w:name="Tc_sPEg9jqKFEC2gtyVqzUjpA_4_7"/>
      <w:bookmarkStart w:id="1255" w:name="Tc_F3N5Oy9Y0E-YyWcwKjJr_w_4_2"/>
      <w:bookmarkStart w:id="1256" w:name="Tc_GdUbnQ6L9kCK8kfJjMwNKg_3_30"/>
      <w:bookmarkStart w:id="1257" w:name="Tc__Gp8HbjXYESZaKMf6dBNkQ_3_18"/>
      <w:bookmarkStart w:id="1258" w:name="Tc_K-03ED2_dU-pp-N3GXQghQ_3_12"/>
      <w:bookmarkStart w:id="1259" w:name="Tc_XGiPSCIEO0SZBfnJTUm19A_3_7"/>
      <w:bookmarkStart w:id="1260" w:name="Tc_YeJuW6oK8UeY7uIcmClSBg_3_2"/>
      <w:bookmarkStart w:id="1261" w:name="Tc_MsY7UVM4jEif4EQq4lZM-w_2_18"/>
      <w:bookmarkStart w:id="1262" w:name="Tc_IJZ9D5KZBEKY0gIbqoz2og_1_18"/>
      <w:bookmarkStart w:id="1263" w:name="_20c04f93_8f07_452f_9f7b_70a87fad5e77"/>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tbl>
      <w:tblPr>
        <w:tblW w:w="12401" w:type="dxa"/>
        <w:jc w:val="left"/>
        <w:tblInd w:w="0" w:type="dxa"/>
        <w:tblLayout w:type="fixed"/>
        <w:tblCellMar>
          <w:top w:w="0" w:type="dxa"/>
          <w:left w:w="0" w:type="dxa"/>
          <w:bottom w:w="0" w:type="dxa"/>
          <w:right w:w="0" w:type="dxa"/>
        </w:tblCellMar>
      </w:tblPr>
      <w:tblGrid>
        <w:gridCol w:w="886"/>
        <w:gridCol w:w="346"/>
        <w:gridCol w:w="706"/>
        <w:gridCol w:w="346"/>
        <w:gridCol w:w="170"/>
        <w:gridCol w:w="356"/>
        <w:gridCol w:w="346"/>
        <w:gridCol w:w="646"/>
        <w:gridCol w:w="346"/>
        <w:gridCol w:w="170"/>
        <w:gridCol w:w="356"/>
        <w:gridCol w:w="346"/>
        <w:gridCol w:w="166"/>
        <w:gridCol w:w="496"/>
        <w:gridCol w:w="346"/>
        <w:gridCol w:w="186"/>
        <w:gridCol w:w="610"/>
        <w:gridCol w:w="346"/>
        <w:gridCol w:w="258"/>
        <w:gridCol w:w="658"/>
        <w:gridCol w:w="346"/>
        <w:gridCol w:w="166"/>
        <w:gridCol w:w="496"/>
        <w:gridCol w:w="346"/>
        <w:gridCol w:w="166"/>
        <w:gridCol w:w="421"/>
        <w:gridCol w:w="346"/>
        <w:gridCol w:w="222"/>
        <w:gridCol w:w="664"/>
        <w:gridCol w:w="346"/>
        <w:gridCol w:w="175"/>
        <w:gridCol w:w="62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2610" cy="175260"/>
                      <wp:effectExtent l="0" t="0" r="0" b="0"/>
                      <wp:wrapNone/>
                      <wp:docPr id="202" name="Frame2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48310" cy="175260"/>
                      <wp:effectExtent l="0" t="0" r="0" b="0"/>
                      <wp:wrapNone/>
                      <wp:docPr id="204" name="Frame20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07950" cy="175260"/>
                      <wp:effectExtent l="0" t="0" r="0" b="0"/>
                      <wp:wrapNone/>
                      <wp:docPr id="206" name="Frame206"/>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6060" cy="175260"/>
                      <wp:effectExtent l="0" t="0" r="0" b="0"/>
                      <wp:wrapNone/>
                      <wp:docPr id="207" name="Frame20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10210" cy="175260"/>
                      <wp:effectExtent l="0" t="0" r="0" b="0"/>
                      <wp:wrapNone/>
                      <wp:docPr id="209" name="Frame20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7950" cy="175260"/>
                      <wp:effectExtent l="0" t="0" r="0" b="0"/>
                      <wp:wrapNone/>
                      <wp:docPr id="211" name="Frame211"/>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6060" cy="175260"/>
                      <wp:effectExtent l="0" t="0" r="0" b="0"/>
                      <wp:wrapNone/>
                      <wp:docPr id="212" name="Frame21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05410" cy="175260"/>
                      <wp:effectExtent l="0" t="0" r="0" b="0"/>
                      <wp:wrapNone/>
                      <wp:docPr id="214" name="Frame21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14960" cy="175260"/>
                      <wp:effectExtent l="0" t="0" r="0" b="0"/>
                      <wp:wrapNone/>
                      <wp:docPr id="215" name="Frame215"/>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18110" cy="175260"/>
                      <wp:effectExtent l="0" t="0" r="0" b="0"/>
                      <wp:wrapNone/>
                      <wp:docPr id="217" name="Frame217"/>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7350" cy="175260"/>
                      <wp:effectExtent l="0" t="0" r="0" b="0"/>
                      <wp:wrapNone/>
                      <wp:docPr id="218" name="Frame218"/>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3830" cy="175260"/>
                      <wp:effectExtent l="0" t="0" r="0" b="0"/>
                      <wp:wrapNone/>
                      <wp:docPr id="220" name="Frame22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17830" cy="175260"/>
                      <wp:effectExtent l="0" t="0" r="0" b="0"/>
                      <wp:wrapNone/>
                      <wp:docPr id="221" name="Frame22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05410" cy="175260"/>
                      <wp:effectExtent l="0" t="0" r="0" b="0"/>
                      <wp:wrapNone/>
                      <wp:docPr id="223" name="Frame22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14960" cy="175260"/>
                      <wp:effectExtent l="0" t="0" r="0" b="0"/>
                      <wp:wrapNone/>
                      <wp:docPr id="224" name="Frame22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05410" cy="175260"/>
                      <wp:effectExtent l="0" t="0" r="0" b="0"/>
                      <wp:wrapNone/>
                      <wp:docPr id="226" name="Frame22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67335" cy="175260"/>
                      <wp:effectExtent l="0" t="0" r="0" b="0"/>
                      <wp:wrapNone/>
                      <wp:docPr id="227" name="Frame22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40970" cy="175260"/>
                      <wp:effectExtent l="0" t="0" r="0" b="0"/>
                      <wp:wrapNone/>
                      <wp:docPr id="229" name="Frame22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1640" cy="175260"/>
                      <wp:effectExtent l="0" t="0" r="0" b="0"/>
                      <wp:wrapNone/>
                      <wp:docPr id="230" name="Frame230"/>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1125" cy="175260"/>
                      <wp:effectExtent l="0" t="0" r="0" b="0"/>
                      <wp:wrapNone/>
                      <wp:docPr id="232" name="Frame232"/>
                      <a:graphic xmlns:a="http://schemas.openxmlformats.org/drawingml/2006/main">
                        <a:graphicData uri="http://schemas.microsoft.com/office/word/2010/wordprocessingShape">
                          <wps:wsp>
                            <wps:cNvSpPr txBox="1"/>
                            <wps:spPr>
                              <a:xfrm>
                                <a:off x="0" y="0"/>
                                <a:ext cx="11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94335" cy="175260"/>
                      <wp:effectExtent l="0" t="0" r="0" b="0"/>
                      <wp:wrapNone/>
                      <wp:docPr id="233" name="Frame233"/>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0" w:type="dxa"/>
            <w:tcBorders/>
            <w:vAlign w:val="center"/>
          </w:tcPr>
          <w:p>
            <w:pPr>
              <w:pStyle w:val="TableContents"/>
              <w:bidi w:val="0"/>
              <w:spacing w:before="0" w:after="1"/>
              <w:ind w:left="0" w:right="0" w:hanging="0"/>
              <w:jc w:val="center"/>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0" w:type="dxa"/>
            <w:tcBorders/>
            <w:vAlign w:val="center"/>
          </w:tcPr>
          <w:p>
            <w:pPr>
              <w:pStyle w:val="TableContents"/>
              <w:bidi w:val="0"/>
              <w:spacing w:before="0" w:after="1"/>
              <w:ind w:left="0" w:right="0" w:hanging="0"/>
              <w:jc w:val="center"/>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6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6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 w:type="dxa"/>
            <w:tcBorders/>
            <w:vAlign w:val="center"/>
          </w:tcPr>
          <w:p>
            <w:pPr>
              <w:pStyle w:val="TableContents"/>
              <w:bidi w:val="0"/>
              <w:spacing w:before="0" w:after="1"/>
              <w:ind w:left="0" w:right="0" w:hanging="0"/>
              <w:jc w:val="center"/>
              <w:rPr/>
            </w:pPr>
            <w:r>
              <w:rPr/>
              <w:t>​</w:t>
            </w:r>
          </w:p>
        </w:tc>
        <w:tc>
          <w:tcPr>
            <w:tcW w:w="621" w:type="dxa"/>
            <w:tcBorders/>
            <w:vAlign w:val="center"/>
          </w:tcPr>
          <w:p>
            <w:pPr>
              <w:pStyle w:val="TableContents"/>
              <w:bidi w:val="0"/>
              <w:spacing w:before="0" w:after="1"/>
              <w:ind w:left="0" w:right="0" w:hanging="0"/>
              <w:jc w:val="center"/>
              <w:rPr/>
            </w:pPr>
            <w:r>
              <w:rPr/>
              <w:t>​</w: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0" w:type="dxa"/>
            <w:tcBorders/>
            <w:vAlign w:val="center"/>
          </w:tcPr>
          <w:p>
            <w:pPr>
              <w:pStyle w:val="TableContents"/>
              <w:bidi w:val="0"/>
              <w:spacing w:before="0" w:after="1"/>
              <w:ind w:left="0" w:right="0" w:hanging="0"/>
              <w:jc w:val="center"/>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0" w:type="dxa"/>
            <w:tcBorders/>
            <w:vAlign w:val="center"/>
          </w:tcPr>
          <w:p>
            <w:pPr>
              <w:pStyle w:val="TableContents"/>
              <w:bidi w:val="0"/>
              <w:spacing w:before="0" w:after="1"/>
              <w:ind w:left="0" w:right="0" w:hanging="0"/>
              <w:jc w:val="center"/>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6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6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5" w:type="dxa"/>
            <w:tcBorders/>
            <w:vAlign w:val="center"/>
          </w:tcPr>
          <w:p>
            <w:pPr>
              <w:pStyle w:val="TableContents"/>
              <w:bidi w:val="0"/>
              <w:spacing w:before="0" w:after="1"/>
              <w:ind w:left="0" w:right="0" w:hanging="0"/>
              <w:jc w:val="center"/>
              <w:rPr/>
            </w:pPr>
            <w:r>
              <w:rPr/>
              <w:t>​</w:t>
            </w:r>
          </w:p>
        </w:tc>
        <w:tc>
          <w:tcPr>
            <w:tcW w:w="621" w:type="dxa"/>
            <w:tcBorders/>
            <w:vAlign w:val="center"/>
          </w:tcPr>
          <w:p>
            <w:pPr>
              <w:pStyle w:val="TableContents"/>
              <w:bidi w:val="0"/>
              <w:spacing w:before="0" w:after="1"/>
              <w:ind w:left="0" w:right="0" w:hanging="0"/>
              <w:jc w:val="center"/>
              <w:rPr/>
            </w:pPr>
            <w:r>
              <w:rPr/>
              <w:t>​</w: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78"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1"/>
              <w:ind w:left="0" w:right="0" w:hanging="0"/>
              <w:jc w:val="center"/>
              <w:rPr/>
            </w:pPr>
            <w:r>
              <w:rPr/>
              <w:t>​</w:t>
            </w:r>
          </w:p>
        </w:tc>
        <w:tc>
          <w:tcPr>
            <w:tcW w:w="1518"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B-1</w:t>
            </w:r>
          </w:p>
        </w:tc>
        <w:tc>
          <w:tcPr>
            <w:tcW w:w="346"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346" w:type="dxa"/>
            <w:tcBorders/>
            <w:vAlign w:val="center"/>
          </w:tcPr>
          <w:p>
            <w:pPr>
              <w:pStyle w:val="TableContents"/>
              <w:bidi w:val="0"/>
              <w:spacing w:before="0" w:after="1"/>
              <w:ind w:left="0" w:right="0" w:hanging="0"/>
              <w:jc w:val="center"/>
              <w:rPr/>
            </w:pPr>
            <w:r>
              <w:rPr/>
              <w:t>​</w:t>
            </w:r>
          </w:p>
        </w:tc>
        <w:tc>
          <w:tcPr>
            <w:tcW w:w="186" w:type="dxa"/>
            <w:tcBorders/>
            <w:vAlign w:val="center"/>
          </w:tcPr>
          <w:p>
            <w:pPr>
              <w:pStyle w:val="TableContents"/>
              <w:bidi w:val="0"/>
              <w:spacing w:before="0" w:after="1"/>
              <w:ind w:left="0" w:right="0" w:hanging="0"/>
              <w:jc w:val="center"/>
              <w:rPr/>
            </w:pPr>
            <w:r>
              <w:rPr/>
              <w:t>​</w:t>
            </w:r>
          </w:p>
        </w:tc>
        <w:tc>
          <w:tcPr>
            <w:tcW w:w="6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2" w:type="dxa"/>
            <w:tcBorders/>
            <w:vAlign w:val="center"/>
          </w:tcPr>
          <w:p>
            <w:pPr>
              <w:pStyle w:val="TableContents"/>
              <w:bidi w:val="0"/>
              <w:spacing w:before="0" w:after="1"/>
              <w:ind w:left="0" w:right="0" w:hanging="0"/>
              <w:jc w:val="center"/>
              <w:rPr/>
            </w:pPr>
            <w:r>
              <w:rPr/>
              <w:t>​</w:t>
            </w:r>
          </w:p>
        </w:tc>
        <w:tc>
          <w:tcPr>
            <w:tcW w:w="6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1"/>
              <w:ind w:left="0" w:right="0" w:hanging="0"/>
              <w:jc w:val="center"/>
              <w:rPr/>
            </w:pPr>
            <w:r>
              <w:rPr/>
              <w:t>​</w:t>
            </w:r>
          </w:p>
        </w:tc>
        <w:tc>
          <w:tcPr>
            <w:tcW w:w="15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1"/>
              <w:ind w:left="0" w:right="0" w:hanging="0"/>
              <w:jc w:val="center"/>
              <w:rPr/>
            </w:pPr>
            <w:r>
              <w:rPr/>
              <w:t>​</w:t>
            </w:r>
          </w:p>
        </w:tc>
        <w:tc>
          <w:tcPr>
            <w:tcW w:w="1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Treasury Stock</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Non-Controllig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(Loss)</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at September 30, 2024</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129,421,797</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634,851</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(151,448)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(1,840)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786,048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(9,460)</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135,035</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607,139</w:t>
            </w:r>
          </w:p>
        </w:tc>
      </w:tr>
      <w:tr>
        <w:trPr/>
        <w:tc>
          <w:tcPr>
            <w:tcW w:w="88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 </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(72,512)</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(26,433)</w:t>
            </w:r>
          </w:p>
        </w:tc>
        <w:tc>
          <w:tcPr>
            <w:tcW w:w="346" w:type="dxa"/>
            <w:tcBorders/>
            <w:vAlign w:val="center"/>
          </w:tcPr>
          <w:p>
            <w:pPr>
              <w:pStyle w:val="TableContents"/>
              <w:bidi w:val="0"/>
              <w:spacing w:before="0" w:after="1"/>
              <w:ind w:left="0" w:right="0" w:hanging="0"/>
              <w:jc w:val="left"/>
              <w:rPr/>
            </w:pPr>
            <w:r>
              <w:rPr/>
              <w:t>​</w:t>
            </w:r>
          </w:p>
        </w:tc>
        <w:tc>
          <w:tcPr>
            <w:tcW w:w="175"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(98,945)</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553,330</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9,092</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pPr>
            <w:r>
              <w:rPr/>
              <w:t> </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9,092</w:t>
            </w:r>
          </w:p>
        </w:tc>
      </w:tr>
      <w:tr>
        <w:trPr/>
        <w:tc>
          <w:tcPr>
            <w:tcW w:w="88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Class A common stock withheld related to settlement of employee taxes for stock-based compensation awards</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(29,287)</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 </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29,287</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(490)</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5"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(490)</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Effect of remeasurement of non-controlling interest due to other share transactions</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848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(848)</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pPr>
            <w:r>
              <w:rPr/>
              <w:t> </w:t>
            </w:r>
          </w:p>
        </w:tc>
        <w:tc>
          <w:tcPr>
            <w:tcW w:w="621" w:type="dxa"/>
            <w:tcBorders/>
            <w:shd w:fill="CCEEFF" w:val="clear"/>
            <w:vAlign w:val="center"/>
          </w:tcPr>
          <w:p>
            <w:pPr>
              <w:pStyle w:val="TableContents"/>
              <w:bidi w:val="0"/>
              <w:spacing w:before="0" w:after="1"/>
              <w:ind w:left="0" w:right="0" w:hanging="0"/>
              <w:jc w:val="right"/>
              <w:rPr/>
            </w:pPr>
            <w:r>
              <w:rPr/>
              <w:t>  ​</w:t>
            </w:r>
          </w:p>
        </w:tc>
      </w:tr>
      <w:tr>
        <w:trPr/>
        <w:tc>
          <w:tcPr>
            <w:tcW w:w="88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506,021</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1,240</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 </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5"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1,240</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Purchases of Capped Calls related to 2030 Convertible Senior Notes</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(29,000)</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pPr>
            <w:r>
              <w:rPr/>
              <w:t> </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(29,000)</w:t>
            </w:r>
          </w:p>
        </w:tc>
      </w:tr>
      <w:tr>
        <w:trPr/>
        <w:tc>
          <w:tcPr>
            <w:tcW w:w="88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Distribution to AES Grid Stability</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(1,035)</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 </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5" w:type="dxa"/>
            <w:tcBorders/>
            <w:vAlign w:val="center"/>
          </w:tcPr>
          <w:p>
            <w:pPr>
              <w:pStyle w:val="TableContents"/>
              <w:bidi w:val="0"/>
              <w:spacing w:before="0" w:after="1"/>
              <w:ind w:left="0" w:right="0" w:hanging="0"/>
              <w:jc w:val="left"/>
              <w:rPr/>
            </w:pPr>
            <w:r>
              <w:rPr/>
              <w:t> </w:t>
            </w:r>
          </w:p>
        </w:tc>
        <w:tc>
          <w:tcPr>
            <w:tcW w:w="6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(1,035)</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Loss on foreign currency translation, net of tax</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0"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2,415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948</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shd w:fill="CCEEFF" w:val="clear"/>
            <w:vAlign w:val="center"/>
          </w:tcPr>
          <w:p>
            <w:pPr>
              <w:pStyle w:val="TableContents"/>
              <w:bidi w:val="0"/>
              <w:spacing w:before="0" w:after="1"/>
              <w:ind w:left="0" w:right="0" w:hanging="0"/>
              <w:jc w:val="left"/>
              <w:rPr/>
            </w:pPr>
            <w:r>
              <w:rPr/>
              <w:t> </w:t>
            </w:r>
          </w:p>
        </w:tc>
        <w:tc>
          <w:tcPr>
            <w:tcW w:w="6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3,363</w:t>
            </w:r>
          </w:p>
        </w:tc>
      </w:tr>
      <w:tr>
        <w:trPr/>
        <w:tc>
          <w:tcPr>
            <w:tcW w:w="88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2"/>
              </w:rPr>
              <w:t>Gain on cash flow hedges, net of tax</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5,508</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2,191</w:t>
            </w:r>
          </w:p>
        </w:tc>
        <w:tc>
          <w:tcPr>
            <w:tcW w:w="346" w:type="dxa"/>
            <w:tcBorders/>
            <w:vAlign w:val="center"/>
          </w:tcPr>
          <w:p>
            <w:pPr>
              <w:pStyle w:val="TableContents"/>
              <w:bidi w:val="0"/>
              <w:spacing w:before="0" w:after="1"/>
              <w:ind w:left="0" w:right="0" w:hanging="0"/>
              <w:jc w:val="left"/>
              <w:rPr/>
            </w:pPr>
            <w:r>
              <w:rPr/>
              <w:t>​</w:t>
            </w:r>
          </w:p>
        </w:tc>
        <w:tc>
          <w:tcPr>
            <w:tcW w:w="1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7,699</w:t>
            </w:r>
          </w:p>
        </w:tc>
      </w:tr>
      <w:tr>
        <w:trPr/>
        <w:tc>
          <w:tcPr>
            <w:tcW w:w="88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130,451,861</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51,499,195</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615,996</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(223,960)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6,083</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815,335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(9,950)</w:t>
            </w:r>
          </w:p>
        </w:tc>
        <w:tc>
          <w:tcPr>
            <w:tcW w:w="34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110,893</w:t>
            </w:r>
          </w:p>
        </w:tc>
        <w:tc>
          <w:tcPr>
            <w:tcW w:w="346" w:type="dxa"/>
            <w:tcBorders/>
            <w:shd w:fill="CCEEFF" w:val="clear"/>
            <w:vAlign w:val="center"/>
          </w:tcPr>
          <w:p>
            <w:pPr>
              <w:pStyle w:val="TableContents"/>
              <w:bidi w:val="0"/>
              <w:spacing w:before="0" w:after="1"/>
              <w:ind w:left="0" w:right="0" w:hanging="0"/>
              <w:jc w:val="left"/>
              <w:rPr/>
            </w:pPr>
            <w:r>
              <w:rPr/>
              <w:t>​</w:t>
            </w:r>
          </w:p>
        </w:tc>
        <w:tc>
          <w:tcPr>
            <w:tcW w:w="1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21"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2"/>
              </w:rPr>
            </w:pPr>
            <w:r>
              <w:rPr>
                <w:rFonts w:ascii="Times New Roman;Times;serif" w:hAnsi="Times New Roman;Times;serif"/>
                <w:sz w:val="12"/>
              </w:rPr>
              <w:t>499,063</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64" w:name="_7db37541_aab1_4393_bfeb_32466a5e5e04"/>
      <w:bookmarkEnd w:id="1264"/>
      <w:r>
        <w:rPr>
          <w:rFonts w:ascii="Times New Roman;Times;serif" w:hAnsi="Times New Roman;Times;serif"/>
          <w:b/>
          <w:sz w:val="20"/>
        </w:rPr>
        <w:t>FLUENCE ENERGY, INC.</w:t>
      </w:r>
    </w:p>
    <w:p>
      <w:pPr>
        <w:pStyle w:val="TextBody"/>
        <w:bidi w:val="0"/>
        <w:spacing w:before="0" w:after="0"/>
        <w:ind w:left="0" w:right="0" w:hanging="0"/>
        <w:jc w:val="center"/>
        <w:rPr>
          <w:rFonts w:ascii="Times New Roman;Times;serif" w:hAnsi="Times New Roman;Times;serif"/>
          <w:b/>
          <w:sz w:val="20"/>
        </w:rPr>
      </w:pPr>
      <w:bookmarkStart w:id="1265" w:name="CONDENSEDCONSOLIDATEDSTATEMENTSOFCASHFLO"/>
      <w:bookmarkEnd w:id="1265"/>
      <w:r>
        <w:rPr>
          <w:rFonts w:ascii="Times New Roman;Times;serif" w:hAnsi="Times New Roman;Times;serif"/>
          <w:b/>
          <w:sz w:val="20"/>
        </w:rPr>
        <w:t>CONDENSED CONSOLIDATED STATEMENTS OF CASH FLOWS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Normal"/>
        <w:bidi w:val="0"/>
        <w:spacing w:before="0" w:after="0"/>
        <w:jc w:val="left"/>
        <w:rPr>
          <w:sz w:val="4"/>
          <w:szCs w:val="4"/>
        </w:rPr>
      </w:pPr>
      <w:r>
        <w:rPr>
          <w:sz w:val="4"/>
          <w:szCs w:val="4"/>
        </w:rPr>
      </w:r>
      <w:bookmarkStart w:id="1266" w:name="Tc_cmRJIIrrQUmDKf9Vbd8O0Q_47_5"/>
      <w:bookmarkStart w:id="1267" w:name="Tc_JCkiEPsHZkipsbcSUyoJTg_47_2"/>
      <w:bookmarkStart w:id="1268" w:name="Tc_y819jP0vckOGMdcanKjJZw_47_0"/>
      <w:bookmarkStart w:id="1269" w:name="Tc_D9NW30LnnkO8Oe-CuMLYtw_46_5"/>
      <w:bookmarkStart w:id="1270" w:name="Tc_YD3sHDJDx0yOrh0k6eDs8Q_46_2"/>
      <w:bookmarkStart w:id="1271" w:name="Tc_PQMtq8vO5Eui6mKaJsS1zA_46_0"/>
      <w:bookmarkStart w:id="1272" w:name="Tc_d30WN7LI3U6Nx8WYmuukIQ_45_0"/>
      <w:bookmarkStart w:id="1273" w:name="Tc_rOle4w2xGEu9dwG0P50mOg_44_5"/>
      <w:bookmarkStart w:id="1274" w:name="Tc_Sx16UNSyF0KGCccTYGya9w_44_2"/>
      <w:bookmarkStart w:id="1275" w:name="Tc_J6N_bJAAuE2aHKuIFDfTcg_44_0"/>
      <w:bookmarkStart w:id="1276" w:name="Tc_9_OcedzURUeDqHhJIESIfQ_43_0"/>
      <w:bookmarkStart w:id="1277" w:name="Tc_KhrtObTZ-EaESDnpMqwnew_42_0"/>
      <w:bookmarkStart w:id="1278" w:name="Tc_WVGet0RQhU6y4xFoia6i2g_41_0"/>
      <w:bookmarkStart w:id="1279" w:name="Tc_RsqBlQ0aBUadpxvJUaWK6A_40_0"/>
      <w:bookmarkStart w:id="1280" w:name="Tc_2YWSf4kMLkS4CKBwsT3Nxg_39_6"/>
      <w:bookmarkStart w:id="1281" w:name="Tc_28pdQyiM1EyBEUEUZI7Nkw_39_0"/>
      <w:bookmarkStart w:id="1282" w:name="Tc_pTZ9dRAZmUewXJiZkbzLUA_38_3"/>
      <w:bookmarkStart w:id="1283" w:name="Tc_RtKQ6jrg8ECcAV2xT2o4ew_38_0"/>
      <w:bookmarkStart w:id="1284" w:name="Tc_purn_srK3UKW4eqsnoBQOA_37_0"/>
      <w:bookmarkStart w:id="1285" w:name="Tc_k1gdwt9Z3kGHVdDkFZwQQA_36_6"/>
      <w:bookmarkStart w:id="1286" w:name="Tc_ytiW8etkLE-W89AdDAnrqA_36_0"/>
      <w:bookmarkStart w:id="1287" w:name="Tc_bvfCAeQIP0-U9c9F_09dxA_35_0"/>
      <w:bookmarkStart w:id="1288" w:name="Tc_65RYRF4An0-uoLW0-EELMw_34_3"/>
      <w:bookmarkStart w:id="1289" w:name="Tc_aTbJ4XH7AUmRyhxhVwaM9Q_34_0"/>
      <w:bookmarkStart w:id="1290" w:name="Tc_DRsT8YrtuUWpRMn7iNV25w_33_3"/>
      <w:bookmarkStart w:id="1291" w:name="Tc_lXgy1kF6UkafVTFm_jQsKA_33_0"/>
      <w:bookmarkStart w:id="1292" w:name="Tc_XhxTQUxyLki74WLQDe7O5Q_32_0"/>
      <w:bookmarkStart w:id="1293" w:name="Tc_M6qrIZ133EyEp5NCj2rlYA_31_0"/>
      <w:bookmarkStart w:id="1294" w:name="Tc_OfCyK1GhEU-4POswN9vYxA_30_0"/>
      <w:bookmarkStart w:id="1295" w:name="Tc_7xEXlqeCrUuxTa1GTR--CA_29_0"/>
      <w:bookmarkStart w:id="1296" w:name="Tc_i72CDKsnDE2jQ2wOG1HnHw_28_0"/>
      <w:bookmarkStart w:id="1297" w:name="Tc_MfY0MiL3Okud_BYFnAKvoQ_27_0"/>
      <w:bookmarkStart w:id="1298" w:name="Tc_6-gq5xVGZUObp_aH3KiqDg_26_0"/>
      <w:bookmarkStart w:id="1299" w:name="Tc_2otOZyg61k2m5U5cROTL0A_25_0"/>
      <w:bookmarkStart w:id="1300" w:name="Tc_uMLQycy4L02E3dcrkbiD8A_24_0"/>
      <w:bookmarkStart w:id="1301" w:name="Tc_8r2F4-FxdU-unzgguN8VSw_23_0"/>
      <w:bookmarkStart w:id="1302" w:name="Tc_v5DgxieC306w0ppYNAVgsg_22_0"/>
      <w:bookmarkStart w:id="1303" w:name="Tc_zgmoMxi2Gk2qyGJg9iAFtA_21_0"/>
      <w:bookmarkStart w:id="1304" w:name="Tc_ffgok-R1ikCQ7e7cijrkGA_20_0"/>
      <w:bookmarkStart w:id="1305" w:name="Tc_3OsPfq8cnkKR8LG33CxFzw_19_0"/>
      <w:bookmarkStart w:id="1306" w:name="Tc_syVBC01PAEqxC34A_e0eFg_18_0"/>
      <w:bookmarkStart w:id="1307" w:name="Tc_eXlXAJVg302dZ-hloWE10Q_17_0"/>
      <w:bookmarkStart w:id="1308" w:name="Tc_Q9hNXqEy-UqZPWxJLOYnhQ_16_0"/>
      <w:bookmarkStart w:id="1309" w:name="Tc_Ej4H05BvWkOLDziwm2nlgw_15_0"/>
      <w:bookmarkStart w:id="1310" w:name="Tc_W0OUhBhxz0yCp7ynfOlMYQ_14_0"/>
      <w:bookmarkStart w:id="1311" w:name="Tc_zI85rdt0_ESmw88pKRN1NA_13_0"/>
      <w:bookmarkStart w:id="1312" w:name="Tc_RowSwOGWbU2GWc2Nrjx4Hg_12_0"/>
      <w:bookmarkStart w:id="1313" w:name="Tc_PiCsvwn3ok-CjSuzxP3xxw_11_0"/>
      <w:bookmarkStart w:id="1314" w:name="Tc_YBs7VTsGmUaAFluyBlqtuQ_10_0"/>
      <w:bookmarkStart w:id="1315" w:name="Tc_Qfk2ELbLikO1NI_u5DDkKA_9_0"/>
      <w:bookmarkStart w:id="1316" w:name="Tc_pwYdLnBmjEqESerVnOCBcg_8_0"/>
      <w:bookmarkStart w:id="1317" w:name="Tc_Sh-6U6zuEU-pKnDVCEJwKg_7_0"/>
      <w:bookmarkStart w:id="1318" w:name="Tc_ls5Xpx-O8UefPdffXZ9lyA_6_0"/>
      <w:bookmarkStart w:id="1319" w:name="Tc_SXoBfeZp-kO0zA8FQ69ZsQ_5_0"/>
      <w:bookmarkStart w:id="1320" w:name="Tc_gLroJl1jrEerBUXm-WKzPw_4_5"/>
      <w:bookmarkStart w:id="1321" w:name="Tc_9XjmFOhbcUmCeomoR3HmCQ_4_2"/>
      <w:bookmarkStart w:id="1322" w:name="Tc_p-NhqoFMlU-TEpEPUtWwfw_4_0"/>
      <w:bookmarkStart w:id="1323" w:name="Tc_noIhsjZft0KUg8yGd_QFWw_3_0"/>
      <w:bookmarkStart w:id="1324" w:name="Tc_Z49sLB37TEaA9qNWPVkZGQ_2_5"/>
      <w:bookmarkStart w:id="1325" w:name="Tc_OTP27lbT_UyK8p-WIjkkmg_2_2"/>
      <w:bookmarkStart w:id="1326" w:name="Tc__-1YZGL3XUeKmoOuIEo0ug_1_2"/>
      <w:bookmarkStart w:id="1327" w:name="_1d3c62e3_6232_46d7_bd33_8b2ea383ab72"/>
      <w:bookmarkStart w:id="1328" w:name="Tc_cmRJIIrrQUmDKf9Vbd8O0Q_47_5"/>
      <w:bookmarkStart w:id="1329" w:name="Tc_JCkiEPsHZkipsbcSUyoJTg_47_2"/>
      <w:bookmarkStart w:id="1330" w:name="Tc_y819jP0vckOGMdcanKjJZw_47_0"/>
      <w:bookmarkStart w:id="1331" w:name="Tc_D9NW30LnnkO8Oe-CuMLYtw_46_5"/>
      <w:bookmarkStart w:id="1332" w:name="Tc_YD3sHDJDx0yOrh0k6eDs8Q_46_2"/>
      <w:bookmarkStart w:id="1333" w:name="Tc_PQMtq8vO5Eui6mKaJsS1zA_46_0"/>
      <w:bookmarkStart w:id="1334" w:name="Tc_d30WN7LI3U6Nx8WYmuukIQ_45_0"/>
      <w:bookmarkStart w:id="1335" w:name="Tc_rOle4w2xGEu9dwG0P50mOg_44_5"/>
      <w:bookmarkStart w:id="1336" w:name="Tc_Sx16UNSyF0KGCccTYGya9w_44_2"/>
      <w:bookmarkStart w:id="1337" w:name="Tc_J6N_bJAAuE2aHKuIFDfTcg_44_0"/>
      <w:bookmarkStart w:id="1338" w:name="Tc_9_OcedzURUeDqHhJIESIfQ_43_0"/>
      <w:bookmarkStart w:id="1339" w:name="Tc_KhrtObTZ-EaESDnpMqwnew_42_0"/>
      <w:bookmarkStart w:id="1340" w:name="Tc_WVGet0RQhU6y4xFoia6i2g_41_0"/>
      <w:bookmarkStart w:id="1341" w:name="Tc_RsqBlQ0aBUadpxvJUaWK6A_40_0"/>
      <w:bookmarkStart w:id="1342" w:name="Tc_2YWSf4kMLkS4CKBwsT3Nxg_39_6"/>
      <w:bookmarkStart w:id="1343" w:name="Tc_28pdQyiM1EyBEUEUZI7Nkw_39_0"/>
      <w:bookmarkStart w:id="1344" w:name="Tc_pTZ9dRAZmUewXJiZkbzLUA_38_3"/>
      <w:bookmarkStart w:id="1345" w:name="Tc_RtKQ6jrg8ECcAV2xT2o4ew_38_0"/>
      <w:bookmarkStart w:id="1346" w:name="Tc_purn_srK3UKW4eqsnoBQOA_37_0"/>
      <w:bookmarkStart w:id="1347" w:name="Tc_k1gdwt9Z3kGHVdDkFZwQQA_36_6"/>
      <w:bookmarkStart w:id="1348" w:name="Tc_ytiW8etkLE-W89AdDAnrqA_36_0"/>
      <w:bookmarkStart w:id="1349" w:name="Tc_bvfCAeQIP0-U9c9F_09dxA_35_0"/>
      <w:bookmarkStart w:id="1350" w:name="Tc_65RYRF4An0-uoLW0-EELMw_34_3"/>
      <w:bookmarkStart w:id="1351" w:name="Tc_aTbJ4XH7AUmRyhxhVwaM9Q_34_0"/>
      <w:bookmarkStart w:id="1352" w:name="Tc_DRsT8YrtuUWpRMn7iNV25w_33_3"/>
      <w:bookmarkStart w:id="1353" w:name="Tc_lXgy1kF6UkafVTFm_jQsKA_33_0"/>
      <w:bookmarkStart w:id="1354" w:name="Tc_XhxTQUxyLki74WLQDe7O5Q_32_0"/>
      <w:bookmarkStart w:id="1355" w:name="Tc_M6qrIZ133EyEp5NCj2rlYA_31_0"/>
      <w:bookmarkStart w:id="1356" w:name="Tc_OfCyK1GhEU-4POswN9vYxA_30_0"/>
      <w:bookmarkStart w:id="1357" w:name="Tc_7xEXlqeCrUuxTa1GTR--CA_29_0"/>
      <w:bookmarkStart w:id="1358" w:name="Tc_i72CDKsnDE2jQ2wOG1HnHw_28_0"/>
      <w:bookmarkStart w:id="1359" w:name="Tc_MfY0MiL3Okud_BYFnAKvoQ_27_0"/>
      <w:bookmarkStart w:id="1360" w:name="Tc_6-gq5xVGZUObp_aH3KiqDg_26_0"/>
      <w:bookmarkStart w:id="1361" w:name="Tc_2otOZyg61k2m5U5cROTL0A_25_0"/>
      <w:bookmarkStart w:id="1362" w:name="Tc_uMLQycy4L02E3dcrkbiD8A_24_0"/>
      <w:bookmarkStart w:id="1363" w:name="Tc_8r2F4-FxdU-unzgguN8VSw_23_0"/>
      <w:bookmarkStart w:id="1364" w:name="Tc_v5DgxieC306w0ppYNAVgsg_22_0"/>
      <w:bookmarkStart w:id="1365" w:name="Tc_zgmoMxi2Gk2qyGJg9iAFtA_21_0"/>
      <w:bookmarkStart w:id="1366" w:name="Tc_ffgok-R1ikCQ7e7cijrkGA_20_0"/>
      <w:bookmarkStart w:id="1367" w:name="Tc_3OsPfq8cnkKR8LG33CxFzw_19_0"/>
      <w:bookmarkStart w:id="1368" w:name="Tc_syVBC01PAEqxC34A_e0eFg_18_0"/>
      <w:bookmarkStart w:id="1369" w:name="Tc_eXlXAJVg302dZ-hloWE10Q_17_0"/>
      <w:bookmarkStart w:id="1370" w:name="Tc_Q9hNXqEy-UqZPWxJLOYnhQ_16_0"/>
      <w:bookmarkStart w:id="1371" w:name="Tc_Ej4H05BvWkOLDziwm2nlgw_15_0"/>
      <w:bookmarkStart w:id="1372" w:name="Tc_W0OUhBhxz0yCp7ynfOlMYQ_14_0"/>
      <w:bookmarkStart w:id="1373" w:name="Tc_zI85rdt0_ESmw88pKRN1NA_13_0"/>
      <w:bookmarkStart w:id="1374" w:name="Tc_RowSwOGWbU2GWc2Nrjx4Hg_12_0"/>
      <w:bookmarkStart w:id="1375" w:name="Tc_PiCsvwn3ok-CjSuzxP3xxw_11_0"/>
      <w:bookmarkStart w:id="1376" w:name="Tc_YBs7VTsGmUaAFluyBlqtuQ_10_0"/>
      <w:bookmarkStart w:id="1377" w:name="Tc_Qfk2ELbLikO1NI_u5DDkKA_9_0"/>
      <w:bookmarkStart w:id="1378" w:name="Tc_pwYdLnBmjEqESerVnOCBcg_8_0"/>
      <w:bookmarkStart w:id="1379" w:name="Tc_Sh-6U6zuEU-pKnDVCEJwKg_7_0"/>
      <w:bookmarkStart w:id="1380" w:name="Tc_ls5Xpx-O8UefPdffXZ9lyA_6_0"/>
      <w:bookmarkStart w:id="1381" w:name="Tc_SXoBfeZp-kO0zA8FQ69ZsQ_5_0"/>
      <w:bookmarkStart w:id="1382" w:name="Tc_gLroJl1jrEerBUXm-WKzPw_4_5"/>
      <w:bookmarkStart w:id="1383" w:name="Tc_9XjmFOhbcUmCeomoR3HmCQ_4_2"/>
      <w:bookmarkStart w:id="1384" w:name="Tc_p-NhqoFMlU-TEpEPUtWwfw_4_0"/>
      <w:bookmarkStart w:id="1385" w:name="Tc_noIhsjZft0KUg8yGd_QFWw_3_0"/>
      <w:bookmarkStart w:id="1386" w:name="Tc_Z49sLB37TEaA9qNWPVkZGQ_2_5"/>
      <w:bookmarkStart w:id="1387" w:name="Tc_OTP27lbT_UyK8p-WIjkkmg_2_2"/>
      <w:bookmarkStart w:id="1388" w:name="Tc__-1YZGL3XUeKmoOuIEo0ug_1_2"/>
      <w:bookmarkStart w:id="1389" w:name="_1d3c62e3_6232_46d7_bd33_8b2ea383ab72"/>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tbl>
      <w:tblPr>
        <w:tblW w:w="10205" w:type="dxa"/>
        <w:jc w:val="left"/>
        <w:tblInd w:w="0" w:type="dxa"/>
        <w:tblLayout w:type="fixed"/>
        <w:tblCellMar>
          <w:top w:w="0" w:type="dxa"/>
          <w:left w:w="0" w:type="dxa"/>
          <w:bottom w:w="0" w:type="dxa"/>
          <w:right w:w="0" w:type="dxa"/>
        </w:tblCellMar>
      </w:tblPr>
      <w:tblGrid>
        <w:gridCol w:w="7458"/>
        <w:gridCol w:w="346"/>
        <w:gridCol w:w="196"/>
        <w:gridCol w:w="808"/>
        <w:gridCol w:w="346"/>
        <w:gridCol w:w="196"/>
        <w:gridCol w:w="855"/>
      </w:tblGrid>
      <w:tr>
        <w:trPr/>
        <w:tc>
          <w:tcPr>
            <w:tcW w:w="7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735830" cy="175260"/>
                      <wp:effectExtent l="0" t="0" r="0" b="0"/>
                      <wp:wrapNone/>
                      <wp:docPr id="234" name="Frame234"/>
                      <a:graphic xmlns:a="http://schemas.openxmlformats.org/drawingml/2006/main">
                        <a:graphicData uri="http://schemas.microsoft.com/office/word/2010/wordprocessingShape">
                          <wps:wsp>
                            <wps:cNvSpPr txBox="1"/>
                            <wps:spPr>
                              <a:xfrm>
                                <a:off x="0" y="0"/>
                                <a:ext cx="4735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4460" cy="175260"/>
                      <wp:effectExtent l="0" t="0" r="0" b="0"/>
                      <wp:wrapNone/>
                      <wp:docPr id="236" name="Frame2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13080" cy="175260"/>
                      <wp:effectExtent l="0" t="0" r="0" b="0"/>
                      <wp:wrapNone/>
                      <wp:docPr id="237" name="Frame237"/>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4460" cy="175260"/>
                      <wp:effectExtent l="0" t="0" r="0" b="0"/>
                      <wp:wrapNone/>
                      <wp:docPr id="239" name="Frame2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42925" cy="175260"/>
                      <wp:effectExtent l="0" t="0" r="0" b="0"/>
                      <wp:wrapNone/>
                      <wp:docPr id="240" name="Frame24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4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74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(98,945)</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10,674</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1,944</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provision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9,092</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receivables,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61,910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Unbilled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56,559</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Receivables from related parties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63,213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128,670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Advances to suppliers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(9,320)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(299,626)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(520,237)</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(22,662)</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(127,999)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(202,860)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with related parties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(3,376)</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165,516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383,120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Accruals and provisions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40,728</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(38,916)</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(64,337)</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7,419</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(347,905)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(257,416)</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on software and 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(6,298)</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(6,462)</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(12,760)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common stock withheld related to settlement of employee taxes for stock-based compensation awards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2030 Convertible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400,000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Capped Calls related to 2030 Convertible Senior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(29,000)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Payment for debt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(11,602)</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under supply chain financing arrangements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70,810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pPr>
            <w:r>
              <w:rPr/>
              <w:t>—</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1,240</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 to AES Grid Stability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(1,035)</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Principal payments on finance leases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359,113</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2,372</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(decrease) increase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(301,741)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91,309</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as of the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714,630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518,706</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as of the end of the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412,889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610,015</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Cash Flows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pPr>
            <w:r>
              <w:rPr/>
              <w:t>  ​</w:t>
            </w:r>
          </w:p>
        </w:tc>
      </w:tr>
      <w:tr>
        <w:trPr/>
        <w:tc>
          <w:tcPr>
            <w:tcW w:w="7458"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w:t>
            </w:r>
          </w:p>
        </w:tc>
      </w:tr>
      <w:tr>
        <w:trPr/>
        <w:tc>
          <w:tcPr>
            <w:tcW w:w="745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on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5"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10,997</w:t>
            </w:r>
          </w:p>
        </w:tc>
      </w:tr>
    </w:tbl>
    <w:p>
      <w:pPr>
        <w:pStyle w:val="TextBody"/>
        <w:bidi w:val="0"/>
        <w:spacing w:before="0" w:after="24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90" w:name="_707d2e1a_0e17_49e2_a63c_2266800ed221"/>
      <w:bookmarkEnd w:id="1390"/>
      <w:r>
        <w:rPr>
          <w:rFonts w:ascii="Times New Roman;Times;serif" w:hAnsi="Times New Roman;Times;serif"/>
          <w:b/>
          <w:sz w:val="20"/>
        </w:rPr>
        <w:t>FLUENCE ENERGY,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left"/>
        <w:rPr>
          <w:rFonts w:ascii="Times New Roman;Times;serif" w:hAnsi="Times New Roman;Times;serif"/>
          <w:b/>
          <w:sz w:val="20"/>
        </w:rPr>
      </w:pPr>
      <w:bookmarkStart w:id="1391" w:name="NOTESTOCONDENSEDCONSOLIDATEDFINANCIALSTA"/>
      <w:bookmarkEnd w:id="1391"/>
      <w:r>
        <w:rPr>
          <w:rFonts w:ascii="Times New Roman;Times;serif" w:hAnsi="Times New Roman;Times;serif"/>
          <w:b/>
          <w:i w:val="false"/>
          <w:caps w:val="false"/>
          <w:smallCaps w:val="false"/>
          <w:sz w:val="20"/>
        </w:rPr>
        <w:t>1.</w:t>
      </w:r>
      <w:r>
        <w:rPr>
          <w:rFonts w:ascii="Times New Roman;Times;serif" w:hAnsi="Times New Roman;Times;serif"/>
          <w:b/>
          <w:sz w:val="20"/>
        </w:rPr>
        <w:t>Organization and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March 31, 2026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Fluence Energy, Inc. is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March 31, 2026, Fluence Energy, LLC had subsidiaries operating in Germany, Australia, Philippines, Chile, the Netherlands, the United States, India, Singapore, United Kingdom, Canada, Taiwan, Ireland, Japan, and Switzerland. Except where the context clearly indicates otherwise, “Fluence,” “we,” “us,” “our,” or the “Company” refers to Fluence Energy, Inc. and all of its direct and indirect subsidiaries, including Fluence Energy, LLC.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begins on October 1 and ends on September 30. References to “fiscal year 2025” and “fiscal year 2026” refer to the twelve months ended September 30, 2025 and ending September 30, 2026,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 The CODM uses gross margin, earnings before interest, taxes, depreciation and amortization (“EBITDA”), and consolidated net income (loss) to assess performance for the Company, monitor budget versus actual results, and determine how to allocate resources. The Company has concluded that consolidated net income (loss) as reported in the condensed consolidated statements of operations is the measure of segment profit or loss. There are no other expense categories regularly provided to the CODM that are not already included in the financial statements included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and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Accounting and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392" w:name="Tc_0NpuPlfZmkSNJa4ZVf3q_g_3_5"/>
      <w:bookmarkStart w:id="1393" w:name="Tc_1AGeAxiP6UaUuqKg33kvqA_3_3"/>
      <w:bookmarkStart w:id="1394" w:name="Tc_zJ70lKh_pkm7KTmfBpNmlA_3_0"/>
      <w:bookmarkStart w:id="1395" w:name="Tc_Sh7jdNdi-UKkEasaS9gGkg_2_5"/>
      <w:bookmarkStart w:id="1396" w:name="Tc_uG23psXU8EGMaefjtYXNOg_2_3"/>
      <w:bookmarkStart w:id="1397" w:name="Tc_LeVs4I5PYUmvlXN2mcYZbQ_2_0"/>
      <w:bookmarkStart w:id="1398" w:name="Tc_GlNHobz4DkeR4AowEt7bKA_1_4"/>
      <w:bookmarkStart w:id="1399" w:name="Tc_cD20VCWKQk21_sIHUOegJw_1_2"/>
      <w:bookmarkEnd w:id="1392"/>
      <w:bookmarkEnd w:id="1393"/>
      <w:bookmarkEnd w:id="1394"/>
      <w:bookmarkEnd w:id="1395"/>
      <w:bookmarkEnd w:id="1396"/>
      <w:bookmarkEnd w:id="1397"/>
      <w:bookmarkEnd w:id="1398"/>
      <w:bookmarkEnd w:id="1399"/>
      <w:r>
        <w:rPr>
          <w:rFonts w:ascii="Times New Roman;Times;serif" w:hAnsi="Times New Roman;Times;serif"/>
          <w:b/>
          <w:i/>
          <w:sz w:val="20"/>
        </w:rPr>
        <w:t>Non-Controlling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an interest as of March 31, 2026.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p>
      <w:pPr>
        <w:pStyle w:val="TextBody"/>
        <w:bidi w:val="0"/>
        <w:spacing w:before="0" w:after="0"/>
        <w:ind w:left="0" w:right="0" w:hanging="0"/>
        <w:jc w:val="left"/>
        <w:rPr/>
      </w:pPr>
      <w:r>
        <w:rPr/>
        <w:t>​</w:t>
      </w:r>
    </w:p>
    <w:tbl>
      <w:tblPr>
        <w:tblW w:w="7401" w:type="dxa"/>
        <w:jc w:val="left"/>
        <w:tblInd w:w="0" w:type="dxa"/>
        <w:tblLayout w:type="fixed"/>
        <w:tblCellMar>
          <w:top w:w="0" w:type="dxa"/>
          <w:left w:w="0" w:type="dxa"/>
          <w:bottom w:w="0" w:type="dxa"/>
          <w:right w:w="0" w:type="dxa"/>
        </w:tblCellMar>
      </w:tblPr>
      <w:tblGrid>
        <w:gridCol w:w="3571"/>
        <w:gridCol w:w="346"/>
        <w:gridCol w:w="1261"/>
        <w:gridCol w:w="361"/>
        <w:gridCol w:w="1546"/>
        <w:gridCol w:w="31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67585" cy="175260"/>
                      <wp:effectExtent l="0" t="0" r="0" b="0"/>
                      <wp:wrapNone/>
                      <wp:docPr id="241" name="Frame241"/>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800735" cy="175260"/>
                      <wp:effectExtent l="0" t="0" r="0" b="0"/>
                      <wp:wrapNone/>
                      <wp:docPr id="243" name="Frame24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9235" cy="175260"/>
                      <wp:effectExtent l="0" t="0" r="0" b="0"/>
                      <wp:wrapNone/>
                      <wp:docPr id="244" name="Frame2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81710" cy="175260"/>
                      <wp:effectExtent l="0" t="0" r="0" b="0"/>
                      <wp:wrapNone/>
                      <wp:docPr id="245" name="Frame24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0660" cy="175260"/>
                      <wp:effectExtent l="0" t="0" r="0" b="0"/>
                      <wp:wrapNone/>
                      <wp:docPr id="246" name="Frame2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1"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16" w:type="dxa"/>
            <w:tcBorders/>
            <w:vAlign w:val="center"/>
          </w:tcPr>
          <w:p>
            <w:pPr>
              <w:pStyle w:val="TableContents"/>
              <w:bidi w:val="0"/>
              <w:spacing w:before="0" w:after="1"/>
              <w:ind w:left="0" w:right="0" w:hanging="0"/>
              <w:jc w:val="center"/>
              <w:rPr/>
            </w:pPr>
            <w:r>
              <w:rPr/>
              <w:t> </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Controlling Interest Ownership</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 Ownership (AES)</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as of March 31, 2026, and for the three and six months ended March 31, 2026 and 2025 are unaudited. These financial statements should be read in conjunction with the Company’s audited financial statements included in our Annual Report on Form 10-K for the year ended September 30, 2025 filed with the SEC on November 25, 2025 (the “2025 Annual Report”). In our opinion, such unaudited financial statements reflect all adjustments, including normal recurring items, that are necessary for the fair statement of the Company’s financial position as of March 31, 2026, the results of its operations for the three and six months ended March 31, 2026 and 2025, and its cash flows for the six months ended March 31, 2026 and 2025. The financial data and other information disclosed in these notes related to the three and six months ended March 31, 2026 and 2025 are also unaudited. The results for the three and six months ended March 31, 2026 and 2025 are not necessarily indicative of results for the full year ending or ended September 30, 2026 and 2025, any other interim periods, or any future year or period. The balance sheet as of September 30, 2025 included herein was derived from the audited financial statements as of that date. Certain disclosures have been condensed or omitted in the interim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complete description of our significant accounting policies, refer to “Note 2 - Summary of Significant Accounting Policies and Estimates” in the audited consolidated financial statements included in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carrying amount and estimated useful lives of long-lived assets; impairment of goodwill, intangible assets, and long-lived assets; valuation allowances for inventories; deferred tax assets; revenue recognized under the percentage of completion (“POC”) method; transaction price estimates with variable consideration; accrued bonuses; and various project-related provisions including, but not limited to, estimated losses and warranty obligations.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on-hand and highly liquid investments readily convertible to cash, with an original maturity of 90 days or less when purchased.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condensed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any bank accounts is delayed or suspended indefinitely, it could have a material adverse impact on the Company’s ability to meet its financial obligations required for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00" w:name="Tc_VGRuS0DRE0mjDCM-VjvLag_6_5"/>
      <w:bookmarkStart w:id="1401" w:name="Tc_0TEzGPFCakKp41DTzdoruA_6_2"/>
      <w:bookmarkStart w:id="1402" w:name="Tc_8b8X1wIiGkmq22bDbb96NQ_6_0"/>
      <w:bookmarkStart w:id="1403" w:name="Tc_gBZ1n3tp1E6ijSHbN20Htw_5_0"/>
      <w:bookmarkStart w:id="1404" w:name="Tc_2zRZ922-fUeJbqVFa47CXQ_4_0"/>
      <w:bookmarkStart w:id="1405" w:name="Tc_GYGL6pKBsUG4lcU6gwx7LA_3_0"/>
      <w:bookmarkStart w:id="1406" w:name="Tc_PCONT44ev0i1EZrWFppTsQ_2_5"/>
      <w:bookmarkStart w:id="1407" w:name="Tc_pdJoWE9buUmWL8guYCYp1Q_2_2"/>
      <w:bookmarkStart w:id="1408" w:name="Tc_tKZtm9aOgEa4QmKqZaBOww_2_0"/>
      <w:bookmarkStart w:id="1409" w:name="Tc_N0lPmEWS6ECxwLJ1smta4w_1_5"/>
      <w:bookmarkStart w:id="1410" w:name="Tc_FUVs8Xdzg0-GxJOI7aMvBQ_1_2"/>
      <w:bookmarkStart w:id="1411" w:name="Tc_B971Qk6doEi_N6R5hh96AA_1_0"/>
      <w:bookmarkStart w:id="1412" w:name="Tc_cEeGXgk-KUmFiydcRC3SjA_4_5"/>
      <w:bookmarkStart w:id="1413" w:name="Tc_bqFqOWR2gE-JeKBE26WPQw_4_2"/>
      <w:bookmarkStart w:id="1414" w:name="Tc_zHFsC3MnaUKylr97_T7pnQ_4_0"/>
      <w:bookmarkStart w:id="1415" w:name="Tc_GUV01k1xPEa16narYJHsUQ_3_0"/>
      <w:bookmarkStart w:id="1416" w:name="Tc_XUdRQdrcB0SQgM9pBeRIog_2_5"/>
      <w:bookmarkStart w:id="1417" w:name="Tc_qxS7xgriR0qPtW9lUNXkCA_2_2"/>
      <w:bookmarkStart w:id="1418" w:name="Tc_ODe2aHtyxUKH9ABFbgAyuA_2_0"/>
      <w:bookmarkStart w:id="1419" w:name="Tc_NJkFJLIIwEah6TyZelnNHg_1_5"/>
      <w:bookmarkStart w:id="1420" w:name="Tc_LIvc16mZ9UufUDndrV0nTw_1_2"/>
      <w:bookmarkStart w:id="1421" w:name="Tc_9AWd3YwfJ02QLbw-wDqdaQ_1_0"/>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r>
        <w:rPr>
          <w:rFonts w:ascii="Times New Roman;Times;serif" w:hAnsi="Times New Roman;Times;serif"/>
          <w:sz w:val="20"/>
        </w:rPr>
        <w:t>The following table provides a reconciliation of cash, cash equivalents, and restricted cash at the end of each respective period as shown in the Company’s condensed consolidated balance sheets.</w:t>
      </w:r>
    </w:p>
    <w:p>
      <w:pPr>
        <w:pStyle w:val="TextBody"/>
        <w:bidi w:val="0"/>
        <w:spacing w:before="0" w:after="0"/>
        <w:ind w:left="0" w:right="0" w:hanging="0"/>
        <w:jc w:val="left"/>
        <w:rPr/>
      </w:pPr>
      <w:r>
        <w:rPr/>
        <w:t>​</w:t>
      </w:r>
    </w:p>
    <w:tbl>
      <w:tblPr>
        <w:tblW w:w="7490" w:type="dxa"/>
        <w:jc w:val="left"/>
        <w:tblInd w:w="0" w:type="dxa"/>
        <w:tblLayout w:type="fixed"/>
        <w:tblCellMar>
          <w:top w:w="0" w:type="dxa"/>
          <w:left w:w="0" w:type="dxa"/>
          <w:bottom w:w="0" w:type="dxa"/>
          <w:right w:w="0" w:type="dxa"/>
        </w:tblCellMar>
      </w:tblPr>
      <w:tblGrid>
        <w:gridCol w:w="3946"/>
        <w:gridCol w:w="346"/>
        <w:gridCol w:w="268"/>
        <w:gridCol w:w="993"/>
        <w:gridCol w:w="346"/>
        <w:gridCol w:w="306"/>
        <w:gridCol w:w="1285"/>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505710" cy="175260"/>
                      <wp:effectExtent l="0" t="0" r="0" b="0"/>
                      <wp:wrapNone/>
                      <wp:docPr id="247" name="Frame24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70180" cy="175260"/>
                      <wp:effectExtent l="0" t="0" r="0" b="0"/>
                      <wp:wrapNone/>
                      <wp:docPr id="249" name="Frame24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30555" cy="175260"/>
                      <wp:effectExtent l="0" t="0" r="0" b="0"/>
                      <wp:wrapNone/>
                      <wp:docPr id="250" name="Frame25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4310" cy="175260"/>
                      <wp:effectExtent l="0" t="0" r="0" b="0"/>
                      <wp:wrapNone/>
                      <wp:docPr id="252" name="Frame252"/>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815975" cy="175260"/>
                      <wp:effectExtent l="0" t="0" r="0" b="0"/>
                      <wp:wrapNone/>
                      <wp:docPr id="253" name="Frame253"/>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387,299</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690,768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25,590</w:t>
            </w:r>
          </w:p>
        </w:tc>
        <w:tc>
          <w:tcPr>
            <w:tcW w:w="34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23,862</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412,889</w:t>
            </w:r>
          </w:p>
        </w:tc>
        <w:tc>
          <w:tcPr>
            <w:tcW w:w="34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714,630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cash at the end of each respective period consisted of the following:</w:t>
      </w:r>
    </w:p>
    <w:p>
      <w:pPr>
        <w:pStyle w:val="TextBody"/>
        <w:bidi w:val="0"/>
        <w:spacing w:before="0" w:after="0"/>
        <w:ind w:left="0" w:right="0" w:hanging="0"/>
        <w:jc w:val="left"/>
        <w:rPr/>
      </w:pPr>
      <w:r>
        <w:rPr/>
        <w:t>​</w:t>
      </w:r>
    </w:p>
    <w:tbl>
      <w:tblPr>
        <w:tblW w:w="7130" w:type="dxa"/>
        <w:jc w:val="left"/>
        <w:tblInd w:w="0" w:type="dxa"/>
        <w:tblLayout w:type="fixed"/>
        <w:tblCellMar>
          <w:top w:w="0" w:type="dxa"/>
          <w:left w:w="0" w:type="dxa"/>
          <w:bottom w:w="0" w:type="dxa"/>
          <w:right w:w="0" w:type="dxa"/>
        </w:tblCellMar>
      </w:tblPr>
      <w:tblGrid>
        <w:gridCol w:w="3586"/>
        <w:gridCol w:w="346"/>
        <w:gridCol w:w="299"/>
        <w:gridCol w:w="962"/>
        <w:gridCol w:w="346"/>
        <w:gridCol w:w="338"/>
        <w:gridCol w:w="1253"/>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77110" cy="175260"/>
                      <wp:effectExtent l="0" t="0" r="0" b="0"/>
                      <wp:wrapNone/>
                      <wp:docPr id="254" name="Frame254"/>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9865" cy="175260"/>
                      <wp:effectExtent l="0" t="0" r="0" b="0"/>
                      <wp:wrapNone/>
                      <wp:docPr id="256" name="Frame25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10870" cy="175260"/>
                      <wp:effectExtent l="0" t="0" r="0" b="0"/>
                      <wp:wrapNone/>
                      <wp:docPr id="257" name="Frame25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4630" cy="175260"/>
                      <wp:effectExtent l="0" t="0" r="0" b="0"/>
                      <wp:wrapNone/>
                      <wp:docPr id="259" name="Frame25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95655" cy="175260"/>
                      <wp:effectExtent l="0" t="0" r="0" b="0"/>
                      <wp:wrapNone/>
                      <wp:docPr id="260" name="Frame260"/>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for credit card program</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6,321</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for outstanding bank guarantees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8,568</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7,309</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for surety program</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10,556</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10,370</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deposits</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25,590</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23,862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and Cost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revenue recognition policy included herein is based on the application of Accounting Standards Codification - Revenue from Contracts with Customers (“ASC 606”). As of March 31, 2026, the Company’s revenue was generated primarily from the sale of energy storage products and solutions, providing operational services, and the sale of digital applications and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Revenue from Sale of Energy Storage Products and Solutions:</w:t>
      </w:r>
      <w:r>
        <w:rPr>
          <w:rFonts w:ascii="Times New Roman;Times;serif" w:hAnsi="Times New Roman;Times;serif"/>
          <w:sz w:val="20"/>
        </w:rPr>
        <w:t xml:space="preserve"> The Company enters into contracts with utility companies, developers, and commercial and industrial customers to design and build battery-based energy storage products and solutions. Our projects have a lead time from date of contract execution to substantial completion, typically ranging from approximately </w:t>
      </w:r>
      <w:r>
        <w:rPr>
          <w:rFonts w:ascii="Times New Roman;Times;serif" w:hAnsi="Times New Roman;Times;serif"/>
          <w:b w:val="false"/>
          <w:i w:val="false"/>
          <w:caps w:val="false"/>
          <w:smallCaps w:val="false"/>
          <w:sz w:val="20"/>
        </w:rPr>
        <w:t>twelve</w:t>
      </w:r>
      <w:r>
        <w:rPr>
          <w:rFonts w:ascii="Times New Roman;Times;serif" w:hAnsi="Times New Roman;Times;serif"/>
          <w:sz w:val="20"/>
        </w:rPr>
        <w:t xml:space="preserve"> up to </w:t>
      </w:r>
      <w:r>
        <w:rPr>
          <w:rFonts w:ascii="Times New Roman;Times;serif" w:hAnsi="Times New Roman;Times;serif"/>
          <w:b w:val="false"/>
          <w:i w:val="false"/>
          <w:caps w:val="false"/>
          <w:smallCaps w:val="false"/>
          <w:sz w:val="20"/>
        </w:rPr>
        <w:t>eighteen months</w:t>
      </w:r>
      <w:r>
        <w:rPr>
          <w:rFonts w:ascii="Times New Roman;Times;serif" w:hAnsi="Times New Roman;Times;serif"/>
          <w:sz w:val="20"/>
        </w:rPr>
        <w:t>.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when we have enforceable right to payment for work performed to date and the solution, in its completed state, does not have any alternative use to the Company. Revenue is recognized using the POC method based on actual cost incurred as a percentage of total estimated contract costs. Standard inventory materials (including batteries, enclosures, chillers, and others, which are assembled into “integrated systems”) are included in our measure of progress when they are restricted to a specific customer’s project such that we no longer have the ability to direct their use for other purposes. Contract costs include all direct material and labor costs related to contract performance. As the cost of the assembled integrated systems comprise a substantial portion of the total estimated contract costs, our pattern of revenue recognition may vary materially from period to period. Our judgment on when costs should be included in the measure of progress may have a material impact on revenue recognition.</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Revenue is recorded net of any taxes assessed on and collected from customers, which are remitted to the governmental authorities.</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Customer payments are due upon meeting certain milestones as defined in the contract, which are generally consistent with contract-specific phases of a project.</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sz w:val="20"/>
        </w:rPr>
        <w:t>Pre-contract costs with no future benefit are expensed in the period in which they are incurred. Generally, pre-contract costs are not material.</w:t>
      </w:r>
    </w:p>
    <w:p>
      <w:pPr>
        <w:pStyle w:val="TextBody"/>
        <w:bidi w:val="0"/>
        <w:spacing w:before="0" w:after="190"/>
        <w:ind w:left="0" w:right="0" w:firstLine="360"/>
        <w:jc w:val="both"/>
        <w:rPr>
          <w:rFonts w:ascii="Times New Roman;Times;serif" w:hAnsi="Times New Roman;Times;serif"/>
          <w:sz w:val="20"/>
        </w:rPr>
      </w:pPr>
      <w:r>
        <w:rPr>
          <w:rFonts w:ascii="Times New Roman;Times;serif" w:hAnsi="Times New Roman;Times;serif"/>
          <w:b/>
          <w:i/>
          <w:sz w:val="20"/>
        </w:rPr>
        <w:t>Revenue from Services:</w:t>
      </w:r>
      <w:r>
        <w:rPr>
          <w:rFonts w:ascii="Times New Roman;Times;serif" w:hAnsi="Times New Roman;Times;serif"/>
          <w:sz w:val="20"/>
        </w:rPr>
        <w:t xml:space="preserve"> 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established thresholds for a given term may be considered service-type warranties depending on the contract terms. These represent a stand-ready obligation in which the customer benefits evenly over time, of which we recognize revenue for these arrangements using a straight-line recognition method. Alternatively, augmentation arrangements that require us to perform a fixed number of augmentations over a contract term follow the POC revenue recognition method. Since these arrangements require a fixed number of augmentations we must perform, we use the pattern of cost as a proxy to identify when our obligations are satisfied and to recognize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Revenue from Digital Applications:</w:t>
      </w:r>
      <w:r>
        <w:rPr>
          <w:rFonts w:ascii="Times New Roman;Times;serif" w:hAnsi="Times New Roman;Times;serif"/>
          <w:sz w:val="20"/>
        </w:rPr>
        <w:t xml:space="preserve"> 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ERCOT (Texas), and Japan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Deferred Revenue: </w:t>
      </w:r>
      <w:r>
        <w:rPr>
          <w:rFonts w:ascii="Times New Roman;Times;serif" w:hAnsi="Times New Roman;Times;serif"/>
          <w:sz w:val="20"/>
        </w:rPr>
        <w:t>Deferred revenue represents the excess billings to date over the amount of revenue recognized to date. The timing and the amount we bill our customer is based on achieving milestones as defined in the contract with the customer.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Loss Contracts: </w:t>
      </w:r>
      <w:r>
        <w:rPr>
          <w:rFonts w:ascii="Times New Roman;Times;serif" w:hAnsi="Times New Roman;Times;serif"/>
          <w:sz w:val="20"/>
        </w:rPr>
        <w:t>A contract becomes a loss contract when its estimated total costs are expected to exceed its total revenue. The Company accrues the full loss expected in the period a loss contract is identified which is recorded in “Accruals and provisions” and “Cost of goods and services” on the Company’s condensed consolidated balance sheets and condensed consolidated statements of operations,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Cost of Goods and Services:</w:t>
      </w:r>
      <w:r>
        <w:rPr>
          <w:rFonts w:ascii="Times New Roman;Times;serif" w:hAnsi="Times New Roman;Times;serif"/>
          <w:sz w:val="20"/>
        </w:rPr>
        <w:t xml:space="preserve"> 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Inventory primarily consists of integrated systems, batteries and related equipment, enclosures, inverters, and spare parts.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Software Development Cost</w:t>
      </w:r>
      <w:r>
        <w:rPr>
          <w:rFonts w:ascii="Times New Roman;Times;serif" w:hAnsi="Times New Roman;Times;serif"/>
          <w:b/>
          <w:sz w:val="20"/>
        </w:rPr>
        <w: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Internal-use software development costs are capitalized during the application development stage in accordance with ASC 350-40, </w:t>
      </w:r>
      <w:r>
        <w:rPr>
          <w:rFonts w:ascii="Times New Roman;Times;serif" w:hAnsi="Times New Roman;Times;serif"/>
          <w:i/>
          <w:sz w:val="20"/>
        </w:rPr>
        <w:t>Internal-Use Software</w:t>
      </w:r>
      <w:r>
        <w:rPr>
          <w:rFonts w:ascii="Times New Roman;Times;serif" w:hAnsi="Times New Roman;Times;serif"/>
          <w:sz w:val="20"/>
        </w:rPr>
        <w:t>. These capitalized costs are reflected in “Intangible assets, net” on the condensed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March 31, 2026 and 2025, the Company capitalized $5.1 million and $4.0 million, respectively, of internal-use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condensed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March 31, 2026 and 2025, the Company capitalized $2.2 million and $11.7 million, respectively, of software development costs related to hosting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External-use software development costs developed to be sold or leased externally are capitalized upon the establishment of technological feasibility for a product in accordance with ASC 985-20, </w:t>
      </w:r>
      <w:r>
        <w:rPr>
          <w:rFonts w:ascii="Times New Roman;Times;serif" w:hAnsi="Times New Roman;Times;serif"/>
          <w:i/>
          <w:sz w:val="20"/>
        </w:rPr>
        <w:t>Software to be Sold or Leased Externally</w:t>
      </w:r>
      <w:r>
        <w:rPr>
          <w:rFonts w:ascii="Times New Roman;Times;serif" w:hAnsi="Times New Roman;Times;serif"/>
          <w:sz w:val="20"/>
        </w:rPr>
        <w:t>. These software development costs are reflected in “Intangible assets, net” on our condensed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March 31, 2026 and 2025, the Company capitalized $1.9 million and $2.0 million, respectively, of external-use software to be sold.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Incentives and Grants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determined that it is entitled to the Section 45X Advanced Manufacturing Production Tax Credit (the “AMPC”) provided by the Inflation Reduction Act of 2022 (“IRA”) (which went into effect in 2023), as modified by the One Big Beautiful Bill Act (“OBBBA”) (which went into effect in 2025). The Company recognizes the AMPC tax credits as a reduction to the related cost of goods and services, when there is reasonable assurance that the Company will be able to claim the credits (i.e., upon recognition of revenue and cost of goods and services related to the sold eligible equipment). During the six months ended March 31, 2026 and 2025, the Company recognized a reduction to cost of goods and services of $10.9 million and $0.0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Times;serif" w:hAnsi="Times New Roman;Times;serif"/>
          <w:i/>
          <w:sz w:val="20"/>
        </w:rPr>
        <w:t>Fair Value Measurements</w:t>
      </w:r>
      <w:r>
        <w:rPr>
          <w:rFonts w:ascii="Times New Roman;Times;serif" w:hAnsi="Times New Roman;Times;serif"/>
          <w:sz w:val="20"/>
        </w:rPr>
        <w:t>, is used to classify assets and liabilities based on the observable inputs and unobservable inputs used to value the assets and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and accounts payable, approximate fair values due to their short maturities.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values of the Company’s foreign currency forward contracts are measured on a recurring basis by comparing the contracted forward exchange rate to the current market exchange rate. The foreign currency forward contracts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12 – Convertible Senior Notes, Net”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Senior Notes,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interest rate method over the terms of the 2030 Convertible Senior Notes and are included within interest expense on the condensed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12 – Convertible Senior Notes, Net” for further details.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Standards Adopted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accounting standards adopted during the six months ended March 31,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30"/>
        <w:gridCol w:w="346"/>
        <w:gridCol w:w="3505"/>
        <w:gridCol w:w="346"/>
        <w:gridCol w:w="1186"/>
        <w:gridCol w:w="346"/>
        <w:gridCol w:w="2746"/>
      </w:tblGrid>
      <w:tr>
        <w:trPr/>
        <w:tc>
          <w:tcPr>
            <w:tcW w:w="173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05"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Standard</w:t>
            </w:r>
          </w:p>
        </w:tc>
        <w:tc>
          <w:tcPr>
            <w:tcW w:w="346" w:type="dxa"/>
            <w:tcBorders/>
            <w:vAlign w:val="center"/>
          </w:tcPr>
          <w:p>
            <w:pPr>
              <w:pStyle w:val="TableContents"/>
              <w:bidi w:val="0"/>
              <w:spacing w:before="0" w:after="0"/>
              <w:ind w:left="0" w:right="0" w:hanging="0"/>
              <w:jc w:val="left"/>
              <w:rPr/>
            </w:pPr>
            <w:r>
              <w:rPr/>
              <w:t>  ​ ​ ​</w:t>
            </w:r>
          </w:p>
        </w:tc>
        <w:tc>
          <w:tcPr>
            <w:tcW w:w="35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 of Adoption</w:t>
            </w:r>
          </w:p>
        </w:tc>
        <w:tc>
          <w:tcPr>
            <w:tcW w:w="346" w:type="dxa"/>
            <w:tcBorders/>
            <w:vAlign w:val="center"/>
          </w:tcPr>
          <w:p>
            <w:pPr>
              <w:pStyle w:val="TableContents"/>
              <w:bidi w:val="0"/>
              <w:spacing w:before="0" w:after="0"/>
              <w:ind w:left="0" w:right="0" w:hanging="0"/>
              <w:jc w:val="left"/>
              <w:rPr/>
            </w:pPr>
            <w:r>
              <w:rPr/>
              <w:t>  ​ ​ ​</w:t>
            </w:r>
          </w:p>
        </w:tc>
        <w:tc>
          <w:tcPr>
            <w:tcW w:w="27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Effect on the financial</w:t>
            </w:r>
            <w:r>
              <w:rPr>
                <w:rFonts w:ascii="Times New Roman;Times;serif" w:hAnsi="Times New Roman;Times;serif"/>
                <w:sz w:val="16"/>
              </w:rPr>
              <w:br/>
            </w:r>
            <w:r>
              <w:rPr>
                <w:rFonts w:ascii="Times New Roman;Times;serif" w:hAnsi="Times New Roman;Times;serif"/>
                <w:b/>
                <w:sz w:val="16"/>
              </w:rPr>
              <w:t>statements and other</w:t>
            </w:r>
            <w:r>
              <w:rPr>
                <w:rFonts w:ascii="Times New Roman;Times;serif" w:hAnsi="Times New Roman;Times;serif"/>
                <w:sz w:val="16"/>
              </w:rPr>
              <w:br/>
            </w:r>
            <w:r>
              <w:rPr>
                <w:rFonts w:ascii="Times New Roman;Times;serif" w:hAnsi="Times New Roman;Times;serif"/>
                <w:b/>
                <w:sz w:val="16"/>
              </w:rPr>
              <w:t>significant matters</w:t>
            </w:r>
          </w:p>
        </w:tc>
      </w:tr>
      <w:tr>
        <w:trPr/>
        <w:tc>
          <w:tcPr>
            <w:tcW w:w="173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Standards Update (“ASU”) No. 2025-12: Codification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350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the three months ended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7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 20: Clarify Guidance for the Transfer of Receivables from Contracts with Customers was early adopted by the Company and applied on the Company’s sale of receivables. Refer to “Note 19 – Sale of Receivables” for further details.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Standards Not Yet Adopted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accounting standards not yet adopted: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08"/>
        <w:gridCol w:w="346"/>
        <w:gridCol w:w="3511"/>
        <w:gridCol w:w="346"/>
        <w:gridCol w:w="1724"/>
        <w:gridCol w:w="346"/>
        <w:gridCol w:w="1724"/>
      </w:tblGrid>
      <w:tr>
        <w:trPr/>
        <w:tc>
          <w:tcPr>
            <w:tcW w:w="220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5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72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72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Standard</w:t>
            </w:r>
          </w:p>
        </w:tc>
        <w:tc>
          <w:tcPr>
            <w:tcW w:w="346" w:type="dxa"/>
            <w:tcBorders/>
            <w:vAlign w:val="center"/>
          </w:tcPr>
          <w:p>
            <w:pPr>
              <w:pStyle w:val="TableContents"/>
              <w:bidi w:val="0"/>
              <w:spacing w:before="0" w:after="0"/>
              <w:ind w:left="0" w:right="0" w:hanging="0"/>
              <w:jc w:val="left"/>
              <w:rPr/>
            </w:pPr>
            <w:r>
              <w:rPr/>
              <w:t>  ​ ​ ​</w:t>
            </w:r>
          </w:p>
        </w:tc>
        <w:tc>
          <w:tcPr>
            <w:tcW w:w="3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  ​ ​ ​</w:t>
            </w:r>
          </w:p>
        </w:tc>
        <w:tc>
          <w:tcPr>
            <w:tcW w:w="1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Required date of adoption</w:t>
            </w:r>
          </w:p>
        </w:tc>
        <w:tc>
          <w:tcPr>
            <w:tcW w:w="346" w:type="dxa"/>
            <w:tcBorders/>
            <w:vAlign w:val="center"/>
          </w:tcPr>
          <w:p>
            <w:pPr>
              <w:pStyle w:val="TableContents"/>
              <w:bidi w:val="0"/>
              <w:spacing w:before="0" w:after="0"/>
              <w:ind w:left="0" w:right="0" w:hanging="0"/>
              <w:jc w:val="left"/>
              <w:rPr/>
            </w:pPr>
            <w:r>
              <w:rPr/>
              <w:t>  ​ ​ ​</w:t>
            </w:r>
          </w:p>
        </w:tc>
        <w:tc>
          <w:tcPr>
            <w:tcW w:w="17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Effect on the financial</w:t>
            </w:r>
            <w:r>
              <w:rPr>
                <w:rFonts w:ascii="Times New Roman;Times;serif" w:hAnsi="Times New Roman;Times;serif"/>
                <w:sz w:val="16"/>
              </w:rPr>
              <w:br/>
            </w:r>
            <w:r>
              <w:rPr>
                <w:rFonts w:ascii="Times New Roman;Times;serif" w:hAnsi="Times New Roman;Times;serif"/>
                <w:b/>
                <w:sz w:val="16"/>
              </w:rPr>
              <w:t>statements and other</w:t>
            </w:r>
            <w:r>
              <w:rPr>
                <w:rFonts w:ascii="Times New Roman;Times;serif" w:hAnsi="Times New Roman;Times;serif"/>
                <w:sz w:val="16"/>
              </w:rPr>
              <w:br/>
            </w:r>
            <w:r>
              <w:rPr>
                <w:rFonts w:ascii="Times New Roman;Times;serif" w:hAnsi="Times New Roman;Times;serif"/>
                <w:b/>
                <w:sz w:val="16"/>
              </w:rPr>
              <w:t>significant matters</w:t>
            </w:r>
          </w:p>
        </w:tc>
      </w:tr>
      <w:tr>
        <w:trPr/>
        <w:tc>
          <w:tcPr>
            <w:tcW w:w="2208" w:type="dxa"/>
            <w:tcBorders>
              <w:top w:val="single" w:sz="2" w:space="0" w:color="000000"/>
            </w:tcBorders>
            <w:shd w:fill="CCEEFF" w:val="clear"/>
            <w:tcMar>
              <w:top w:w="28"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2023-09: Income Taxes (Topic 740): Improvements to Income Tax Disclosures</w:t>
            </w:r>
          </w:p>
        </w:tc>
        <w:tc>
          <w:tcPr>
            <w:tcW w:w="346" w:type="dxa"/>
            <w:tcBorders/>
            <w:shd w:fill="CCEEFF" w:val="clear"/>
            <w:vAlign w:val="center"/>
          </w:tcPr>
          <w:p>
            <w:pPr>
              <w:pStyle w:val="TableContents"/>
              <w:bidi w:val="0"/>
              <w:spacing w:before="0" w:after="100"/>
              <w:ind w:left="0" w:right="0" w:hanging="0"/>
              <w:jc w:val="left"/>
              <w:rPr/>
            </w:pPr>
            <w:r>
              <w:rPr/>
              <w:t>​</w:t>
            </w:r>
          </w:p>
        </w:tc>
        <w:tc>
          <w:tcPr>
            <w:tcW w:w="3511" w:type="dxa"/>
            <w:tcBorders>
              <w:top w:val="single" w:sz="2" w:space="0" w:color="000000"/>
            </w:tcBorders>
            <w:shd w:fill="CCEEFF" w:val="clear"/>
            <w:tcMar>
              <w:top w:w="28"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346" w:type="dxa"/>
            <w:tcBorders/>
            <w:shd w:fill="CCEEFF" w:val="clear"/>
            <w:vAlign w:val="center"/>
          </w:tcPr>
          <w:p>
            <w:pPr>
              <w:pStyle w:val="TableContents"/>
              <w:bidi w:val="0"/>
              <w:spacing w:before="0" w:after="100"/>
              <w:ind w:left="0" w:right="0" w:hanging="0"/>
              <w:jc w:val="left"/>
              <w:rPr/>
            </w:pPr>
            <w:r>
              <w:rPr/>
              <w:t>​</w:t>
            </w:r>
          </w:p>
        </w:tc>
        <w:tc>
          <w:tcPr>
            <w:tcW w:w="1724" w:type="dxa"/>
            <w:tcBorders>
              <w:top w:val="single" w:sz="2" w:space="0" w:color="000000"/>
            </w:tcBorders>
            <w:shd w:fill="CCEEFF" w:val="clear"/>
            <w:tcMar>
              <w:top w:w="28" w:type="dxa"/>
            </w:tcM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2023-09 is effective for the Company’s annual report for fiscal year ending September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72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income tax disclosures.</w:t>
            </w:r>
          </w:p>
        </w:tc>
      </w:tr>
      <w:tr>
        <w:trPr/>
        <w:tc>
          <w:tcPr>
            <w:tcW w:w="220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 Final Rule Release Nos. 33-11275; 34-99678: The Enhancement and Standardization of Climate-Related Disclosures for Investors</w:t>
            </w:r>
          </w:p>
        </w:tc>
        <w:tc>
          <w:tcPr>
            <w:tcW w:w="346" w:type="dxa"/>
            <w:tcBorders/>
            <w:vAlign w:val="center"/>
          </w:tcPr>
          <w:p>
            <w:pPr>
              <w:pStyle w:val="TableContents"/>
              <w:bidi w:val="0"/>
              <w:spacing w:before="0" w:after="100"/>
              <w:ind w:left="0" w:right="0" w:hanging="0"/>
              <w:jc w:val="left"/>
              <w:rPr/>
            </w:pPr>
            <w:r>
              <w:rPr/>
              <w:t>​</w:t>
            </w:r>
          </w:p>
        </w:tc>
        <w:tc>
          <w:tcPr>
            <w:tcW w:w="351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346" w:type="dxa"/>
            <w:tcBorders/>
            <w:vAlign w:val="center"/>
          </w:tcPr>
          <w:p>
            <w:pPr>
              <w:pStyle w:val="TableContents"/>
              <w:bidi w:val="0"/>
              <w:spacing w:before="0" w:after="100"/>
              <w:ind w:left="0" w:right="0" w:hanging="0"/>
              <w:jc w:val="left"/>
              <w:rPr/>
            </w:pPr>
            <w:r>
              <w:rPr/>
              <w:t>​</w:t>
            </w:r>
          </w:p>
        </w:tc>
        <w:tc>
          <w:tcPr>
            <w:tcW w:w="1724"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SEC Final Rule Release Nos. 33-11275; 34-99678 is effective for the Company’s annual report for fiscal year ending September 30, 2026.</w:t>
            </w:r>
          </w:p>
        </w:tc>
        <w:tc>
          <w:tcPr>
            <w:tcW w:w="346" w:type="dxa"/>
            <w:tcBorders/>
            <w:vAlign w:val="center"/>
          </w:tcPr>
          <w:p>
            <w:pPr>
              <w:pStyle w:val="TableContents"/>
              <w:bidi w:val="0"/>
              <w:spacing w:before="0" w:after="0"/>
              <w:ind w:left="0" w:right="0" w:hanging="0"/>
              <w:jc w:val="left"/>
              <w:rPr/>
            </w:pPr>
            <w:r>
              <w:rPr/>
              <w:t>​</w:t>
            </w:r>
          </w:p>
        </w:tc>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climate-related disclosures.</w:t>
            </w:r>
          </w:p>
        </w:tc>
      </w:tr>
      <w:tr>
        <w:trPr/>
        <w:tc>
          <w:tcPr>
            <w:tcW w:w="2208"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2024-03: Income Statement—Reporting Comprehensive Income—Expense Disaggregation Disclosures (Subtopic 220-40): Disaggregation of Income Statement Expenses</w:t>
            </w:r>
          </w:p>
        </w:tc>
        <w:tc>
          <w:tcPr>
            <w:tcW w:w="346" w:type="dxa"/>
            <w:tcBorders/>
            <w:shd w:fill="CCEEFF" w:val="clear"/>
            <w:vAlign w:val="center"/>
          </w:tcPr>
          <w:p>
            <w:pPr>
              <w:pStyle w:val="TableContents"/>
              <w:bidi w:val="0"/>
              <w:spacing w:before="0" w:after="100"/>
              <w:ind w:left="0" w:right="0" w:hanging="0"/>
              <w:jc w:val="left"/>
              <w:rPr/>
            </w:pPr>
            <w:r>
              <w:rPr/>
              <w:t>​</w:t>
            </w:r>
          </w:p>
        </w:tc>
        <w:tc>
          <w:tcPr>
            <w:tcW w:w="3511"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346" w:type="dxa"/>
            <w:tcBorders/>
            <w:shd w:fill="CCEEFF" w:val="clear"/>
            <w:vAlign w:val="center"/>
          </w:tcPr>
          <w:p>
            <w:pPr>
              <w:pStyle w:val="TableContents"/>
              <w:bidi w:val="0"/>
              <w:spacing w:before="0" w:after="100"/>
              <w:ind w:left="0" w:right="0" w:hanging="0"/>
              <w:jc w:val="left"/>
              <w:rPr/>
            </w:pPr>
            <w:r>
              <w:rPr/>
              <w:t>​</w:t>
            </w:r>
          </w:p>
        </w:tc>
        <w:tc>
          <w:tcPr>
            <w:tcW w:w="1724"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2024-03 is effective for the Company’s annual report for fiscal year ending September 30, 2028 and interim reporting periods beginning from January 1, 2028.</w:t>
            </w:r>
          </w:p>
        </w:tc>
        <w:tc>
          <w:tcPr>
            <w:tcW w:w="346" w:type="dxa"/>
            <w:tcBorders/>
            <w:shd w:fill="CCEEFF" w:val="clear"/>
            <w:vAlign w:val="center"/>
          </w:tcPr>
          <w:p>
            <w:pPr>
              <w:pStyle w:val="TableContents"/>
              <w:bidi w:val="0"/>
              <w:spacing w:before="0" w:after="0"/>
              <w:ind w:left="0" w:right="0" w:hanging="0"/>
              <w:jc w:val="left"/>
              <w:rPr/>
            </w:pPr>
            <w:r>
              <w:rPr/>
              <w:t>​</w:t>
            </w:r>
          </w:p>
        </w:tc>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r>
        <w:trPr/>
        <w:tc>
          <w:tcPr>
            <w:tcW w:w="2208"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2025-05: Financial Instruments—Credit Losses (Topic 326): Measurement of Credit Losses for Accounts Receivable and Contract Assets</w:t>
            </w:r>
          </w:p>
        </w:tc>
        <w:tc>
          <w:tcPr>
            <w:tcW w:w="346" w:type="dxa"/>
            <w:tcBorders/>
            <w:vAlign w:val="center"/>
          </w:tcPr>
          <w:p>
            <w:pPr>
              <w:pStyle w:val="TableContents"/>
              <w:bidi w:val="0"/>
              <w:spacing w:before="0" w:after="100"/>
              <w:ind w:left="0" w:right="0" w:hanging="0"/>
              <w:jc w:val="left"/>
              <w:rPr/>
            </w:pPr>
            <w:r>
              <w:rPr/>
              <w:t>​</w:t>
            </w:r>
          </w:p>
        </w:tc>
        <w:tc>
          <w:tcPr>
            <w:tcW w:w="3511"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ASU 2025-05 amends ASC 326-20 to provide a practical expedient (for all entities) and an accounting policy election (for all entities, other than public business entities, that elect the </w:t>
            </w:r>
          </w:p>
        </w:tc>
        <w:tc>
          <w:tcPr>
            <w:tcW w:w="346" w:type="dxa"/>
            <w:tcBorders/>
            <w:vAlign w:val="center"/>
          </w:tcPr>
          <w:p>
            <w:pPr>
              <w:pStyle w:val="TableContents"/>
              <w:bidi w:val="0"/>
              <w:spacing w:before="0" w:after="100"/>
              <w:ind w:left="0" w:right="0" w:hanging="0"/>
              <w:jc w:val="left"/>
              <w:rPr/>
            </w:pPr>
            <w:r>
              <w:rPr/>
              <w:t>​</w:t>
            </w:r>
          </w:p>
        </w:tc>
        <w:tc>
          <w:tcPr>
            <w:tcW w:w="1724"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ASU 2025-05 is effective for the Company’s annual report for fiscal year ending September 30, 2027 and interim </w:t>
            </w:r>
          </w:p>
        </w:tc>
        <w:tc>
          <w:tcPr>
            <w:tcW w:w="346" w:type="dxa"/>
            <w:tcBorders/>
            <w:vAlign w:val="center"/>
          </w:tcPr>
          <w:p>
            <w:pPr>
              <w:pStyle w:val="TableContents"/>
              <w:bidi w:val="0"/>
              <w:spacing w:before="0" w:after="0"/>
              <w:ind w:left="0" w:right="0" w:hanging="0"/>
              <w:jc w:val="left"/>
              <w:rPr/>
            </w:pPr>
            <w:r>
              <w:rPr/>
              <w:t>​</w:t>
            </w:r>
          </w:p>
        </w:tc>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69"/>
        <w:gridCol w:w="109"/>
        <w:gridCol w:w="3932"/>
        <w:gridCol w:w="109"/>
        <w:gridCol w:w="2012"/>
        <w:gridCol w:w="109"/>
        <w:gridCol w:w="1565"/>
      </w:tblGrid>
      <w:tr>
        <w:trPr/>
        <w:tc>
          <w:tcPr>
            <w:tcW w:w="236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93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practical expedient) related to the estimation of expected credit losses for current accounts receivable and current contract assets that arise from transactions accounted for under ASC 606.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1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periods within that annual reporting period.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5" w:type="dxa"/>
            <w:tcBorders/>
            <w:vAlign w:val="center"/>
          </w:tcPr>
          <w:p>
            <w:pPr>
              <w:pStyle w:val="TableContents"/>
              <w:bidi w:val="0"/>
              <w:spacing w:before="0" w:after="283"/>
              <w:ind w:left="0" w:right="0" w:hanging="0"/>
              <w:jc w:val="left"/>
              <w:rPr>
                <w:sz w:val="4"/>
                <w:szCs w:val="4"/>
              </w:rPr>
            </w:pPr>
            <w:r>
              <w:rPr>
                <w:sz w:val="4"/>
                <w:szCs w:val="4"/>
              </w:rPr>
            </w:r>
          </w:p>
        </w:tc>
      </w:tr>
      <w:tr>
        <w:trPr/>
        <w:tc>
          <w:tcPr>
            <w:tcW w:w="2369"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2025-06: Intangibles—Goodwill and Other—Internal-Use Software (Subtopic 350-40): Targeted Improvements to the Accounting for Internal-Use Software</w:t>
            </w:r>
          </w:p>
        </w:tc>
        <w:tc>
          <w:tcPr>
            <w:tcW w:w="109" w:type="dxa"/>
            <w:tcBorders/>
            <w:shd w:fill="CCEEFF" w:val="clear"/>
            <w:vAlign w:val="center"/>
          </w:tcPr>
          <w:p>
            <w:pPr>
              <w:pStyle w:val="TableContents"/>
              <w:bidi w:val="0"/>
              <w:spacing w:before="0" w:after="100"/>
              <w:ind w:left="0" w:right="0" w:hanging="0"/>
              <w:jc w:val="left"/>
              <w:rPr/>
            </w:pPr>
            <w:r>
              <w:rPr/>
              <w:t>​</w:t>
            </w:r>
          </w:p>
        </w:tc>
        <w:tc>
          <w:tcPr>
            <w:tcW w:w="3932"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2025-06 makes targeted improvements to ASC 350-40 and amends certain aspects of the accounting for and disclosure of software costs under ASC 350-40. The amendments supersede the guidance on Web site development costs in ASC 350-50 and relocate that guidance, along with the recognition requirements for development costs specific to Web sites, to ASC 350-40.</w:t>
            </w:r>
          </w:p>
        </w:tc>
        <w:tc>
          <w:tcPr>
            <w:tcW w:w="109" w:type="dxa"/>
            <w:tcBorders/>
            <w:shd w:fill="CCEEFF" w:val="clear"/>
            <w:vAlign w:val="center"/>
          </w:tcPr>
          <w:p>
            <w:pPr>
              <w:pStyle w:val="TableContents"/>
              <w:bidi w:val="0"/>
              <w:spacing w:before="0" w:after="100"/>
              <w:ind w:left="0" w:right="0" w:hanging="0"/>
              <w:jc w:val="left"/>
              <w:rPr/>
            </w:pPr>
            <w:r>
              <w:rPr/>
              <w:t>​</w:t>
            </w:r>
          </w:p>
        </w:tc>
        <w:tc>
          <w:tcPr>
            <w:tcW w:w="2012"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2025-06 is effective for the Company’s annual report for fiscal year ending September 30, 2029 and interim periods within that annual reporting period.</w:t>
            </w:r>
          </w:p>
        </w:tc>
        <w:tc>
          <w:tcPr>
            <w:tcW w:w="109" w:type="dxa"/>
            <w:tcBorders/>
            <w:shd w:fill="CCEEFF" w:val="clear"/>
            <w:vAlign w:val="center"/>
          </w:tcPr>
          <w:p>
            <w:pPr>
              <w:pStyle w:val="TableContents"/>
              <w:bidi w:val="0"/>
              <w:spacing w:before="0" w:after="0"/>
              <w:ind w:left="0" w:right="0" w:hanging="0"/>
              <w:jc w:val="left"/>
              <w:rPr/>
            </w:pPr>
            <w:r>
              <w:rPr/>
              <w:t>​</w:t>
            </w:r>
          </w:p>
        </w:tc>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r>
        <w:trPr/>
        <w:tc>
          <w:tcPr>
            <w:tcW w:w="2369"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2025-09: Derivatives and Hedging (Topic 815): Hedge Accounting Improvements</w:t>
            </w:r>
          </w:p>
        </w:tc>
        <w:tc>
          <w:tcPr>
            <w:tcW w:w="109" w:type="dxa"/>
            <w:tcBorders/>
            <w:vAlign w:val="center"/>
          </w:tcPr>
          <w:p>
            <w:pPr>
              <w:pStyle w:val="TableContents"/>
              <w:bidi w:val="0"/>
              <w:spacing w:before="0" w:after="100"/>
              <w:ind w:left="0" w:right="0" w:hanging="0"/>
              <w:jc w:val="left"/>
              <w:rPr/>
            </w:pPr>
            <w:r>
              <w:rPr/>
              <w:t>​</w:t>
            </w:r>
          </w:p>
        </w:tc>
        <w:tc>
          <w:tcPr>
            <w:tcW w:w="393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2025-09 amends certain aspects of the hedge accounting guidance in ASC 815. The amendments are intended to more closely align hedge accounting with the economics of an entity’s risk management activities.</w:t>
            </w:r>
          </w:p>
        </w:tc>
        <w:tc>
          <w:tcPr>
            <w:tcW w:w="109" w:type="dxa"/>
            <w:tcBorders/>
            <w:vAlign w:val="center"/>
          </w:tcPr>
          <w:p>
            <w:pPr>
              <w:pStyle w:val="TableContents"/>
              <w:bidi w:val="0"/>
              <w:spacing w:before="0" w:after="100"/>
              <w:ind w:left="0" w:right="0" w:hanging="0"/>
              <w:jc w:val="left"/>
              <w:rPr/>
            </w:pPr>
            <w:r>
              <w:rPr/>
              <w:t>​</w:t>
            </w:r>
          </w:p>
        </w:tc>
        <w:tc>
          <w:tcPr>
            <w:tcW w:w="201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2025-09 is effective for the Company’s annual report for fiscal year ending September 30, 2028 and interim periods within that annual reporting period.</w:t>
            </w:r>
          </w:p>
        </w:tc>
        <w:tc>
          <w:tcPr>
            <w:tcW w:w="109" w:type="dxa"/>
            <w:tcBorders/>
            <w:vAlign w:val="center"/>
          </w:tcPr>
          <w:p>
            <w:pPr>
              <w:pStyle w:val="TableContents"/>
              <w:bidi w:val="0"/>
              <w:spacing w:before="0" w:after="0"/>
              <w:ind w:left="0" w:right="0" w:hanging="0"/>
              <w:jc w:val="left"/>
              <w:rPr/>
            </w:pPr>
            <w:r>
              <w:rPr/>
              <w:t>​</w:t>
            </w:r>
          </w:p>
        </w:tc>
        <w:tc>
          <w:tcPr>
            <w:tcW w:w="1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r>
        <w:trPr/>
        <w:tc>
          <w:tcPr>
            <w:tcW w:w="2369"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2025-10: Government Grants (Topic 832): Accounting for Government Grants Received by Business Entities</w:t>
            </w:r>
          </w:p>
        </w:tc>
        <w:tc>
          <w:tcPr>
            <w:tcW w:w="109" w:type="dxa"/>
            <w:tcBorders/>
            <w:shd w:fill="CCEEFF" w:val="clear"/>
            <w:vAlign w:val="center"/>
          </w:tcPr>
          <w:p>
            <w:pPr>
              <w:pStyle w:val="TableContents"/>
              <w:bidi w:val="0"/>
              <w:spacing w:before="0" w:after="100"/>
              <w:ind w:left="0" w:right="0" w:hanging="0"/>
              <w:jc w:val="left"/>
              <w:rPr/>
            </w:pPr>
            <w:r>
              <w:rPr/>
              <w:t>​</w:t>
            </w:r>
          </w:p>
        </w:tc>
        <w:tc>
          <w:tcPr>
            <w:tcW w:w="3932"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2025-10 adds guidance to ASC 832 on the recognition, measurement, and presentation of government grants. In the absence of such guidance, many for-profit entities historically have analogized to other GAAP, including IAS 20 or ASC 958-605, when accounting for government grants. In developing the ASU’s recognition and measurement framework, the FASB largely leveraged the guidance in IAS 20.</w:t>
            </w:r>
          </w:p>
        </w:tc>
        <w:tc>
          <w:tcPr>
            <w:tcW w:w="109" w:type="dxa"/>
            <w:tcBorders/>
            <w:shd w:fill="CCEEFF" w:val="clear"/>
            <w:vAlign w:val="center"/>
          </w:tcPr>
          <w:p>
            <w:pPr>
              <w:pStyle w:val="TableContents"/>
              <w:bidi w:val="0"/>
              <w:spacing w:before="0" w:after="100"/>
              <w:ind w:left="0" w:right="0" w:hanging="0"/>
              <w:jc w:val="left"/>
              <w:rPr/>
            </w:pPr>
            <w:r>
              <w:rPr/>
              <w:t>​</w:t>
            </w:r>
          </w:p>
        </w:tc>
        <w:tc>
          <w:tcPr>
            <w:tcW w:w="2012" w:type="dxa"/>
            <w:tcBorders/>
            <w:shd w:fill="CCEEFF" w:val="clear"/>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2025-10 is effective for the Company’s annual report for fiscal year ending September 30, 2030 and interim periods within that annual reporting period.</w:t>
            </w:r>
          </w:p>
        </w:tc>
        <w:tc>
          <w:tcPr>
            <w:tcW w:w="109" w:type="dxa"/>
            <w:tcBorders/>
            <w:shd w:fill="CCEEFF" w:val="clear"/>
            <w:vAlign w:val="center"/>
          </w:tcPr>
          <w:p>
            <w:pPr>
              <w:pStyle w:val="TableContents"/>
              <w:bidi w:val="0"/>
              <w:spacing w:before="0" w:after="0"/>
              <w:ind w:left="0" w:right="0" w:hanging="0"/>
              <w:jc w:val="left"/>
              <w:rPr/>
            </w:pPr>
            <w:r>
              <w:rPr/>
              <w:t>​</w:t>
            </w:r>
          </w:p>
        </w:tc>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r>
        <w:trPr/>
        <w:tc>
          <w:tcPr>
            <w:tcW w:w="2369"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No. 2025-11: Interim Reporting (Topic 270): Narrow-Scope Improvements</w:t>
            </w:r>
          </w:p>
        </w:tc>
        <w:tc>
          <w:tcPr>
            <w:tcW w:w="109" w:type="dxa"/>
            <w:tcBorders/>
            <w:vAlign w:val="center"/>
          </w:tcPr>
          <w:p>
            <w:pPr>
              <w:pStyle w:val="TableContents"/>
              <w:bidi w:val="0"/>
              <w:spacing w:before="0" w:after="100"/>
              <w:ind w:left="0" w:right="0" w:hanging="0"/>
              <w:jc w:val="left"/>
              <w:rPr/>
            </w:pPr>
            <w:r>
              <w:rPr/>
              <w:t>​</w:t>
            </w:r>
          </w:p>
        </w:tc>
        <w:tc>
          <w:tcPr>
            <w:tcW w:w="393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 xml:space="preserve">ASU 2025-11 improves the guidance in Topic 270, Interim Reporting, by improving the navigability of the required interim disclosures and clarifying when that guidance is applicable. The amendments also provide additional guidance on what disclosures should be provided in interim reporting periods and add to Topic 270 a principle that requires entities to disclose events since the end of the last </w:t>
            </w:r>
          </w:p>
        </w:tc>
        <w:tc>
          <w:tcPr>
            <w:tcW w:w="109" w:type="dxa"/>
            <w:tcBorders/>
            <w:vAlign w:val="center"/>
          </w:tcPr>
          <w:p>
            <w:pPr>
              <w:pStyle w:val="TableContents"/>
              <w:bidi w:val="0"/>
              <w:spacing w:before="0" w:after="100"/>
              <w:ind w:left="0" w:right="0" w:hanging="0"/>
              <w:jc w:val="left"/>
              <w:rPr/>
            </w:pPr>
            <w:r>
              <w:rPr/>
              <w:t>​</w:t>
            </w:r>
          </w:p>
        </w:tc>
        <w:tc>
          <w:tcPr>
            <w:tcW w:w="2012"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ASU 2025-11 is effective for the Company’s interim reports within fiscal year ending September 30, 2029.</w:t>
            </w:r>
          </w:p>
        </w:tc>
        <w:tc>
          <w:tcPr>
            <w:tcW w:w="109" w:type="dxa"/>
            <w:tcBorders/>
            <w:vAlign w:val="center"/>
          </w:tcPr>
          <w:p>
            <w:pPr>
              <w:pStyle w:val="TableContents"/>
              <w:bidi w:val="0"/>
              <w:spacing w:before="0" w:after="0"/>
              <w:ind w:left="0" w:right="0" w:hanging="0"/>
              <w:jc w:val="left"/>
              <w:rPr/>
            </w:pPr>
            <w:r>
              <w:rPr/>
              <w:t>​</w:t>
            </w:r>
          </w:p>
        </w:tc>
        <w:tc>
          <w:tcPr>
            <w:tcW w:w="1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evaluating the impact this guidance will have on its disclosures.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66"/>
        <w:gridCol w:w="109"/>
        <w:gridCol w:w="3203"/>
        <w:gridCol w:w="109"/>
        <w:gridCol w:w="3026"/>
        <w:gridCol w:w="109"/>
        <w:gridCol w:w="2183"/>
      </w:tblGrid>
      <w:tr>
        <w:trPr/>
        <w:tc>
          <w:tcPr>
            <w:tcW w:w="146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03"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annual reporting period that have a material impact on the entity.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02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183" w:type="dxa"/>
            <w:tcBorders/>
            <w:vAlign w:val="center"/>
          </w:tcPr>
          <w:p>
            <w:pPr>
              <w:pStyle w:val="TableContents"/>
              <w:bidi w:val="0"/>
              <w:spacing w:before="0" w:after="283"/>
              <w:ind w:left="0" w:right="0" w:hanging="0"/>
              <w:jc w:val="left"/>
              <w:rPr>
                <w:sz w:val="4"/>
                <w:szCs w:val="4"/>
              </w:rPr>
            </w:pPr>
            <w:r>
              <w:rPr>
                <w:sz w:val="4"/>
                <w:szCs w:val="4"/>
              </w:rPr>
            </w:r>
          </w:p>
        </w:tc>
      </w:tr>
      <w:tr>
        <w:trPr/>
        <w:tc>
          <w:tcPr>
            <w:tcW w:w="1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ASU No. 2025-12: Codification Improvements</w:t>
            </w:r>
          </w:p>
        </w:tc>
        <w:tc>
          <w:tcPr>
            <w:tcW w:w="109" w:type="dxa"/>
            <w:tcBorders/>
            <w:shd w:fill="CCEEFF" w:val="clear"/>
            <w:vAlign w:val="center"/>
          </w:tcPr>
          <w:p>
            <w:pPr>
              <w:pStyle w:val="TableContents"/>
              <w:bidi w:val="0"/>
              <w:spacing w:before="0" w:after="0"/>
              <w:ind w:left="0" w:right="0" w:hanging="0"/>
              <w:jc w:val="left"/>
              <w:rPr/>
            </w:pPr>
            <w:r>
              <w:rPr/>
              <w:t>​</w:t>
            </w:r>
          </w:p>
        </w:tc>
        <w:tc>
          <w:tcPr>
            <w:tcW w:w="32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109" w:type="dxa"/>
            <w:tcBorders/>
            <w:shd w:fill="CCEEFF" w:val="clear"/>
            <w:vAlign w:val="center"/>
          </w:tcPr>
          <w:p>
            <w:pPr>
              <w:pStyle w:val="TableContents"/>
              <w:bidi w:val="0"/>
              <w:spacing w:before="0" w:after="0"/>
              <w:ind w:left="0" w:right="0" w:hanging="0"/>
              <w:jc w:val="left"/>
              <w:rPr/>
            </w:pPr>
            <w:r>
              <w:rPr/>
              <w:t>​</w:t>
            </w:r>
          </w:p>
        </w:tc>
        <w:tc>
          <w:tcPr>
            <w:tcW w:w="3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ASU 2025-12 is effective for the Company’s annual report for fiscal year ending September 30, 2028 and interim periods within that annual reporting period. Early adoption is permitted in both interim and annual reporting periods, and the Company may elect to early adopt the amendments on an issue-by-issue basis.</w:t>
            </w:r>
          </w:p>
        </w:tc>
        <w:tc>
          <w:tcPr>
            <w:tcW w:w="109" w:type="dxa"/>
            <w:tcBorders/>
            <w:shd w:fill="CCEEFF" w:val="clear"/>
            <w:vAlign w:val="center"/>
          </w:tcPr>
          <w:p>
            <w:pPr>
              <w:pStyle w:val="TableContents"/>
              <w:bidi w:val="0"/>
              <w:spacing w:before="0" w:after="0"/>
              <w:ind w:left="0" w:right="0" w:hanging="0"/>
              <w:jc w:val="left"/>
              <w:rPr/>
            </w:pPr>
            <w:r>
              <w:rPr/>
              <w:t>​</w:t>
            </w:r>
          </w:p>
        </w:tc>
        <w:tc>
          <w:tcPr>
            <w:tcW w:w="2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 20 was early adopted by the Company and applied for the Company’s sale of receivables. The Company is evaluating the impact of other Issues in this guidance will have on its disclosures.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the Company has two classes of common stock outstanding, Class A and Class B-1. Loss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earnings as if all such loss had been distributed during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loss per share of Class A common stock is computed by dividing net loss attributable to Class A common stockholders by the weighted average number of shares of Class A common stock outstanding during the period. Diluted loss per share of Class A common stock is computed by adjusting the net loss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periods in which we have a loss, diluted loss per share is equal to basic loss per share because the effect of potentially dilutive securities would be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22" w:name="Tc_O2oZsEQPVEyRkKDrOw6sDQ_8_15"/>
      <w:bookmarkStart w:id="1423" w:name="Tc_aJavqYJVWUSlkMi4vxqfcA_8_10"/>
      <w:bookmarkStart w:id="1424" w:name="Tc_tf4nNNTnRE-COush0Fe7Ng_8_7"/>
      <w:bookmarkStart w:id="1425" w:name="Tc_k-tyo9RcrEG-AfIkMk8N5g_8_2"/>
      <w:bookmarkStart w:id="1426" w:name="Tc_XGQjK0hE5UKpCzyOUFqCpA_8_0"/>
      <w:bookmarkStart w:id="1427" w:name="Tc_eXFG8zgh5UiPGeNgU4iCsg_7_0"/>
      <w:bookmarkStart w:id="1428" w:name="Tc_1DdZd18fLkSc_PqgSigNzg_6_15"/>
      <w:bookmarkStart w:id="1429" w:name="Tc_GeTHknoiO0uGE1OMbbqFyw_6_10"/>
      <w:bookmarkStart w:id="1430" w:name="Tc_Bk2xrawy30GcyEqlNNE_bw_6_7"/>
      <w:bookmarkStart w:id="1431" w:name="Tc_GDJRcIhRz0WV1V2ed-VsHw_6_2"/>
      <w:bookmarkStart w:id="1432" w:name="Tc_uVlmLZATj0WtG2bsZTscVQ_6_0"/>
      <w:bookmarkStart w:id="1433" w:name="Tc_uKpC7UimZ0WqYqykbJ6cBw_5_0"/>
      <w:bookmarkStart w:id="1434" w:name="Tc_inht32OMUEqQWvRKtmqrKw_4_15"/>
      <w:bookmarkStart w:id="1435" w:name="Tc_1H53UlVdhEWDPUknDGJb8g_4_13"/>
      <w:bookmarkStart w:id="1436" w:name="Tc_62tu8f703ker-ZIHBLtEig_4_10"/>
      <w:bookmarkStart w:id="1437" w:name="Tc_t_9NAtsJ8Ea4YLDFIbRdIQ_4_7"/>
      <w:bookmarkStart w:id="1438" w:name="Tc_VGR6LZykIUedZ8JGNgNs5A_4_5"/>
      <w:bookmarkStart w:id="1439" w:name="Tc_Fc-Nq3Y7ZEOCFfvKy9VPNA_4_2"/>
      <w:bookmarkStart w:id="1440" w:name="Tc_DXGEeNBjKkK6t6ls05vR-A_4_0"/>
      <w:bookmarkStart w:id="1441" w:name="Tc_TX0V0YO4_EWPvCLX9F63eg_3_15"/>
      <w:bookmarkStart w:id="1442" w:name="Tc_3EV1Tr3PjE-t4HxYtCgaVA_3_7"/>
      <w:bookmarkStart w:id="1443" w:name="Tc_ZqkPjcFl_UyhJXT8oVGwWw_2_10"/>
      <w:bookmarkStart w:id="1444" w:name="Tc_CojSWBZL3UeeFu7cweDb-g_2_2"/>
      <w:bookmarkStart w:id="1445" w:name="Tc_5djDNalBfki5yo6tN4Wmgg_1_2"/>
      <w:bookmarkStart w:id="1446" w:name="_8da3fa00_1712_407c_b166_26c7d973f82c"/>
      <w:bookmarkStart w:id="1447" w:name="Tc_8cyyZWa4MkOAEumOb_aKxg_8_15"/>
      <w:bookmarkStart w:id="1448" w:name="Tc_2e-iyVU4Lk61vhwOlsWBNQ_8_10"/>
      <w:bookmarkStart w:id="1449" w:name="Tc_-gSgTc5yJkaAx4_0usvOLQ_8_7"/>
      <w:bookmarkStart w:id="1450" w:name="Tc_q9_XNs_ev0yVLf7s8MdZFA_8_2"/>
      <w:bookmarkStart w:id="1451" w:name="Tc_5zWzwrTUGUGNGzGhDNZ1YA_8_0"/>
      <w:bookmarkStart w:id="1452" w:name="Tc_HqQaQqkDOkap-1nFYtqPtw_7_0"/>
      <w:bookmarkStart w:id="1453" w:name="Tc_T1vfCi-0oUeqhZfj_qpKRA_6_15"/>
      <w:bookmarkStart w:id="1454" w:name="Tc_Ig9Ycv-a_02Hv2FUk87DYQ_6_10"/>
      <w:bookmarkStart w:id="1455" w:name="Tc_wg7biHSmVkujqlUOP7ophw_6_7"/>
      <w:bookmarkStart w:id="1456" w:name="Tc_Ne_RKdiGP0ihIGWOrPbWOQ_6_2"/>
      <w:bookmarkStart w:id="1457" w:name="Tc_aLkuixHii0muZrr0UH4tlw_6_0"/>
      <w:bookmarkStart w:id="1458" w:name="Tc_9bxFBZ0S30iT0HCkBS99ag_5_0"/>
      <w:bookmarkStart w:id="1459" w:name="Tc_9Qn-1O2q0k2HeT93I_3Czg_4_15"/>
      <w:bookmarkStart w:id="1460" w:name="Tc_1SkpxHV6MESdiKcEaSzFFw_4_13"/>
      <w:bookmarkStart w:id="1461" w:name="Tc_EUwKy2MnZkqhwvGPh7UBiw_4_10"/>
      <w:bookmarkStart w:id="1462" w:name="Tc_KNo_--Rl6EWCeGAbe4R9RQ_4_7"/>
      <w:bookmarkStart w:id="1463" w:name="Tc_UgbmkgUIJkSoTuifHFH7EQ_4_5"/>
      <w:bookmarkStart w:id="1464" w:name="Tc_pheVsgbxXUa87RyaOad3rQ_4_2"/>
      <w:bookmarkStart w:id="1465" w:name="Tc_oFgRLYuzs0WbidqZATPgXQ_4_0"/>
      <w:bookmarkStart w:id="1466" w:name="Tc_c-3Rp-rMEku-vSFlP-Gyqw_3_15"/>
      <w:bookmarkStart w:id="1467" w:name="Tc_ADF1lCcOZkGMId8rYVRgRw_3_7"/>
      <w:bookmarkStart w:id="1468" w:name="Tc_ThHuJZ-PFUiBKrRxuLVE7A_2_10"/>
      <w:bookmarkStart w:id="1469" w:name="Tc_iOTwzV9Tx0mcckPtcchHxg_2_2"/>
      <w:bookmarkStart w:id="1470" w:name="Tc_42m2IkQC6UiAfjG03NVTAQ_1_2"/>
      <w:bookmarkStart w:id="1471" w:name="_4899bec9_04b4_4899_9595_4de35b336b0b"/>
      <w:bookmarkStart w:id="1472" w:name="Tc_MTH0WehmvUa6MsV2ksi4mQ_9_6"/>
      <w:bookmarkStart w:id="1473" w:name="Tc_bBR0OyGnCUSS6E8sIGKvcw_9_2"/>
      <w:bookmarkStart w:id="1474" w:name="Tc_yydN3g43jUakaR5QaVSRGQ_9_0"/>
      <w:bookmarkStart w:id="1475" w:name="Tc_XIq7ZhGDgUu322af3O7eBw_8_0"/>
      <w:bookmarkStart w:id="1476" w:name="Tc_g55LLwtYdkmy3KbJYSlXWg_7_0"/>
      <w:bookmarkStart w:id="1477" w:name="Tc_L6675HEMaEmD6qhVzBd2Tg_6_0"/>
      <w:bookmarkStart w:id="1478" w:name="Tc_GXY7OTHwRkK6deqN-g2_YA_5_0"/>
      <w:bookmarkStart w:id="1479" w:name="Tc_40JVq4iwY0qh7X1NXF2Sjw_4_0"/>
      <w:bookmarkStart w:id="1480" w:name="Tc_FySVQP4RYkas2Do8ybIGfg_3_0"/>
      <w:bookmarkStart w:id="1481" w:name="Tc_EU0qkoixdEWTyjwMIY207g_2_8"/>
      <w:bookmarkStart w:id="1482" w:name="Tc_z79aK2pWm02WE6VNYCTGZg_2_6"/>
      <w:bookmarkStart w:id="1483" w:name="Tc_014RTyMKQEy_hooMrXxEYg_2_4"/>
      <w:bookmarkStart w:id="1484" w:name="Tc_5btvA2dCIkejr2Sc4WS6Ig_2_2"/>
      <w:bookmarkStart w:id="1485" w:name="Tc_6BZ62e5YCkm9sZ_fErqBdA_1_6"/>
      <w:bookmarkStart w:id="1486" w:name="Tc_TonNVpaQqECZz0YmSZXxXg_1_2"/>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r>
        <w:rPr>
          <w:rFonts w:ascii="Times New Roman;Times;serif" w:hAnsi="Times New Roman;Times;serif"/>
          <w:sz w:val="20"/>
        </w:rPr>
        <w:t>The following table presents the potentially dilutive securities that were excluded from the computation of diluted loss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32"/>
        <w:gridCol w:w="346"/>
        <w:gridCol w:w="1036"/>
        <w:gridCol w:w="346"/>
        <w:gridCol w:w="1036"/>
        <w:gridCol w:w="346"/>
        <w:gridCol w:w="1036"/>
        <w:gridCol w:w="346"/>
        <w:gridCol w:w="1081"/>
      </w:tblGrid>
      <w:tr>
        <w:trPr/>
        <w:tc>
          <w:tcPr>
            <w:tcW w:w="4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941320" cy="175260"/>
                      <wp:effectExtent l="0" t="0" r="0" b="0"/>
                      <wp:wrapNone/>
                      <wp:docPr id="261" name="Frame261"/>
                      <a:graphic xmlns:a="http://schemas.openxmlformats.org/drawingml/2006/main">
                        <a:graphicData uri="http://schemas.microsoft.com/office/word/2010/wordprocessingShape">
                          <wps:wsp>
                            <wps:cNvSpPr txBox="1"/>
                            <wps:spPr>
                              <a:xfrm>
                                <a:off x="0" y="0"/>
                                <a:ext cx="294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57860" cy="175260"/>
                      <wp:effectExtent l="0" t="0" r="0" b="0"/>
                      <wp:wrapNone/>
                      <wp:docPr id="263" name="Frame2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57860" cy="175260"/>
                      <wp:effectExtent l="0" t="0" r="0" b="0"/>
                      <wp:wrapNone/>
                      <wp:docPr id="265" name="Frame2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57860" cy="175260"/>
                      <wp:effectExtent l="0" t="0" r="0" b="0"/>
                      <wp:wrapNone/>
                      <wp:docPr id="267" name="Frame2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86435" cy="175260"/>
                      <wp:effectExtent l="0" t="0" r="0" b="0"/>
                      <wp:wrapNone/>
                      <wp:docPr id="269" name="Frame26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46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46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3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B-1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51,499,195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51,499,195</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51,499,195</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51,499,195</w:t>
            </w:r>
          </w:p>
        </w:tc>
      </w:tr>
      <w:tr>
        <w:trPr/>
        <w:tc>
          <w:tcPr>
            <w:tcW w:w="463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underlying the conversion option in the 2030 Convertible Senior Notes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18,738,880</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18,738,880</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18,738,880</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18,738,880</w:t>
            </w:r>
          </w:p>
        </w:tc>
      </w:tr>
      <w:tr>
        <w:trPr/>
        <w:tc>
          <w:tcPr>
            <w:tcW w:w="463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pre-IPO options issued pursuant to the 2020 Unit Option Plan</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1,397,309</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2,594,137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1,397,309</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2,594,137</w:t>
            </w:r>
          </w:p>
        </w:tc>
      </w:tr>
      <w:tr>
        <w:trPr/>
        <w:tc>
          <w:tcPr>
            <w:tcW w:w="463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restricted stock units (“RSUs”)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1,770,029</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2,772,801</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1,770,029</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2,772,801</w:t>
            </w:r>
          </w:p>
        </w:tc>
      </w:tr>
      <w:tr>
        <w:trPr/>
        <w:tc>
          <w:tcPr>
            <w:tcW w:w="463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performance share units (“PSUs”)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979,132</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982,820</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979,132</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982,820</w:t>
            </w:r>
          </w:p>
        </w:tc>
      </w:tr>
      <w:tr>
        <w:trPr/>
        <w:tc>
          <w:tcPr>
            <w:tcW w:w="463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non-qualified stock options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657,313</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474,992</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657,313</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474,992</w:t>
            </w:r>
          </w:p>
        </w:tc>
      </w:tr>
      <w:tr>
        <w:trPr/>
        <w:tc>
          <w:tcPr>
            <w:tcW w:w="463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restricted stock (“Nispera equity”)</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177,067</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177,067</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and diluted loss per share of Class A common stock for the three and six months ended March 31, 2026 and 2025, respectively, have been computed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8"/>
        <w:gridCol w:w="346"/>
        <w:gridCol w:w="211"/>
        <w:gridCol w:w="764"/>
        <w:gridCol w:w="346"/>
        <w:gridCol w:w="1141"/>
        <w:gridCol w:w="346"/>
        <w:gridCol w:w="211"/>
        <w:gridCol w:w="554"/>
        <w:gridCol w:w="346"/>
        <w:gridCol w:w="211"/>
        <w:gridCol w:w="764"/>
        <w:gridCol w:w="346"/>
        <w:gridCol w:w="1141"/>
        <w:gridCol w:w="346"/>
        <w:gridCol w:w="211"/>
        <w:gridCol w:w="603"/>
      </w:tblGrid>
      <w:tr>
        <w:trPr/>
        <w:tc>
          <w:tcPr>
            <w:tcW w:w="2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471930" cy="175260"/>
                      <wp:effectExtent l="0" t="0" r="0" b="0"/>
                      <wp:wrapNone/>
                      <wp:docPr id="270" name="Frame270"/>
                      <a:graphic xmlns:a="http://schemas.openxmlformats.org/drawingml/2006/main">
                        <a:graphicData uri="http://schemas.microsoft.com/office/word/2010/wordprocessingShape">
                          <wps:wsp>
                            <wps:cNvSpPr txBox="1"/>
                            <wps:spPr>
                              <a:xfrm>
                                <a:off x="0" y="0"/>
                                <a:ext cx="147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85140" cy="175260"/>
                      <wp:effectExtent l="0" t="0" r="0" b="0"/>
                      <wp:wrapNone/>
                      <wp:docPr id="273" name="Frame273"/>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724535" cy="175260"/>
                      <wp:effectExtent l="0" t="0" r="0" b="0"/>
                      <wp:wrapNone/>
                      <wp:docPr id="275" name="Frame27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51790" cy="175260"/>
                      <wp:effectExtent l="0" t="0" r="0" b="0"/>
                      <wp:wrapNone/>
                      <wp:docPr id="278" name="Frame27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85140" cy="175260"/>
                      <wp:effectExtent l="0" t="0" r="0" b="0"/>
                      <wp:wrapNone/>
                      <wp:docPr id="281" name="Frame281"/>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24535" cy="175260"/>
                      <wp:effectExtent l="0" t="0" r="0" b="0"/>
                      <wp:wrapNone/>
                      <wp:docPr id="283" name="Frame2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82905" cy="175260"/>
                      <wp:effectExtent l="0" t="0" r="0" b="0"/>
                      <wp:wrapNone/>
                      <wp:docPr id="286" name="Frame286"/>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541"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3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362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1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w:t>
            </w:r>
          </w:p>
        </w:tc>
      </w:tr>
      <w:tr>
        <w:trPr/>
        <w:tc>
          <w:tcPr>
            <w:tcW w:w="23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 except share and per share amounts</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right"/>
              <w:rPr/>
            </w:pPr>
            <w:r>
              <w:rPr/>
              <w:t>  ​</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Fluence Energy, Inc.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132,542,675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129,985,932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r>
      <w:tr>
        <w:trPr/>
        <w:tc>
          <w:tcPr>
            <w:tcW w:w="2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5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pPr>
            <w:r>
              <w:rPr/>
              <w:t>  ​</w:t>
            </w:r>
          </w:p>
        </w:tc>
      </w:tr>
      <w:tr>
        <w:trPr/>
        <w:tc>
          <w:tcPr>
            <w:tcW w:w="2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Fluence Energy, Inc.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(20,927)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132,542,675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(31,046)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129,985,932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91"/>
        <w:gridCol w:w="346"/>
        <w:gridCol w:w="226"/>
        <w:gridCol w:w="764"/>
        <w:gridCol w:w="346"/>
        <w:gridCol w:w="1141"/>
        <w:gridCol w:w="346"/>
        <w:gridCol w:w="211"/>
        <w:gridCol w:w="554"/>
        <w:gridCol w:w="346"/>
        <w:gridCol w:w="226"/>
        <w:gridCol w:w="764"/>
        <w:gridCol w:w="346"/>
        <w:gridCol w:w="1141"/>
        <w:gridCol w:w="346"/>
        <w:gridCol w:w="211"/>
        <w:gridCol w:w="600"/>
      </w:tblGrid>
      <w:tr>
        <w:trPr/>
        <w:tc>
          <w:tcPr>
            <w:tcW w:w="2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54785" cy="175260"/>
                      <wp:effectExtent l="0" t="0" r="0" b="0"/>
                      <wp:wrapNone/>
                      <wp:docPr id="287" name="Frame287"/>
                      <a:graphic xmlns:a="http://schemas.openxmlformats.org/drawingml/2006/main">
                        <a:graphicData uri="http://schemas.microsoft.com/office/word/2010/wordprocessingShape">
                          <wps:wsp>
                            <wps:cNvSpPr txBox="1"/>
                            <wps:spPr>
                              <a:xfrm>
                                <a:off x="0" y="0"/>
                                <a:ext cx="145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3510" cy="175260"/>
                      <wp:effectExtent l="0" t="0" r="0" b="0"/>
                      <wp:wrapNone/>
                      <wp:docPr id="289" name="Frame2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85140" cy="175260"/>
                      <wp:effectExtent l="0" t="0" r="0" b="0"/>
                      <wp:wrapNone/>
                      <wp:docPr id="290" name="Frame290"/>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4535" cy="175260"/>
                      <wp:effectExtent l="0" t="0" r="0" b="0"/>
                      <wp:wrapNone/>
                      <wp:docPr id="292" name="Frame29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51790" cy="175260"/>
                      <wp:effectExtent l="0" t="0" r="0" b="0"/>
                      <wp:wrapNone/>
                      <wp:docPr id="295" name="Frame29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3510" cy="175260"/>
                      <wp:effectExtent l="0" t="0" r="0" b="0"/>
                      <wp:wrapNone/>
                      <wp:docPr id="297" name="Frame2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85140" cy="175260"/>
                      <wp:effectExtent l="0" t="0" r="0" b="0"/>
                      <wp:wrapNone/>
                      <wp:docPr id="298" name="Frame29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24535" cy="175260"/>
                      <wp:effectExtent l="0" t="0" r="0" b="0"/>
                      <wp:wrapNone/>
                      <wp:docPr id="300" name="Frame3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81000" cy="175260"/>
                      <wp:effectExtent l="0" t="0" r="0" b="0"/>
                      <wp:wrapNone/>
                      <wp:docPr id="303" name="Frame303"/>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568"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2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8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363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  ​</w:t>
            </w:r>
          </w:p>
        </w:tc>
        <w:tc>
          <w:tcPr>
            <w:tcW w:w="7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w:t>
            </w:r>
          </w:p>
        </w:tc>
      </w:tr>
      <w:tr>
        <w:trPr/>
        <w:tc>
          <w:tcPr>
            <w:tcW w:w="22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 except share and per share amounts</w:t>
            </w:r>
          </w:p>
        </w:tc>
        <w:tc>
          <w:tcPr>
            <w:tcW w:w="346" w:type="dxa"/>
            <w:tcBorders/>
            <w:vAlign w:val="center"/>
          </w:tcPr>
          <w:p>
            <w:pPr>
              <w:pStyle w:val="TableContents"/>
              <w:bidi w:val="0"/>
              <w:spacing w:before="0" w:after="1"/>
              <w:ind w:left="0" w:right="0" w:hanging="0"/>
              <w:jc w:val="center"/>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2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pPr>
            <w:r>
              <w:rPr/>
              <w:t>  ​</w:t>
            </w:r>
          </w:p>
        </w:tc>
      </w:tr>
      <w:tr>
        <w:trPr/>
        <w:tc>
          <w:tcPr>
            <w:tcW w:w="2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Fluence Energy, Inc.</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132,026,842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(72,512)</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129,731,535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r>
      <w:tr>
        <w:trPr/>
        <w:tc>
          <w:tcPr>
            <w:tcW w:w="2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5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pPr>
            <w:r>
              <w:rPr/>
              <w:t>  ​</w:t>
            </w:r>
          </w:p>
        </w:tc>
      </w:tr>
      <w:tr>
        <w:trPr/>
        <w:tc>
          <w:tcPr>
            <w:tcW w:w="2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Fluence Energy, Inc.</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(65,997)</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132,026,842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(72,512)</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129,731,535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87" w:name="Tc_1VubsfImtUKbWaiywTW7Kg_6_11"/>
      <w:bookmarkStart w:id="1488" w:name="Tc_f9-hWT_IOkWEhncZlrBi6w_6_8"/>
      <w:bookmarkStart w:id="1489" w:name="Tc_CsUsj99dI06Y-Qt6FIwTbw_6_5"/>
      <w:bookmarkStart w:id="1490" w:name="Tc_fjqPDiJsSUO5pyuh6DzDPw_6_2"/>
      <w:bookmarkStart w:id="1491" w:name="Tc_NLuUFIwQJ0-zItSqxb5bVA_6_0"/>
      <w:bookmarkStart w:id="1492" w:name="Tc_zpiEi3r-GEyUVHZxSLJDog_5_0"/>
      <w:bookmarkStart w:id="1493" w:name="Tc_qX4lx2eWhEa7y3KtO6cMEQ_4_0"/>
      <w:bookmarkStart w:id="1494" w:name="Tc_irmv8LF_8Eaz0KEU3xCQ6A_3_11"/>
      <w:bookmarkStart w:id="1495" w:name="Tc_VTADE6yxHkCSUFa8Qjrf8A_3_8"/>
      <w:bookmarkStart w:id="1496" w:name="Tc_fsCwP8-Ys0KdG-BUWqAfBg_3_5"/>
      <w:bookmarkStart w:id="1497" w:name="Tc_WT8jAsgrvUmth6Je8e7vGw_3_2"/>
      <w:bookmarkStart w:id="1498" w:name="Tc_poNQdkhj_kKznQeMMN2qMw_3_0"/>
      <w:bookmarkStart w:id="1499" w:name="Tc_JOdYcBc1L0WH6dqsg7gCwA_2_11"/>
      <w:bookmarkStart w:id="1500" w:name="Tc_9iCZpxLQ0U-OGbGQWNOqTQ_2_8"/>
      <w:bookmarkStart w:id="1501" w:name="Tc_E09i0jMtqUWfvyZ0pq1ieQ_2_5"/>
      <w:bookmarkStart w:id="1502" w:name="Tc_NNHxSNSFRkSsxSGpeGbKOg_2_2"/>
      <w:bookmarkStart w:id="1503" w:name="Tc_1TWuIi211E2n5lW2pzA3Xg_2_0"/>
      <w:bookmarkStart w:id="1504" w:name="Tc_dxlSGN01CEqlLIc3gWPLNw_1_8"/>
      <w:bookmarkStart w:id="1505" w:name="Tc_vNaCjrPeF0q-qXFiBhzA2A_1_2"/>
      <w:bookmarkStart w:id="1506" w:name="Tc_pali_O0c5k6Pl9eckp6kHA_6_11"/>
      <w:bookmarkStart w:id="1507" w:name="Tc_0emnI0Lft0O596HOn6uBrw_6_8"/>
      <w:bookmarkStart w:id="1508" w:name="Tc_0tXyLPGFgUe8yL1eCLEzVw_6_5"/>
      <w:bookmarkStart w:id="1509" w:name="Tc_Xh-xPhBCokCAkNS5smeEnw_6_2"/>
      <w:bookmarkStart w:id="1510" w:name="Tc_8Nqw7ZSWYE60cXgn6xvfyg_6_0"/>
      <w:bookmarkStart w:id="1511" w:name="Tc_97xZSNMEI0i1jbd1xY-v5A_5_0"/>
      <w:bookmarkStart w:id="1512" w:name="Tc_li_BtqT6Ak6QP8g2Y-jxjA_4_0"/>
      <w:bookmarkStart w:id="1513" w:name="Tc_aq-kKyDwUEa3_u1SuspFVA_3_11"/>
      <w:bookmarkStart w:id="1514" w:name="Tc_TT3QSlv88UedptLOzLTQpw_3_8"/>
      <w:bookmarkStart w:id="1515" w:name="Tc_-8yOmM_WC0GhhMs6BfYbBA_3_5"/>
      <w:bookmarkStart w:id="1516" w:name="Tc_7UlTm8T_FUiOHFldLPwPeg_3_2"/>
      <w:bookmarkStart w:id="1517" w:name="Tc_fAVa4gfn40C2ZmZmQk10Pw_3_0"/>
      <w:bookmarkStart w:id="1518" w:name="Tc_fQ_svv9DF0qaw6GhTla4Pg_2_11"/>
      <w:bookmarkStart w:id="1519" w:name="Tc_ao56hw_M40mVUT35Ps1zdg_2_8"/>
      <w:bookmarkStart w:id="1520" w:name="Tc_fWXUOi5BFka8xO_FGwRWtQ_2_5"/>
      <w:bookmarkStart w:id="1521" w:name="Tc_7uNDF0BgTk21XDzmiWhqYw_2_2"/>
      <w:bookmarkStart w:id="1522" w:name="Tc__g-ugh7oGku_RcuZLvbZTA_2_0"/>
      <w:bookmarkStart w:id="1523" w:name="Tc_WHy53jdpAUGdzuCkoNL2xA_1_8"/>
      <w:bookmarkStart w:id="1524" w:name="Tc_JlinFSCyXk-cgLNdJgAp0Q_1_2"/>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r>
        <w:rPr>
          <w:rFonts w:ascii="Times New Roman;Times;serif" w:hAnsi="Times New Roman;Times;serif"/>
          <w:b/>
          <w:i w:val="false"/>
          <w:caps w:val="false"/>
          <w:smallCaps w:val="false"/>
          <w:sz w:val="20"/>
        </w:rPr>
        <w:t>4.</w:t>
      </w:r>
      <w:r>
        <w:rPr>
          <w:rFonts w:ascii="Times New Roman;Times;serif" w:hAnsi="Times New Roman;Times;serif"/>
          <w:b/>
          <w:sz w:val="20"/>
        </w:rPr>
        <w:t>Revenue from Contracts with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primarily derived from sales of our energy storage products and solutions. The following table presents the Company’s revenue disaggregated by product or service type:</w:t>
      </w:r>
    </w:p>
    <w:p>
      <w:pPr>
        <w:pStyle w:val="TextBody"/>
        <w:bidi w:val="0"/>
        <w:spacing w:before="0" w:after="0"/>
        <w:ind w:left="0" w:right="0" w:hanging="0"/>
        <w:jc w:val="left"/>
        <w:rPr/>
      </w:pPr>
      <w:r>
        <w:rPr/>
        <w:t>​</w:t>
      </w:r>
    </w:p>
    <w:tbl>
      <w:tblPr>
        <w:tblW w:w="9908" w:type="dxa"/>
        <w:jc w:val="left"/>
        <w:tblInd w:w="0" w:type="dxa"/>
        <w:tblLayout w:type="fixed"/>
        <w:tblCellMar>
          <w:top w:w="0" w:type="dxa"/>
          <w:left w:w="0" w:type="dxa"/>
          <w:bottom w:w="0" w:type="dxa"/>
          <w:right w:w="0" w:type="dxa"/>
        </w:tblCellMar>
      </w:tblPr>
      <w:tblGrid>
        <w:gridCol w:w="4381"/>
        <w:gridCol w:w="346"/>
        <w:gridCol w:w="217"/>
        <w:gridCol w:w="804"/>
        <w:gridCol w:w="355"/>
        <w:gridCol w:w="217"/>
        <w:gridCol w:w="807"/>
        <w:gridCol w:w="346"/>
        <w:gridCol w:w="211"/>
        <w:gridCol w:w="781"/>
        <w:gridCol w:w="346"/>
        <w:gridCol w:w="211"/>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781935" cy="175260"/>
                      <wp:effectExtent l="0" t="0" r="0" b="0"/>
                      <wp:wrapNone/>
                      <wp:docPr id="304" name="Frame304"/>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7795" cy="175260"/>
                      <wp:effectExtent l="0" t="0" r="0" b="0"/>
                      <wp:wrapNone/>
                      <wp:docPr id="306" name="Frame30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10540" cy="175260"/>
                      <wp:effectExtent l="0" t="0" r="0" b="0"/>
                      <wp:wrapNone/>
                      <wp:docPr id="307" name="Frame30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5425" cy="175260"/>
                      <wp:effectExtent l="0" t="0" r="0" b="0"/>
                      <wp:wrapNone/>
                      <wp:docPr id="308" name="Frame30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7795" cy="175260"/>
                      <wp:effectExtent l="0" t="0" r="0" b="0"/>
                      <wp:wrapNone/>
                      <wp:docPr id="309" name="Frame30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12445" cy="175260"/>
                      <wp:effectExtent l="0" t="0" r="0" b="0"/>
                      <wp:wrapNone/>
                      <wp:docPr id="310" name="Frame310"/>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3"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62610" cy="175260"/>
                      <wp:effectExtent l="0" t="0" r="0" b="0"/>
                      <wp:wrapNone/>
                      <wp:docPr id="316" name="Frame3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43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5" w:type="dxa"/>
            <w:tcBorders/>
            <w:vAlign w:val="center"/>
          </w:tcPr>
          <w:p>
            <w:pPr>
              <w:pStyle w:val="TableContents"/>
              <w:bidi w:val="0"/>
              <w:spacing w:before="0" w:after="1"/>
              <w:ind w:left="0" w:right="0" w:hanging="0"/>
              <w:jc w:val="left"/>
              <w:rPr/>
            </w:pPr>
            <w:r>
              <w:rPr/>
              <w:t>  ​ ​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from energy storage products and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433,632</w:t>
            </w:r>
          </w:p>
        </w:tc>
        <w:tc>
          <w:tcPr>
            <w:tcW w:w="355"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397,331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884,513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567,082</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from services</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29,365</w:t>
            </w:r>
          </w:p>
        </w:tc>
        <w:tc>
          <w:tcPr>
            <w:tcW w:w="355"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32,888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51,854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from digital applications and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1,894</w:t>
            </w:r>
          </w:p>
        </w:tc>
        <w:tc>
          <w:tcPr>
            <w:tcW w:w="355" w:type="dxa"/>
            <w:tcBorders/>
            <w:shd w:fill="CCEEFF" w:val="clear"/>
            <w:vAlign w:val="center"/>
          </w:tcPr>
          <w:p>
            <w:pPr>
              <w:pStyle w:val="TableContents"/>
              <w:bidi w:val="0"/>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464,891</w:t>
            </w:r>
          </w:p>
        </w:tc>
        <w:tc>
          <w:tcPr>
            <w:tcW w:w="355" w:type="dxa"/>
            <w:tcBorders/>
            <w:vAlign w:val="center"/>
          </w:tcPr>
          <w:p>
            <w:pPr>
              <w:pStyle w:val="TableContents"/>
              <w:bidi w:val="0"/>
              <w:spacing w:before="0" w:after="1"/>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940,125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618,406</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Company’s revenue disaggregated by geographical region. Revenues are attributed to regions based on location of customers:</w:t>
      </w:r>
    </w:p>
    <w:p>
      <w:pPr>
        <w:pStyle w:val="TextBody"/>
        <w:bidi w:val="0"/>
        <w:spacing w:before="0" w:after="0"/>
        <w:ind w:left="0" w:right="0" w:hanging="0"/>
        <w:jc w:val="left"/>
        <w:rPr/>
      </w:pPr>
      <w:r>
        <w:rPr/>
        <w:t>​</w:t>
      </w:r>
    </w:p>
    <w:tbl>
      <w:tblPr>
        <w:tblW w:w="9353" w:type="dxa"/>
        <w:jc w:val="left"/>
        <w:tblInd w:w="0" w:type="dxa"/>
        <w:tblLayout w:type="fixed"/>
        <w:tblCellMar>
          <w:top w:w="0" w:type="dxa"/>
          <w:left w:w="0" w:type="dxa"/>
          <w:bottom w:w="0" w:type="dxa"/>
          <w:right w:w="0" w:type="dxa"/>
        </w:tblCellMar>
      </w:tblPr>
      <w:tblGrid>
        <w:gridCol w:w="3826"/>
        <w:gridCol w:w="346"/>
        <w:gridCol w:w="217"/>
        <w:gridCol w:w="804"/>
        <w:gridCol w:w="355"/>
        <w:gridCol w:w="217"/>
        <w:gridCol w:w="807"/>
        <w:gridCol w:w="346"/>
        <w:gridCol w:w="211"/>
        <w:gridCol w:w="781"/>
        <w:gridCol w:w="346"/>
        <w:gridCol w:w="211"/>
        <w:gridCol w:w="88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429510" cy="175260"/>
                      <wp:effectExtent l="0" t="0" r="0" b="0"/>
                      <wp:wrapNone/>
                      <wp:docPr id="317" name="Frame317"/>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7795" cy="175260"/>
                      <wp:effectExtent l="0" t="0" r="0" b="0"/>
                      <wp:wrapNone/>
                      <wp:docPr id="319" name="Frame31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10540" cy="175260"/>
                      <wp:effectExtent l="0" t="0" r="0" b="0"/>
                      <wp:wrapNone/>
                      <wp:docPr id="320" name="Frame32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25425" cy="175260"/>
                      <wp:effectExtent l="0" t="0" r="0" b="0"/>
                      <wp:wrapNone/>
                      <wp:docPr id="321" name="Frame32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7795" cy="175260"/>
                      <wp:effectExtent l="0" t="0" r="0" b="0"/>
                      <wp:wrapNone/>
                      <wp:docPr id="322" name="Frame32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12445" cy="175260"/>
                      <wp:effectExtent l="0" t="0" r="0" b="0"/>
                      <wp:wrapNone/>
                      <wp:docPr id="323" name="Frame32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6"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62610" cy="175260"/>
                      <wp:effectExtent l="0" t="0" r="0" b="0"/>
                      <wp:wrapNone/>
                      <wp:docPr id="329" name="Frame3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38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5" w:type="dxa"/>
            <w:tcBorders/>
            <w:vAlign w:val="center"/>
          </w:tcPr>
          <w:p>
            <w:pPr>
              <w:pStyle w:val="TableContents"/>
              <w:bidi w:val="0"/>
              <w:spacing w:before="0" w:after="1"/>
              <w:ind w:left="0" w:right="0" w:hanging="0"/>
              <w:jc w:val="left"/>
              <w:rPr/>
            </w:pPr>
            <w:r>
              <w:rPr/>
              <w:t>  ​ ​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Americas (North, Central, and South America)</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234,754</w:t>
            </w:r>
          </w:p>
        </w:tc>
        <w:tc>
          <w:tcPr>
            <w:tcW w:w="355"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226,296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568,536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323,636</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APAC (Asia Pacific)</w:t>
            </w:r>
          </w:p>
        </w:tc>
        <w:tc>
          <w:tcPr>
            <w:tcW w:w="34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151,877</w:t>
            </w:r>
          </w:p>
        </w:tc>
        <w:tc>
          <w:tcPr>
            <w:tcW w:w="355"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left"/>
              <w:rPr/>
            </w:pPr>
            <w:r>
              <w:rPr/>
              <w:t> </w:t>
            </w:r>
          </w:p>
        </w:tc>
        <w:tc>
          <w:tcPr>
            <w:tcW w:w="8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75,354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219,910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105,159</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EMEA (Europe, Middle-East, and Africa)</w:t>
            </w:r>
          </w:p>
        </w:tc>
        <w:tc>
          <w:tcPr>
            <w:tcW w:w="34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78,260</w:t>
            </w:r>
          </w:p>
        </w:tc>
        <w:tc>
          <w:tcPr>
            <w:tcW w:w="355" w:type="dxa"/>
            <w:tcBorders/>
            <w:shd w:fill="CCEEFF" w:val="clear"/>
            <w:vAlign w:val="center"/>
          </w:tcPr>
          <w:p>
            <w:pPr>
              <w:pStyle w:val="TableContents"/>
              <w:bidi w:val="0"/>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129,968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151,679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189,611</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464,891</w:t>
            </w:r>
          </w:p>
        </w:tc>
        <w:tc>
          <w:tcPr>
            <w:tcW w:w="355" w:type="dxa"/>
            <w:tcBorders/>
            <w:vAlign w:val="center"/>
          </w:tcPr>
          <w:p>
            <w:pPr>
              <w:pStyle w:val="TableContents"/>
              <w:bidi w:val="0"/>
              <w:spacing w:before="0" w:after="1"/>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431,618</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940,125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618,406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525" w:name="Tc_suKjVJUMM0aAyXY-jX0w7Q_6_5"/>
      <w:bookmarkStart w:id="1526" w:name="Tc_hs1GMM29G0OsjKlEdmozQw_6_2"/>
      <w:bookmarkStart w:id="1527" w:name="Tc_EvW9Zmh8_Eq3K85_QqK7cQ_6_0"/>
      <w:bookmarkStart w:id="1528" w:name="Tc_56sdPDQ5D0qjbBS-kG83VA_5_0"/>
      <w:bookmarkStart w:id="1529" w:name="Tc_vqnOPGCOTUaXD31qOWXIjw_4_0"/>
      <w:bookmarkStart w:id="1530" w:name="Tc_tqZkvKm5Z06v9JyRW1tc1Q_3_5"/>
      <w:bookmarkStart w:id="1531" w:name="Tc_UuM8TfW4GEar_OjELSR9Bw_3_2"/>
      <w:bookmarkStart w:id="1532" w:name="Tc_sdr7jJTVE0aL-vn11IDEOg_3_0"/>
      <w:bookmarkStart w:id="1533" w:name="Tc_u7e2t2SKok6wNVt2P0pS6A_2_5"/>
      <w:bookmarkStart w:id="1534" w:name="Tc_B4DfGR3P_EynUWi9zFe1lA_2_2"/>
      <w:bookmarkStart w:id="1535" w:name="Tc_Szw1_aRS3k6z8xHp5k_bZA_2_0"/>
      <w:bookmarkStart w:id="1536" w:name="Tc_R-CAU7ODTU6jusuRvdDMbw_1_2"/>
      <w:bookmarkStart w:id="1537" w:name="_5d5de465_21bf_4325_ba81_6c9922506d39"/>
      <w:bookmarkStart w:id="1538" w:name="Tc_-LbuJxdTDEWqOVPH5MhzTQ_6_5"/>
      <w:bookmarkStart w:id="1539" w:name="Tc_pK9azv1ZokiYktOWiYCmjw_6_2"/>
      <w:bookmarkStart w:id="1540" w:name="Tc_8xFGnyJqi06PLYhUnEVaUA_6_0"/>
      <w:bookmarkStart w:id="1541" w:name="Tc_BdK0TByH1kCBOZ3WUvxQ1g_5_0"/>
      <w:bookmarkStart w:id="1542" w:name="Tc_slzcXWtC5Ea-oDk8Yv6JfA_4_0"/>
      <w:bookmarkStart w:id="1543" w:name="Tc_Tq3GoK2vTk-ngCt-fK5cwQ_3_5"/>
      <w:bookmarkStart w:id="1544" w:name="Tc_ovHm4xnnFEyib5PtOjuUww_3_2"/>
      <w:bookmarkStart w:id="1545" w:name="Tc_sla8sCVJiUaBLL30yr9h3w_3_0"/>
      <w:bookmarkStart w:id="1546" w:name="Tc_N1zP9ObUtkiCG2Q9JvLh_A_2_5"/>
      <w:bookmarkStart w:id="1547" w:name="Tc_Dq5X2YNCE0q76osYOJQ8jg_2_2"/>
      <w:bookmarkStart w:id="1548" w:name="Tc_9kH4k8lnbk29UTxguNvb7g_2_0"/>
      <w:bookmarkStart w:id="1549" w:name="Tc_aDQq5xtXgE2-EDZN6IAo8A_1_2"/>
      <w:bookmarkStart w:id="1550" w:name="_c40dd4f9_e8dd_407f_8431_7a054c145950"/>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b/>
          <w:i/>
          <w:sz w:val="20"/>
        </w:rPr>
        <w:t>Customer Concentration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March 31, 2026, the Company’s top three customers, in the aggregate, accounted for approximately 45% of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six months ended March 31, 2025, the Company’s top two customers, in the aggregate, accounted for 48% of total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revenue from related parties is included in the Company’s condensed consolidated balance sheets. The following tables provide information about deferred revenue from contracts with customers: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60"/>
        <w:gridCol w:w="346"/>
        <w:gridCol w:w="211"/>
        <w:gridCol w:w="892"/>
        <w:gridCol w:w="346"/>
        <w:gridCol w:w="211"/>
        <w:gridCol w:w="939"/>
      </w:tblGrid>
      <w:tr>
        <w:trPr/>
        <w:tc>
          <w:tcPr>
            <w:tcW w:w="7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610100" cy="175260"/>
                      <wp:effectExtent l="0" t="0" r="0" b="0"/>
                      <wp:wrapNone/>
                      <wp:docPr id="330" name="Frame330"/>
                      <a:graphic xmlns:a="http://schemas.openxmlformats.org/drawingml/2006/main">
                        <a:graphicData uri="http://schemas.microsoft.com/office/word/2010/wordprocessingShape">
                          <wps:wsp>
                            <wps:cNvSpPr txBox="1"/>
                            <wps:spPr>
                              <a:xfrm>
                                <a:off x="0" y="0"/>
                                <a:ext cx="4610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66420" cy="175260"/>
                      <wp:effectExtent l="0" t="0" r="0" b="0"/>
                      <wp:wrapNone/>
                      <wp:docPr id="333" name="Frame333"/>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96265" cy="175260"/>
                      <wp:effectExtent l="0" t="0" r="0" b="0"/>
                      <wp:wrapNone/>
                      <wp:docPr id="336" name="Frame336"/>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6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7260"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640,457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274,499</w:t>
            </w:r>
          </w:p>
        </w:tc>
      </w:tr>
      <w:tr>
        <w:trPr/>
        <w:tc>
          <w:tcPr>
            <w:tcW w:w="726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441,764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616,304</w:t>
            </w:r>
          </w:p>
        </w:tc>
      </w:tr>
      <w:tr>
        <w:trPr/>
        <w:tc>
          <w:tcPr>
            <w:tcW w:w="726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related to amounts that were included in beginning balance of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(276,691)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(242,713)</w:t>
            </w:r>
          </w:p>
        </w:tc>
      </w:tr>
      <w:tr>
        <w:trPr/>
        <w:tc>
          <w:tcPr>
            <w:tcW w:w="726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805,530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648,090</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467"/>
        <w:gridCol w:w="346"/>
        <w:gridCol w:w="211"/>
        <w:gridCol w:w="789"/>
        <w:gridCol w:w="346"/>
        <w:gridCol w:w="211"/>
        <w:gridCol w:w="835"/>
      </w:tblGrid>
      <w:tr>
        <w:trPr/>
        <w:tc>
          <w:tcPr>
            <w:tcW w:w="7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741545" cy="175260"/>
                      <wp:effectExtent l="0" t="0" r="0" b="0"/>
                      <wp:wrapNone/>
                      <wp:docPr id="337" name="Frame337"/>
                      <a:graphic xmlns:a="http://schemas.openxmlformats.org/drawingml/2006/main">
                        <a:graphicData uri="http://schemas.microsoft.com/office/word/2010/wordprocessingShape">
                          <wps:wsp>
                            <wps:cNvSpPr txBox="1"/>
                            <wps:spPr>
                              <a:xfrm>
                                <a:off x="0" y="0"/>
                                <a:ext cx="4741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01015" cy="175260"/>
                      <wp:effectExtent l="0" t="0" r="0" b="0"/>
                      <wp:wrapNone/>
                      <wp:docPr id="340" name="Frame340"/>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30225" cy="175260"/>
                      <wp:effectExtent l="0" t="0" r="0" b="0"/>
                      <wp:wrapNone/>
                      <wp:docPr id="343" name="Frame34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7467"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from related parties,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79,916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38,162</w:t>
            </w:r>
          </w:p>
        </w:tc>
      </w:tr>
      <w:tr>
        <w:trPr/>
        <w:tc>
          <w:tcPr>
            <w:tcW w:w="74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27,622</w:t>
            </w:r>
          </w:p>
        </w:tc>
      </w:tr>
      <w:tr>
        <w:trPr/>
        <w:tc>
          <w:tcPr>
            <w:tcW w:w="7467"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related to amounts that were included in beginning balance of 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(31,010)</w:t>
            </w:r>
          </w:p>
        </w:tc>
      </w:tr>
      <w:tr>
        <w:trPr/>
        <w:tc>
          <w:tcPr>
            <w:tcW w:w="7467"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 from related parties,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66,379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34,774</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Remaining Performance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the Company had $5.6 billion of remaining performance obligations related to contractual commitments, of which we expect to recognize in revenue approximately 50% to 55% in the next 12 months, with the remainder recognized in revenue in periods thereafter.</w:t>
      </w:r>
    </w:p>
    <w:p>
      <w:pPr>
        <w:pStyle w:val="TextBody"/>
        <w:bidi w:val="0"/>
        <w:spacing w:before="0" w:after="240"/>
        <w:ind w:left="0" w:right="0" w:hanging="0"/>
        <w:jc w:val="left"/>
        <w:rPr>
          <w:rFonts w:ascii="Times New Roman;Times;serif" w:hAnsi="Times New Roman;Times;serif"/>
          <w:b/>
          <w:sz w:val="20"/>
        </w:rPr>
      </w:pPr>
      <w:bookmarkStart w:id="1551" w:name="Tc_HwWUyVhOb0ePc702trb-Uw_5_17"/>
      <w:bookmarkStart w:id="1552" w:name="Tc_Lc8g8P94_Uq4zfwfe-Lw1A_5_14"/>
      <w:bookmarkStart w:id="1553" w:name="Tc_uYbwMPGLFUGJVB3YLssh4Q_5_11"/>
      <w:bookmarkStart w:id="1554" w:name="Tc_oo-blOR0bEueR7QVm-69Fw_5_8"/>
      <w:bookmarkStart w:id="1555" w:name="Tc_wdB1Z-4gKUiNZisl7NjStw_5_5"/>
      <w:bookmarkStart w:id="1556" w:name="Tc_ZTwkovKPzEu5-pXpSnyiPQ_5_2"/>
      <w:bookmarkStart w:id="1557" w:name="Tc_GYLZUEtRbUCAsbqT0mr3Jg_5_0"/>
      <w:bookmarkStart w:id="1558" w:name="Tc_tHgEQv2aKk2ykaDodR4ZQA_4_0"/>
      <w:bookmarkStart w:id="1559" w:name="Tc_PzodSbR1XkWawUqyzKeQ_A_3_17"/>
      <w:bookmarkStart w:id="1560" w:name="Tc__mBuw5ZzfUiqYtfqhtxvxw_3_14"/>
      <w:bookmarkStart w:id="1561" w:name="Tc_9Z2Z8Xwyg0SG9KHQItn_PQ_3_11"/>
      <w:bookmarkStart w:id="1562" w:name="Tc_Dl5MVpq_g0SVEem4hxhmjw_3_8"/>
      <w:bookmarkStart w:id="1563" w:name="Tc_SczcO72OM02scUH18ItbLg_3_5"/>
      <w:bookmarkStart w:id="1564" w:name="Tc_1V3hdRox90C0EjnJtb1kbA_3_2"/>
      <w:bookmarkStart w:id="1565" w:name="Tc_IuvomlHRCUulIfpCTj40rw_3_0"/>
      <w:bookmarkStart w:id="1566" w:name="Tc_borTAnlhxUCu9b3cTOcK1Q_2_17"/>
      <w:bookmarkStart w:id="1567" w:name="Tc_-FITOjD3wE-H83CfBPbdFQ_2_14"/>
      <w:bookmarkStart w:id="1568" w:name="Tc_LrtHf9FNWkuj1EYAPwxHsA_2_11"/>
      <w:bookmarkStart w:id="1569" w:name="Tc_YLjts6rZTUGxkFIl3I-zEQ_2_8"/>
      <w:bookmarkStart w:id="1570" w:name="Tc_2qs4-2D-I0CznQaZXBO8MA_2_5"/>
      <w:bookmarkStart w:id="1571" w:name="Tc_jFWyjhi5skm_UR4STdOGXQ_2_2"/>
      <w:bookmarkStart w:id="1572" w:name="Tc_GjFca66KB0-SStaQraJJrQ_2_0"/>
      <w:bookmarkStart w:id="1573" w:name="Tc_t6AZnBab90eOZnc9qiVYvQ_1_11"/>
      <w:bookmarkStart w:id="1574" w:name="Tc_BWZpePGwOEGzLAAZWZiCcw_1_2"/>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r>
        <w:rPr>
          <w:rFonts w:ascii="Times New Roman;Times;serif" w:hAnsi="Times New Roman;Times;serif"/>
          <w:b/>
          <w:i w:val="false"/>
          <w:caps w:val="false"/>
          <w:smallCaps w:val="false"/>
          <w:sz w:val="20"/>
        </w:rPr>
        <w:t>5.</w:t>
      </w:r>
      <w:r>
        <w:rPr>
          <w:rFonts w:ascii="Times New Roman;Times;serif" w:hAnsi="Times New Roman;Times;serif"/>
          <w:b/>
          <w:sz w:val="20"/>
        </w:rPr>
        <w:t>Inventory,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Inventory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19"/>
        <w:gridCol w:w="346"/>
        <w:gridCol w:w="211"/>
        <w:gridCol w:w="781"/>
        <w:gridCol w:w="346"/>
        <w:gridCol w:w="211"/>
        <w:gridCol w:w="757"/>
        <w:gridCol w:w="346"/>
        <w:gridCol w:w="211"/>
        <w:gridCol w:w="781"/>
        <w:gridCol w:w="346"/>
        <w:gridCol w:w="211"/>
        <w:gridCol w:w="781"/>
        <w:gridCol w:w="346"/>
        <w:gridCol w:w="211"/>
        <w:gridCol w:w="757"/>
        <w:gridCol w:w="346"/>
        <w:gridCol w:w="211"/>
        <w:gridCol w:w="887"/>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45565" cy="175260"/>
                      <wp:effectExtent l="0" t="0" r="0" b="0"/>
                      <wp:wrapNone/>
                      <wp:docPr id="344" name="Frame344"/>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7"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8"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80695" cy="175260"/>
                      <wp:effectExtent l="0" t="0" r="0" b="0"/>
                      <wp:wrapNone/>
                      <wp:docPr id="350" name="Frame350"/>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95935" cy="175260"/>
                      <wp:effectExtent l="0" t="0" r="0" b="0"/>
                      <wp:wrapNone/>
                      <wp:docPr id="353" name="Frame3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6" name="Frame3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80695" cy="175260"/>
                      <wp:effectExtent l="0" t="0" r="0" b="0"/>
                      <wp:wrapNone/>
                      <wp:docPr id="359" name="Frame359"/>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63245" cy="175260"/>
                      <wp:effectExtent l="0" t="0" r="0" b="0"/>
                      <wp:wrapNone/>
                      <wp:docPr id="362" name="Frame362"/>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4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w:t>
            </w:r>
          </w:p>
        </w:tc>
        <w:tc>
          <w:tcPr>
            <w:tcW w:w="375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11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Provision</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Provision</w:t>
            </w:r>
          </w:p>
        </w:tc>
        <w:tc>
          <w:tcPr>
            <w:tcW w:w="346" w:type="dxa"/>
            <w:tcBorders/>
            <w:vAlign w:val="center"/>
          </w:tcPr>
          <w:p>
            <w:pPr>
              <w:pStyle w:val="TableContents"/>
              <w:bidi w:val="0"/>
              <w:spacing w:before="0" w:after="1"/>
              <w:ind w:left="0" w:right="0" w:hanging="0"/>
              <w:jc w:val="center"/>
              <w:rPr/>
            </w:pPr>
            <w:r>
              <w:rPr/>
              <w:t>​</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1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Integrated systems, batteries, and other equipment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767,485</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(24,844)</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742,641</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463,493</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(30,891)</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432,602</w:t>
            </w:r>
          </w:p>
        </w:tc>
      </w:tr>
      <w:tr>
        <w:trPr/>
        <w:tc>
          <w:tcPr>
            <w:tcW w:w="21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21,535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22,415</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22,413</w:t>
            </w:r>
          </w:p>
        </w:tc>
      </w:tr>
      <w:tr>
        <w:trPr/>
        <w:tc>
          <w:tcPr>
            <w:tcW w:w="21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789,020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485,908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455,015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75" w:name="Tc_kMKErZV8SE6aVK4mlkaRHA_7_5"/>
      <w:bookmarkStart w:id="1576" w:name="Tc_gxzvmfWeFke2GHkpz5Al8Q_7_2"/>
      <w:bookmarkStart w:id="1577" w:name="Tc_3pXeHcvndE2jAhfW5jrguw_7_0"/>
      <w:bookmarkStart w:id="1578" w:name="Tc_X_DWa04dMEutjYUqoxyWLA_6_0"/>
      <w:bookmarkStart w:id="1579" w:name="Tc_XAZpsD1RWkSEd5p2QU_PBw_5_0"/>
      <w:bookmarkStart w:id="1580" w:name="Tc_3Sivpshy_U6w0p9NDm5ejA_4_0"/>
      <w:bookmarkStart w:id="1581" w:name="Tc_PvIIQlLPnEyWkqPjjMz0GA_3_0"/>
      <w:bookmarkStart w:id="1582" w:name="Tc_DKhUuYg_FEWY7g2Jn8Y_wQ_2_5"/>
      <w:bookmarkStart w:id="1583" w:name="Tc_FzJ82Pz5ikyGDctAFFAWkg_2_2"/>
      <w:bookmarkStart w:id="1584" w:name="Tc_CBpG_qK6eEmCN-ccr1bZXw_2_0"/>
      <w:bookmarkStart w:id="1585" w:name="Tc_ZgUanp8RuU6Nwt8frEI0nw_1_5"/>
      <w:bookmarkStart w:id="1586" w:name="Tc_RJNdVKkpgUayoD7WIM-qpQ_1_2"/>
      <w:bookmarkStart w:id="1587" w:name="Tc_FWQc2hRpAE2zbbccnBOxYA_1_0"/>
      <w:bookmarkEnd w:id="1575"/>
      <w:bookmarkEnd w:id="1576"/>
      <w:bookmarkEnd w:id="1577"/>
      <w:bookmarkEnd w:id="1578"/>
      <w:bookmarkEnd w:id="1579"/>
      <w:bookmarkEnd w:id="1580"/>
      <w:bookmarkEnd w:id="1581"/>
      <w:bookmarkEnd w:id="1582"/>
      <w:bookmarkEnd w:id="1583"/>
      <w:bookmarkEnd w:id="1584"/>
      <w:bookmarkEnd w:id="1585"/>
      <w:bookmarkEnd w:id="1586"/>
      <w:bookmarkEnd w:id="1587"/>
      <w:r>
        <w:rPr>
          <w:rFonts w:ascii="Times New Roman;Times;serif" w:hAnsi="Times New Roman;Times;serif"/>
          <w:b/>
          <w:i w:val="false"/>
          <w:caps w:val="false"/>
          <w:smallCaps w:val="false"/>
          <w:sz w:val="20"/>
        </w:rPr>
        <w:t>6.</w:t>
      </w:r>
      <w:r>
        <w:rPr>
          <w:rFonts w:ascii="Times New Roman;Times;serif" w:hAnsi="Times New Roman;Times;serif"/>
          <w:b/>
          <w:sz w:val="20"/>
        </w:rPr>
        <w:t>Other Current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current assets consisted of the following amounts:</w:t>
      </w:r>
    </w:p>
    <w:p>
      <w:pPr>
        <w:pStyle w:val="TextBody"/>
        <w:bidi w:val="0"/>
        <w:spacing w:before="0" w:after="0"/>
        <w:ind w:left="0" w:right="0" w:hanging="0"/>
        <w:jc w:val="left"/>
        <w:rPr/>
      </w:pPr>
      <w:r>
        <w:rPr/>
        <w:t>​</w:t>
      </w:r>
    </w:p>
    <w:tbl>
      <w:tblPr>
        <w:tblW w:w="8525" w:type="dxa"/>
        <w:jc w:val="left"/>
        <w:tblInd w:w="0" w:type="dxa"/>
        <w:tblLayout w:type="fixed"/>
        <w:tblCellMar>
          <w:top w:w="0" w:type="dxa"/>
          <w:left w:w="0" w:type="dxa"/>
          <w:bottom w:w="0" w:type="dxa"/>
          <w:right w:w="0" w:type="dxa"/>
        </w:tblCellMar>
      </w:tblPr>
      <w:tblGrid>
        <w:gridCol w:w="4981"/>
        <w:gridCol w:w="346"/>
        <w:gridCol w:w="299"/>
        <w:gridCol w:w="962"/>
        <w:gridCol w:w="346"/>
        <w:gridCol w:w="338"/>
        <w:gridCol w:w="1253"/>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162935" cy="175260"/>
                      <wp:effectExtent l="0" t="0" r="0" b="0"/>
                      <wp:wrapNone/>
                      <wp:docPr id="363" name="Frame363"/>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4"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89865" cy="175260"/>
                      <wp:effectExtent l="0" t="0" r="0" b="0"/>
                      <wp:wrapNone/>
                      <wp:docPr id="365" name="Frame36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10870" cy="175260"/>
                      <wp:effectExtent l="0" t="0" r="0" b="0"/>
                      <wp:wrapNone/>
                      <wp:docPr id="366" name="Frame36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4630" cy="175260"/>
                      <wp:effectExtent l="0" t="0" r="0" b="0"/>
                      <wp:wrapNone/>
                      <wp:docPr id="368" name="Frame36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95655" cy="175260"/>
                      <wp:effectExtent l="0" t="0" r="0" b="0"/>
                      <wp:wrapNone/>
                      <wp:docPr id="369" name="Frame369"/>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recoverable and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39,898</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15,186</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29,709</w:t>
            </w:r>
          </w:p>
        </w:tc>
        <w:tc>
          <w:tcPr>
            <w:tcW w:w="34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21,667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recoverable warranty costs from suppliers</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w:t>
            </w:r>
          </w:p>
        </w:tc>
        <w:tc>
          <w:tcPr>
            <w:tcW w:w="34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8,585</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6,695</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95,850</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54,671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88" w:name="Tc_n0sKZCCGJUKQJzHZFtGBCg_10_17"/>
      <w:bookmarkStart w:id="1589" w:name="Tc_YSQdtVfQKUe3jg5CFuLFlA_10_14"/>
      <w:bookmarkStart w:id="1590" w:name="Tc_2yOdkzl-lU-6gC4EJr4WeQ_10_11"/>
      <w:bookmarkStart w:id="1591" w:name="Tc_n5IKCk6qz0mavIoSwgmFKA_10_8"/>
      <w:bookmarkStart w:id="1592" w:name="Tc_fyLZy0Yc3k2iTo0CIeBQeQ_10_5"/>
      <w:bookmarkStart w:id="1593" w:name="Tc_EDbhuy3pyEKZ8MlN-2nvtw_10_2"/>
      <w:bookmarkStart w:id="1594" w:name="Tc_iD6RguCQi0mOj2lz2IJbtA_10_0"/>
      <w:bookmarkStart w:id="1595" w:name="Tc_P5Jb_1q4G0KjawnLHW-u5Q_9_0"/>
      <w:bookmarkStart w:id="1596" w:name="Tc_nafwERRDCkCifhNYKyqeyw_8_0"/>
      <w:bookmarkStart w:id="1597" w:name="Tc_qoMh31cRf0yjLUJdRLdqZw_7_0"/>
      <w:bookmarkStart w:id="1598" w:name="Tc_-kp0N4K8a06alFdTRjPxPg_6_0"/>
      <w:bookmarkStart w:id="1599" w:name="Tc_HjA7tuTykEqwCnBN1jsGFA_5_0"/>
      <w:bookmarkStart w:id="1600" w:name="Tc_rEVXnW2NSk-bp4OzFeXW8w_4_17"/>
      <w:bookmarkStart w:id="1601" w:name="Tc_IXz9YtNjH0aSuPSwtTwjlQ_4_14"/>
      <w:bookmarkStart w:id="1602" w:name="Tc_5Dp2v2cq4kOailJEm5BnsQ_4_11"/>
      <w:bookmarkStart w:id="1603" w:name="Tc_gRCFkDh-CE6v4mcKP8YQdw_4_8"/>
      <w:bookmarkStart w:id="1604" w:name="Tc_dGo2IDTdc0u6sM24vDesRw_4_5"/>
      <w:bookmarkStart w:id="1605" w:name="Tc_RhM9VLd8nE2BjczHJL0XoA_4_2"/>
      <w:bookmarkStart w:id="1606" w:name="Tc_luDUasLP20iCHilu-Uoo0w_4_0"/>
      <w:bookmarkStart w:id="1607" w:name="Tc_VLahDVWk_UCv3u24wyZqeg_3_17"/>
      <w:bookmarkStart w:id="1608" w:name="Tc_vpyerErr5UmP4uQ0uvSakg_3_14"/>
      <w:bookmarkStart w:id="1609" w:name="Tc_9KrFLjter0yc1uXT2jGN8g_3_11"/>
      <w:bookmarkStart w:id="1610" w:name="Tc_RoyiVHplX0Su2C-XVxkaHA_3_8"/>
      <w:bookmarkStart w:id="1611" w:name="Tc_JBZeeFBlZESK6KAuscQWrA_3_5"/>
      <w:bookmarkStart w:id="1612" w:name="Tc_mvk_lvOznkiI5Qquaa-XGQ_3_2"/>
      <w:bookmarkStart w:id="1613" w:name="Tc_fzNrnuNsDUSePc5RZ5EHMg_3_0"/>
      <w:bookmarkStart w:id="1614" w:name="Tc_UsrrknTkOUOgTUm9Q8aqqQ_2_14"/>
      <w:bookmarkStart w:id="1615" w:name="Tc_1u_ZCrA6EUKJCrppgu571A_2_5"/>
      <w:bookmarkStart w:id="1616" w:name="Tc_bUPwTMx3WUC55aAL5M5Zfw_1_11"/>
      <w:bookmarkStart w:id="1617" w:name="Tc_sQUkpKPYGECY_Fm_LUeutw_1_2"/>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r>
        <w:rPr>
          <w:rFonts w:ascii="Times New Roman;Times;serif" w:hAnsi="Times New Roman;Times;serif"/>
          <w:b/>
          <w:i w:val="false"/>
          <w:caps w:val="false"/>
          <w:smallCaps w:val="false"/>
          <w:sz w:val="20"/>
        </w:rPr>
        <w:t>7.</w:t>
      </w:r>
      <w:r>
        <w:rPr>
          <w:rFonts w:ascii="Times New Roman;Times;serif" w:hAnsi="Times New Roman;Times;serif"/>
          <w:b/>
          <w:sz w:val="20"/>
        </w:rPr>
        <w:t>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are stated at amortized cost and consisted of the following:</w:t>
      </w:r>
    </w:p>
    <w:p>
      <w:pPr>
        <w:pStyle w:val="TextBody"/>
        <w:bidi w:val="0"/>
        <w:spacing w:before="0" w:after="0"/>
        <w:ind w:left="0" w:right="0" w:hanging="0"/>
        <w:jc w:val="left"/>
        <w:rPr/>
      </w:pPr>
      <w:r>
        <w:rPr/>
        <w:t>​</w:t>
      </w:r>
    </w:p>
    <w:tbl>
      <w:tblPr>
        <w:tblW w:w="9944" w:type="dxa"/>
        <w:jc w:val="left"/>
        <w:tblInd w:w="0" w:type="dxa"/>
        <w:tblLayout w:type="fixed"/>
        <w:tblCellMar>
          <w:top w:w="0" w:type="dxa"/>
          <w:left w:w="0" w:type="dxa"/>
          <w:bottom w:w="0" w:type="dxa"/>
          <w:right w:w="0" w:type="dxa"/>
        </w:tblCellMar>
      </w:tblPr>
      <w:tblGrid>
        <w:gridCol w:w="2791"/>
        <w:gridCol w:w="346"/>
        <w:gridCol w:w="211"/>
        <w:gridCol w:w="781"/>
        <w:gridCol w:w="109"/>
        <w:gridCol w:w="240"/>
        <w:gridCol w:w="841"/>
        <w:gridCol w:w="109"/>
        <w:gridCol w:w="211"/>
        <w:gridCol w:w="676"/>
        <w:gridCol w:w="346"/>
        <w:gridCol w:w="211"/>
        <w:gridCol w:w="781"/>
        <w:gridCol w:w="109"/>
        <w:gridCol w:w="240"/>
        <w:gridCol w:w="841"/>
        <w:gridCol w:w="109"/>
        <w:gridCol w:w="211"/>
        <w:gridCol w:w="78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72285" cy="175260"/>
                      <wp:effectExtent l="0" t="0" r="0" b="0"/>
                      <wp:wrapNone/>
                      <wp:docPr id="370" name="Frame370"/>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2400" cy="175260"/>
                      <wp:effectExtent l="0" t="0" r="0" b="0"/>
                      <wp:wrapNone/>
                      <wp:docPr id="375" name="Frame37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34035" cy="175260"/>
                      <wp:effectExtent l="0" t="0" r="0" b="0"/>
                      <wp:wrapNone/>
                      <wp:docPr id="376" name="Frame37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29260" cy="175260"/>
                      <wp:effectExtent l="0" t="0" r="0" b="0"/>
                      <wp:wrapNone/>
                      <wp:docPr id="379" name="Frame3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5935" cy="175260"/>
                      <wp:effectExtent l="0" t="0" r="0" b="0"/>
                      <wp:wrapNone/>
                      <wp:docPr id="382"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52400" cy="175260"/>
                      <wp:effectExtent l="0" t="0" r="0" b="0"/>
                      <wp:wrapNone/>
                      <wp:docPr id="384" name="Frame38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34035" cy="175260"/>
                      <wp:effectExtent l="0" t="0" r="0" b="0"/>
                      <wp:wrapNone/>
                      <wp:docPr id="385" name="Frame38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95935" cy="175260"/>
                      <wp:effectExtent l="0" t="0" r="0" b="0"/>
                      <wp:wrapNone/>
                      <wp:docPr id="388" name="Frame3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1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328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 and licenses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28,921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28,856</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13,945</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31,857</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(12,244)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31,932</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21,022</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4,825</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5,379</w:t>
            </w:r>
          </w:p>
        </w:tc>
        <w:tc>
          <w:tcPr>
            <w:tcW w:w="109"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internal-use software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29,741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24,674</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16,708</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to be sold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13,041</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11,109</w:t>
            </w:r>
          </w:p>
        </w:tc>
        <w:tc>
          <w:tcPr>
            <w:tcW w:w="109"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9,199</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114,508</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106,775</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63,403</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are amortized over their estimated useful lives on a straight-line basis. Total amortization expense for the three months ended March 31, 2026 and 2025 was $3.6 million and $2.9 million, respectively. The amortization expense for the three months ended March 31, 2026 and 2025 included $2.3 million and $1.3 million for capitalized software, respectively. Total amortization expense for the six months ended March 31, 2026 and 2025 was $7.0 million and $5.2 million, respectively. The amortization expense for the six months ended March 31, 2026 and 2025 included $4.1 million and $2.6 million for capitalized software, respectively</w:t>
      </w:r>
    </w:p>
    <w:p>
      <w:pPr>
        <w:pStyle w:val="TextBody"/>
        <w:bidi w:val="0"/>
        <w:spacing w:before="0" w:after="240"/>
        <w:ind w:left="0" w:right="0" w:hanging="0"/>
        <w:jc w:val="left"/>
        <w:rPr>
          <w:rFonts w:ascii="Times New Roman;Times;serif" w:hAnsi="Times New Roman;Times;serif"/>
          <w:b/>
          <w:sz w:val="20"/>
        </w:rPr>
      </w:pPr>
      <w:bookmarkStart w:id="1618" w:name="Tc_HbMLZbwQ50qHF6TUpb-gmg_5_5"/>
      <w:bookmarkStart w:id="1619" w:name="Tc_kYHvkzGzU06ZVadKLSyUbg_5_2"/>
      <w:bookmarkStart w:id="1620" w:name="Tc_pvDWT71FKUme83GkbWrgqA_5_0"/>
      <w:bookmarkStart w:id="1621" w:name="Tc_FDURP-dje0K8wM6pLQRqWA_4_0"/>
      <w:bookmarkStart w:id="1622" w:name="Tc_gCmeQsYKMEC14jkf-vICcw_3_5"/>
      <w:bookmarkStart w:id="1623" w:name="Tc_o0nKZOjA5EmbSA9MGlF5Rg_3_2"/>
      <w:bookmarkStart w:id="1624" w:name="Tc_lg-f3KYKh0WQ9ABGG2nkGA_3_0"/>
      <w:bookmarkStart w:id="1625" w:name="Tc_aCCWmF7CU0iIQ5aEnDisSg_2_5"/>
      <w:bookmarkStart w:id="1626" w:name="Tc_My1y0Q9YqkmL-q3NZlBpwg_2_2"/>
      <w:bookmarkStart w:id="1627" w:name="Tc_WzsGDDbKekSGuwuilDeTLg_2_0"/>
      <w:bookmarkStart w:id="1628" w:name="Tc_X35ICuvk8UulxqrA_z540A_1_2"/>
      <w:bookmarkEnd w:id="1618"/>
      <w:bookmarkEnd w:id="1619"/>
      <w:bookmarkEnd w:id="1620"/>
      <w:bookmarkEnd w:id="1621"/>
      <w:bookmarkEnd w:id="1622"/>
      <w:bookmarkEnd w:id="1623"/>
      <w:bookmarkEnd w:id="1624"/>
      <w:bookmarkEnd w:id="1625"/>
      <w:bookmarkEnd w:id="1626"/>
      <w:bookmarkEnd w:id="1627"/>
      <w:bookmarkEnd w:id="1628"/>
      <w:r>
        <w:rPr>
          <w:rFonts w:ascii="Times New Roman;Times;serif" w:hAnsi="Times New Roman;Times;serif"/>
          <w:b/>
          <w:i w:val="false"/>
          <w:caps w:val="false"/>
          <w:smallCaps w:val="false"/>
          <w:sz w:val="20"/>
        </w:rPr>
        <w:t>8.</w:t>
      </w:r>
      <w:r>
        <w:rPr>
          <w:rFonts w:ascii="Times New Roman;Times;serif" w:hAnsi="Times New Roman;Times;serif"/>
          <w:b/>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impairment was recognized for the six months ended March 31, 2026 or 2025. The following table presents the goodwill activity for the six months ended March 31, 2026 and 2025:</w:t>
      </w:r>
    </w:p>
    <w:p>
      <w:pPr>
        <w:pStyle w:val="TextBody"/>
        <w:bidi w:val="0"/>
        <w:spacing w:before="0" w:after="0"/>
        <w:ind w:left="0" w:right="0" w:hanging="0"/>
        <w:jc w:val="left"/>
        <w:rPr/>
      </w:pPr>
      <w:r>
        <w:rPr/>
        <w:t>​</w:t>
      </w:r>
    </w:p>
    <w:tbl>
      <w:tblPr>
        <w:tblW w:w="5260" w:type="dxa"/>
        <w:jc w:val="left"/>
        <w:tblInd w:w="0" w:type="dxa"/>
        <w:tblLayout w:type="fixed"/>
        <w:tblCellMar>
          <w:top w:w="0" w:type="dxa"/>
          <w:left w:w="0" w:type="dxa"/>
          <w:bottom w:w="0" w:type="dxa"/>
          <w:right w:w="0" w:type="dxa"/>
        </w:tblCellMar>
      </w:tblPr>
      <w:tblGrid>
        <w:gridCol w:w="2926"/>
        <w:gridCol w:w="346"/>
        <w:gridCol w:w="211"/>
        <w:gridCol w:w="676"/>
        <w:gridCol w:w="109"/>
        <w:gridCol w:w="211"/>
        <w:gridCol w:w="78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858010" cy="175260"/>
                      <wp:effectExtent l="0" t="0" r="0" b="0"/>
                      <wp:wrapNone/>
                      <wp:docPr id="389" name="Frame389"/>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9260" cy="175260"/>
                      <wp:effectExtent l="0" t="0" r="0" b="0"/>
                      <wp:wrapNone/>
                      <wp:docPr id="392" name="Frame3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3" name="Frame3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95935" cy="175260"/>
                      <wp:effectExtent l="0" t="0" r="0" b="0"/>
                      <wp:wrapNone/>
                      <wp:docPr id="395" name="Frame3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29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28,584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27,482</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26,603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right-of-use assets and lease liabilities primarily relate to offices, warehouses, and production lines. The Company’s leases generally have remaining lease terms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year to </w:t>
      </w:r>
      <w:r>
        <w:rPr>
          <w:rFonts w:ascii="Times New Roman;Times;serif" w:hAnsi="Times New Roman;Times;serif"/>
          <w:b w:val="false"/>
          <w:i w:val="false"/>
          <w:caps w:val="false"/>
          <w:smallCaps w:val="false"/>
          <w:sz w:val="20"/>
        </w:rPr>
        <w:t>nine</w:t>
      </w:r>
      <w:r>
        <w:rPr>
          <w:rFonts w:ascii="Times New Roman;Times;serif" w:hAnsi="Times New Roman;Times;serif"/>
          <w:sz w:val="20"/>
        </w:rPr>
        <w:t> years.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operating lease agreements contain material options to purchase the leased property, material residual value guarantees, or material restrictions or covenants.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29" w:name="Tc_T-vQJnj9FkyD54de1fLGKQ_11_7"/>
      <w:bookmarkStart w:id="1630" w:name="Tc_S76oGm4cm0KSGAIogNVxbw_11_4"/>
      <w:bookmarkStart w:id="1631" w:name="Tc_MCuDzTiBL0G3df_4bkFGzQ_11_0"/>
      <w:bookmarkStart w:id="1632" w:name="Tc_iLg5m0u2kkWiVIfQXlUeIA_10_2"/>
      <w:bookmarkStart w:id="1633" w:name="Tc_RldMqgWKn0SsOMmhN-Q7Kw_10_0"/>
      <w:bookmarkStart w:id="1634" w:name="Tc_xBZbOuUdxkara4oeWsYI6g_9_2"/>
      <w:bookmarkStart w:id="1635" w:name="Tc_zcHIDTpf-kuB-FHnvUQJWQ_8_7"/>
      <w:bookmarkStart w:id="1636" w:name="Tc_waLsliQnBkKP8m0Jj5YhbQ_8_4"/>
      <w:bookmarkStart w:id="1637" w:name="Tc_VqU4_bmdO0KTF06-KfLTCw_8_2"/>
      <w:bookmarkStart w:id="1638" w:name="Tc_pi0O1iBUpEK9V_0408-aGQ_8_0"/>
      <w:bookmarkStart w:id="1639" w:name="Tc_qlN6E8tcikWhi-envHTOYg_7_0"/>
      <w:bookmarkStart w:id="1640" w:name="Tc_Whdi2S7Tf0eXj12sOw75lA_5_0"/>
      <w:bookmarkStart w:id="1641" w:name="Tc_IfCEcOIT8Uepei0C6AldjA_4_2"/>
      <w:bookmarkStart w:id="1642" w:name="Tc_APHT0VWPSEqEr1DCQ8c9mA_4_0"/>
      <w:bookmarkStart w:id="1643" w:name="Tc_T3dEj9LWHUuZzzcknxow4Q_3_7"/>
      <w:bookmarkStart w:id="1644" w:name="Tc_ufUkC-7hZkevyEBugy2wzQ_3_4"/>
      <w:bookmarkStart w:id="1645" w:name="Tc_lzasdMwLHUmTym2L1u8Ktg_3_2"/>
      <w:bookmarkStart w:id="1646" w:name="Tc_raFjP90Ob0q4cV3RAi-dJA_3_0"/>
      <w:bookmarkStart w:id="1647" w:name="Tc_yZMU8sNnKUyo3GbyxmD_Rw_2_0"/>
      <w:bookmarkStart w:id="1648" w:name="Tc_pYQPrDYFFUCFyfZv9I68KQ_1_7"/>
      <w:bookmarkStart w:id="1649" w:name="Tc_Iaj96kYewE-3sLswTw0Fag_1_4"/>
      <w:bookmarkStart w:id="1650" w:name="Tc_whc4We5Hc0uzlmVXQYiSiQ_1_2"/>
      <w:bookmarkStart w:id="1651" w:name="Tc_KGuErQBUNEampa0c2dTP9Q_1_0"/>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r>
        <w:rPr>
          <w:rFonts w:ascii="Times New Roman;Times;serif" w:hAnsi="Times New Roman;Times;serif"/>
          <w:sz w:val="20"/>
        </w:rPr>
        <w:t>The amounts of assets and liabilities and other information for the Company’s operating and finance leases are as follows:</w:t>
      </w:r>
    </w:p>
    <w:p>
      <w:pPr>
        <w:pStyle w:val="TextBody"/>
        <w:bidi w:val="0"/>
        <w:spacing w:before="0" w:after="0"/>
        <w:ind w:left="0" w:right="0" w:hanging="0"/>
        <w:jc w:val="left"/>
        <w:rPr/>
      </w:pPr>
      <w:r>
        <w:rPr/>
        <w:t>​</w:t>
      </w:r>
    </w:p>
    <w:tbl>
      <w:tblPr>
        <w:tblW w:w="8347" w:type="dxa"/>
        <w:jc w:val="left"/>
        <w:tblInd w:w="0" w:type="dxa"/>
        <w:tblLayout w:type="fixed"/>
        <w:tblCellMar>
          <w:top w:w="0" w:type="dxa"/>
          <w:left w:w="0" w:type="dxa"/>
          <w:bottom w:w="0" w:type="dxa"/>
          <w:right w:w="0" w:type="dxa"/>
        </w:tblCellMar>
      </w:tblPr>
      <w:tblGrid>
        <w:gridCol w:w="2056"/>
        <w:gridCol w:w="346"/>
        <w:gridCol w:w="2401"/>
        <w:gridCol w:w="346"/>
        <w:gridCol w:w="299"/>
        <w:gridCol w:w="962"/>
        <w:gridCol w:w="346"/>
        <w:gridCol w:w="338"/>
        <w:gridCol w:w="1253"/>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05560" cy="175260"/>
                      <wp:effectExtent l="0" t="0" r="0" b="0"/>
                      <wp:wrapNone/>
                      <wp:docPr id="396" name="Frame396"/>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524635" cy="175260"/>
                      <wp:effectExtent l="0" t="0" r="0" b="0"/>
                      <wp:wrapNone/>
                      <wp:docPr id="398" name="Frame39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89865" cy="175260"/>
                      <wp:effectExtent l="0" t="0" r="0" b="0"/>
                      <wp:wrapNone/>
                      <wp:docPr id="400" name="Frame40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10870" cy="175260"/>
                      <wp:effectExtent l="0" t="0" r="0" b="0"/>
                      <wp:wrapNone/>
                      <wp:docPr id="401" name="Frame40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4630" cy="175260"/>
                      <wp:effectExtent l="0" t="0" r="0" b="0"/>
                      <wp:wrapNone/>
                      <wp:docPr id="403" name="Frame40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95655" cy="175260"/>
                      <wp:effectExtent l="0" t="0" r="0" b="0"/>
                      <wp:wrapNone/>
                      <wp:docPr id="404" name="Frame404"/>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24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Caption</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4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3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right"/>
              <w:rPr/>
            </w:pPr>
            <w:r>
              <w:rPr/>
              <w:t>  ​</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 </w:t>
            </w:r>
          </w:p>
        </w:tc>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8,731</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11,256</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1"/>
              <w:ind w:left="0" w:right="0" w:hanging="0"/>
              <w:jc w:val="left"/>
              <w:rPr/>
            </w:pPr>
            <w:r>
              <w:rPr/>
              <w:t> </w:t>
            </w:r>
          </w:p>
        </w:tc>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17,922</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22,057</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right-of-use assets</w:t>
            </w:r>
          </w:p>
        </w:tc>
        <w:tc>
          <w:tcPr>
            <w:tcW w:w="346" w:type="dxa"/>
            <w:tcBorders/>
            <w:vAlign w:val="center"/>
          </w:tcPr>
          <w:p>
            <w:pPr>
              <w:pStyle w:val="TableContents"/>
              <w:bidi w:val="0"/>
              <w:spacing w:before="0" w:after="1"/>
              <w:ind w:left="0" w:right="0" w:hanging="0"/>
              <w:jc w:val="left"/>
              <w:rPr/>
            </w:pPr>
            <w:r>
              <w:rPr/>
              <w:t>​</w:t>
            </w:r>
          </w:p>
        </w:tc>
        <w:tc>
          <w:tcPr>
            <w:tcW w:w="24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26,653</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2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33,313</w:t>
            </w:r>
          </w:p>
        </w:tc>
      </w:tr>
      <w:tr>
        <w:trPr/>
        <w:tc>
          <w:tcPr>
            <w:tcW w:w="20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left"/>
              <w:rPr/>
            </w:pPr>
            <w:r>
              <w:rPr/>
              <w:t>​</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24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  ​</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1"/>
              <w:ind w:left="0" w:right="0" w:hanging="0"/>
              <w:jc w:val="left"/>
              <w:rPr/>
            </w:pPr>
            <w:r>
              <w:rPr/>
              <w:t> </w:t>
            </w:r>
          </w:p>
        </w:tc>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6,032</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6,789</w:t>
            </w:r>
          </w:p>
        </w:tc>
      </w:tr>
      <w:tr>
        <w:trPr/>
        <w:tc>
          <w:tcPr>
            <w:tcW w:w="20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3,123</w:t>
            </w:r>
          </w:p>
        </w:tc>
        <w:tc>
          <w:tcPr>
            <w:tcW w:w="34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1"/>
              <w:ind w:left="0" w:right="0" w:hanging="0"/>
              <w:jc w:val="left"/>
              <w:rPr/>
            </w:pPr>
            <w:r>
              <w:rPr/>
              <w:t> </w:t>
            </w:r>
          </w:p>
        </w:tc>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3,492</w:t>
            </w:r>
          </w:p>
        </w:tc>
      </w:tr>
      <w:tr>
        <w:trPr/>
        <w:tc>
          <w:tcPr>
            <w:tcW w:w="2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vAlign w:val="center"/>
          </w:tcPr>
          <w:p>
            <w:pPr>
              <w:pStyle w:val="TableContents"/>
              <w:bidi w:val="0"/>
              <w:spacing w:before="0" w:after="1"/>
              <w:ind w:left="0" w:right="0" w:hanging="0"/>
              <w:jc w:val="left"/>
              <w:rPr/>
            </w:pPr>
            <w:r>
              <w:rPr/>
              <w:t>​</w:t>
            </w:r>
          </w:p>
        </w:tc>
        <w:tc>
          <w:tcPr>
            <w:tcW w:w="24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10,261</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15,325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52" w:name="Tc_Fkrcb-grXEKWv3Ot7-KeuQ_7_5"/>
      <w:bookmarkStart w:id="1653" w:name="Tc_M0QXhWqUy0-me0DEjrpL-Q_7_2"/>
      <w:bookmarkStart w:id="1654" w:name="Tc_6LEbH6WJSU2Wr_vqrmvD8g_7_0"/>
      <w:bookmarkStart w:id="1655" w:name="Tc_NYKjIVl6AE61N-qsN4FykQ_6_0"/>
      <w:bookmarkStart w:id="1656" w:name="Tc_hQI8wrQH306u6nRfYA5Erw_5_0"/>
      <w:bookmarkStart w:id="1657" w:name="Tc_WxqB0Ct6OUynCLwGJpuUXQ_4_0"/>
      <w:bookmarkStart w:id="1658" w:name="Tc_Ud2rF3-cxkmRjKsXcBNJtQ_3_0"/>
      <w:bookmarkStart w:id="1659" w:name="Tc_u6TwVLB5Q06fp0pZCHJOFQ_2_5"/>
      <w:bookmarkStart w:id="1660" w:name="Tc__kQgNrVDtUmW6H1kVHmN0g_2_2"/>
      <w:bookmarkStart w:id="1661" w:name="Tc_w1GAR_Z0hUOnxp3akLYSHQ_2_0"/>
      <w:bookmarkStart w:id="1662" w:name="Tc_FDhEh5kgwkyXipyenzLkKA_1_5"/>
      <w:bookmarkStart w:id="1663" w:name="Tc_J-2x0xmvL0Cy14B5yFGWLA_1_2"/>
      <w:bookmarkStart w:id="1664" w:name="Tc_PmB3z1O7fkGivX1pyn6hAg_1_0"/>
      <w:bookmarkEnd w:id="1652"/>
      <w:bookmarkEnd w:id="1653"/>
      <w:bookmarkEnd w:id="1654"/>
      <w:bookmarkEnd w:id="1655"/>
      <w:bookmarkEnd w:id="1656"/>
      <w:bookmarkEnd w:id="1657"/>
      <w:bookmarkEnd w:id="1658"/>
      <w:bookmarkEnd w:id="1659"/>
      <w:bookmarkEnd w:id="1660"/>
      <w:bookmarkEnd w:id="1661"/>
      <w:bookmarkEnd w:id="1662"/>
      <w:bookmarkEnd w:id="1663"/>
      <w:bookmarkEnd w:id="1664"/>
      <w:r>
        <w:rPr>
          <w:rFonts w:ascii="Times New Roman;Times;serif" w:hAnsi="Times New Roman;Times;serif"/>
          <w:b/>
          <w:i w:val="false"/>
          <w:caps w:val="false"/>
          <w:smallCaps w:val="false"/>
          <w:sz w:val="20"/>
        </w:rPr>
        <w:t>10.</w:t>
      </w:r>
      <w:r>
        <w:rPr>
          <w:rFonts w:ascii="Times New Roman;Times;serif" w:hAnsi="Times New Roman;Times;serif"/>
          <w:b/>
          <w:sz w:val="20"/>
        </w:rPr>
        <w:t>Accruals and Provisions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Accruals mainly represent milestones not yet invoiced for inventory such as, but not limited to, batteries, integrated systems,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p>
      <w:pPr>
        <w:pStyle w:val="TextBody"/>
        <w:bidi w:val="0"/>
        <w:spacing w:before="0" w:after="0"/>
        <w:ind w:left="0" w:right="0" w:hanging="0"/>
        <w:jc w:val="left"/>
        <w:rPr/>
      </w:pPr>
      <w:r>
        <w:rPr/>
        <w:t>​</w:t>
      </w:r>
    </w:p>
    <w:tbl>
      <w:tblPr>
        <w:tblW w:w="6920" w:type="dxa"/>
        <w:jc w:val="left"/>
        <w:tblInd w:w="0" w:type="dxa"/>
        <w:tblLayout w:type="fixed"/>
        <w:tblCellMar>
          <w:top w:w="0" w:type="dxa"/>
          <w:left w:w="0" w:type="dxa"/>
          <w:bottom w:w="0" w:type="dxa"/>
          <w:right w:w="0" w:type="dxa"/>
        </w:tblCellMar>
      </w:tblPr>
      <w:tblGrid>
        <w:gridCol w:w="3376"/>
        <w:gridCol w:w="346"/>
        <w:gridCol w:w="268"/>
        <w:gridCol w:w="993"/>
        <w:gridCol w:w="346"/>
        <w:gridCol w:w="306"/>
        <w:gridCol w:w="1285"/>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143760" cy="175260"/>
                      <wp:effectExtent l="0" t="0" r="0" b="0"/>
                      <wp:wrapNone/>
                      <wp:docPr id="405" name="Frame40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6"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70180" cy="175260"/>
                      <wp:effectExtent l="0" t="0" r="0" b="0"/>
                      <wp:wrapNone/>
                      <wp:docPr id="407" name="Frame40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30555" cy="175260"/>
                      <wp:effectExtent l="0" t="0" r="0" b="0"/>
                      <wp:wrapNone/>
                      <wp:docPr id="408" name="Frame408"/>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94310" cy="175260"/>
                      <wp:effectExtent l="0" t="0" r="0" b="0"/>
                      <wp:wrapNone/>
                      <wp:docPr id="410" name="Frame410"/>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815975" cy="175260"/>
                      <wp:effectExtent l="0" t="0" r="0" b="0"/>
                      <wp:wrapNone/>
                      <wp:docPr id="411" name="Frame411"/>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218,848</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203,410</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with related parties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6,353</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for software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 for expected project losses</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c>
          <w:tcPr>
            <w:tcW w:w="346"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15,684</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warranty accrual</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22,648</w:t>
            </w:r>
          </w:p>
        </w:tc>
        <w:tc>
          <w:tcPr>
            <w:tcW w:w="346" w:type="dxa"/>
            <w:tcBorders/>
            <w:shd w:fill="CCEEFF" w:val="clear"/>
            <w:vAlign w:val="center"/>
          </w:tcPr>
          <w:p>
            <w:pPr>
              <w:pStyle w:val="TableContents"/>
              <w:bidi w:val="0"/>
              <w:spacing w:before="0" w:after="1"/>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20,765</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254,610</w:t>
            </w:r>
          </w:p>
        </w:tc>
        <w:tc>
          <w:tcPr>
            <w:tcW w:w="346"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246,235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6, 2024, Fluence Energy, Inc. entered into Amendment Number Three (“Amendment No. 3”) to the asset-based syndicated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converting the outstanding asset-based lending facility into a senior secured cash flow revolving credit facility in an initial aggregate principal amount of up to $500.0 million (the “Revolver”). On March 31, 2026, we entered into Amendment Number Four (“Amendment No. 4”) to the 2024 Credit Agreement (such agreement, as so amended by Amendment No. 4, the “Credit Agreement”). Capitalized terms used in this subsection that are not otherwise defined are defined in the 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maturity, which shall accrue at the rate of 0.50% per annum. The Credit Agreement provides for a cash draw sublimit of $150.0 million as well as a letter of credit sublimit in the amount of $500.0 million if certain conditions are met.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Credit Agreement limits our ability to make certain payments. Following the entry into Amendment No. 4, the Credit Agreement now requires the borrowers to post $50.0 million in cash collateral if the Total Revolving Extensions of Credit exceed $450.0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Amendment No. 4 extended the Trigger Date under the Credit Agreement from December 31, 2025 to December 31, 2026. From the time of entry into Amendment No. 3 through the time of entry into Amendment No. 4, we were required to maintain (i) Total Liquidity of no less than $150.0 million through and including December 31, 2025, (ii) from January 1, 2026 and thereafter, (a) Total Liquidity of no less than $100.0 million and (b) Consolidated Leverage Ratio as of the last day of any Measurement Period not to exceed 3.50:1.00, and (iii) certain other financial requirements on certain dates. Pursuant to the changes to the Credit Agreement upon entry into Amendment No. 4 on March 31, 2026, we are now required to maintain (i) Total Liquidity of no less than $150.0 million through and including December 31, 2026, (ii) from January 1, 2027, and thereafter, (a) Total Liquidity of no less than $100.0 million and (b) Consolidated Leverage Ratio as of the last day of any Measurement Period not to exceed 3.50:1.00, and (iii) certain other financial requirements on certain dates. Such covenants are tested on a quarterly basis and upon the occurrence of other certain restricted payments, the incurrence of indebtedness, certain dispositions, and other specified transactions. As of March 31, 2026, we were in compliance with all such covenants.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 loans outstanding to be due and payable in whole or in part, and exercise other rights and remedies. The maturity date and the date of termination of lending commitments under the Credit Agreement is November 22, 2027. As of March 31, 2026, there are no cash borrowings under the Revolver, and there are $162.8 million letters of credit outstanding under the Revolver, with remaining availability of $337.2 million, net of letters of credit issued.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Convertible Senior Notes, Net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2030 Convertible Senior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(1)during any calendar quarter (and only during such calendar quarter) commencing after the calendar quarter ended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bookmarkStart w:id="1665" w:name="Tc_D_6H05FmCk-b6WxyKeL5Hw_4_14"/>
      <w:bookmarkStart w:id="1666" w:name="Tc_Fd-PBK5pQUq7MoQmioTEOQ_4_11"/>
      <w:bookmarkStart w:id="1667" w:name="Tc_d597H6C7d0eNjXbFsKsM2g_4_8"/>
      <w:bookmarkStart w:id="1668" w:name="Tc_NF1eWBZSiU2BycAmH2Pzxw_4_5"/>
      <w:bookmarkStart w:id="1669" w:name="Tc_pCAlJHoM_UiiP99XtDmWLQ_4_2"/>
      <w:bookmarkStart w:id="1670" w:name="Tc_P4kzZDdehkSC74w9O0bIDA_4_0"/>
      <w:bookmarkStart w:id="1671" w:name="Tc_O8ucmdSql0SYK3ZR7KmorQ_3_14"/>
      <w:bookmarkStart w:id="1672" w:name="Tc_6C6LhVbR50mqmVuW5uOmEA_3_11"/>
      <w:bookmarkStart w:id="1673" w:name="Tc_yMGSX1lACEix_UXPTb7zVg_3_8"/>
      <w:bookmarkStart w:id="1674" w:name="Tc_KrJuOsWTAEKZ4aHiLunwyQ_3_5"/>
      <w:bookmarkStart w:id="1675" w:name="Tc_CplIFxG3Wk2n2AkWalajbQ_3_2"/>
      <w:bookmarkStart w:id="1676" w:name="Tc_fJ5vUSyVU0uNR9Rg0QCeGA_3_0"/>
      <w:bookmarkStart w:id="1677" w:name="Tc_FqwPA-1dWEyo1wWkhR3SkQ_2_11"/>
      <w:bookmarkStart w:id="1678" w:name="Tc_sxgP5jFm80CpWWMvHDSA1A_2_8"/>
      <w:bookmarkStart w:id="1679" w:name="Tc_Iv3FRUHu6UurMRODCrjPdA_2_5"/>
      <w:bookmarkStart w:id="1680" w:name="Tc_m05fl2ZDgUW-j5D9WN2X0Q_2_2"/>
      <w:bookmarkStart w:id="1681" w:name="Tc_-GKT-IGzm0-p1dJMON-R8g_1_5"/>
      <w:bookmarkStart w:id="1682" w:name="_65172580_86cc_4263_a100_dede0dbf048c"/>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r>
        <w:rPr>
          <w:rFonts w:ascii="Times New Roman;Times;serif" w:hAnsi="Times New Roman;Times;serif"/>
          <w:sz w:val="20"/>
        </w:rPr>
        <w:t>(2)during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(3)upon the occurrence of specified corporate events, as set forth in the Indenture; or</w:t>
      </w:r>
    </w:p>
    <w:p>
      <w:pPr>
        <w:pStyle w:val="TextBody"/>
        <w:bidi w:val="0"/>
        <w:ind w:left="360" w:right="0" w:hanging="0"/>
        <w:jc w:val="both"/>
        <w:rPr>
          <w:rFonts w:ascii="Times New Roman;Times;serif" w:hAnsi="Times New Roman;Times;serif"/>
          <w:sz w:val="20"/>
        </w:rPr>
      </w:pPr>
      <w:r>
        <w:rPr>
          <w:rFonts w:ascii="Times New Roman;Times;serif" w:hAnsi="Times New Roman;Times;serif"/>
          <w:sz w:val="20"/>
        </w:rPr>
        <w:t>(4)if the Company calls any or all the 2030 Convertible Senior Notes for redemption, but only with respect to such 2030 Convertible Senior Notes called for redemption.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or after March 15, 2030, holders may convert their 2030 Convertible Senior Notes at any time until the close of business on the second scheduled trading day immediately before June 15, 2030.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 accrued and unpaid interest to, but excluding, the “fundamental change repurchase date” (as defined in the Indenture).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net carrying value and fair value of the 2030 Convertible Senior Notes as of March 31, 2026:</w:t>
      </w:r>
    </w:p>
    <w:tbl>
      <w:tblPr>
        <w:tblW w:w="9358" w:type="dxa"/>
        <w:jc w:val="left"/>
        <w:tblInd w:w="0" w:type="dxa"/>
        <w:tblLayout w:type="fixed"/>
        <w:tblCellMar>
          <w:top w:w="0" w:type="dxa"/>
          <w:left w:w="0" w:type="dxa"/>
          <w:bottom w:w="0" w:type="dxa"/>
          <w:right w:w="0" w:type="dxa"/>
        </w:tblCellMar>
      </w:tblPr>
      <w:tblGrid>
        <w:gridCol w:w="2641"/>
        <w:gridCol w:w="346"/>
        <w:gridCol w:w="211"/>
        <w:gridCol w:w="781"/>
        <w:gridCol w:w="346"/>
        <w:gridCol w:w="274"/>
        <w:gridCol w:w="822"/>
        <w:gridCol w:w="346"/>
        <w:gridCol w:w="229"/>
        <w:gridCol w:w="852"/>
        <w:gridCol w:w="346"/>
        <w:gridCol w:w="211"/>
        <w:gridCol w:w="781"/>
        <w:gridCol w:w="346"/>
        <w:gridCol w:w="826"/>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677035" cy="175260"/>
                      <wp:effectExtent l="0" t="0" r="0" b="0"/>
                      <wp:wrapNone/>
                      <wp:docPr id="412" name="Frame412"/>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495935" cy="175260"/>
                      <wp:effectExtent l="0" t="0" r="0" b="0"/>
                      <wp:wrapNone/>
                      <wp:docPr id="415" name="Frame4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73990" cy="175260"/>
                      <wp:effectExtent l="0" t="0" r="0" b="0"/>
                      <wp:wrapNone/>
                      <wp:docPr id="417" name="Frame41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21970" cy="175260"/>
                      <wp:effectExtent l="0" t="0" r="0" b="0"/>
                      <wp:wrapNone/>
                      <wp:docPr id="418" name="Frame418"/>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5415" cy="175260"/>
                      <wp:effectExtent l="0" t="0" r="0" b="0"/>
                      <wp:wrapNone/>
                      <wp:docPr id="420" name="Frame42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541020" cy="175260"/>
                      <wp:effectExtent l="0" t="0" r="0" b="0"/>
                      <wp:wrapNone/>
                      <wp:docPr id="421" name="Frame421"/>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95935" cy="175260"/>
                      <wp:effectExtent l="0" t="0" r="0" b="0"/>
                      <wp:wrapNone/>
                      <wp:docPr id="424" name="Frame4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24510" cy="175260"/>
                      <wp:effectExtent l="0" t="0" r="0" b="0"/>
                      <wp:wrapNone/>
                      <wp:docPr id="426" name="Frame4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46" w:type="dxa"/>
            <w:tcBorders/>
            <w:vAlign w:val="center"/>
          </w:tcPr>
          <w:p>
            <w:pPr>
              <w:pStyle w:val="TableContents"/>
              <w:bidi w:val="0"/>
              <w:spacing w:before="0" w:after="1"/>
              <w:ind w:left="0" w:right="0" w:hanging="0"/>
              <w:jc w:val="center"/>
              <w:rPr/>
            </w:pPr>
            <w:r>
              <w:rPr/>
              <w:t>  ​ ​ ​</w:t>
            </w:r>
          </w:p>
        </w:tc>
        <w:tc>
          <w:tcPr>
            <w:tcW w:w="229" w:type="dxa"/>
            <w:tcBorders/>
            <w:vAlign w:val="center"/>
          </w:tcPr>
          <w:p>
            <w:pPr>
              <w:pStyle w:val="TableContents"/>
              <w:bidi w:val="0"/>
              <w:spacing w:before="0" w:after="1"/>
              <w:ind w:left="0" w:right="0" w:hanging="0"/>
              <w:jc w:val="center"/>
              <w:rPr/>
            </w:pPr>
            <w:r>
              <w:rPr/>
              <w:t>​</w:t>
            </w:r>
          </w:p>
        </w:tc>
        <w:tc>
          <w:tcPr>
            <w:tcW w:w="85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pPr>
            <w:r>
              <w:rPr/>
              <w:t>​</w:t>
            </w:r>
          </w:p>
        </w:tc>
      </w:tr>
      <w:tr>
        <w:trPr/>
        <w:tc>
          <w:tcPr>
            <w:tcW w:w="2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Debt Issuance</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346" w:type="dxa"/>
            <w:tcBorders/>
            <w:vAlign w:val="center"/>
          </w:tcPr>
          <w:p>
            <w:pPr>
              <w:pStyle w:val="TableContents"/>
              <w:bidi w:val="0"/>
              <w:spacing w:before="0" w:after="1"/>
              <w:ind w:left="0" w:right="0" w:hanging="0"/>
              <w:jc w:val="center"/>
              <w:rPr/>
            </w:pPr>
            <w:r>
              <w:rPr/>
              <w:t>​</w:t>
            </w:r>
          </w:p>
        </w:tc>
        <w:tc>
          <w:tcPr>
            <w:tcW w:w="21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4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Leveling</w:t>
            </w:r>
          </w:p>
        </w:tc>
      </w:tr>
      <w:tr>
        <w:trPr/>
        <w:tc>
          <w:tcPr>
            <w:tcW w:w="26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Convertible Senior Notes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(8,293)</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404,392</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Level 2</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was determined based on the quoted prices of the 2030 Convertible Senior Notes in an inactive market on the last traded day of the quarter ended March 31, 2026 and has been classified as Level 2 in the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83" w:name="Tc_ua-rtGLKL0WVmZrsMTFEQg_5_11"/>
      <w:bookmarkStart w:id="1684" w:name="Tc_vI3Q5QlQMU6YU7VpYoNKnQ_5_8"/>
      <w:bookmarkStart w:id="1685" w:name="Tc_imtVbTCJf0ChJ3jtAWTH9w_5_5"/>
      <w:bookmarkStart w:id="1686" w:name="Tc_GhcFAQ-wiUq7ZT6MhRySCw_5_2"/>
      <w:bookmarkStart w:id="1687" w:name="Tc_xNl97L2aQEOlVU4iK8XXwQ_5_0"/>
      <w:bookmarkStart w:id="1688" w:name="Tc_toUtaPcgkk6dZqegSaV4kg_4_0"/>
      <w:bookmarkStart w:id="1689" w:name="Tc_3c2Z0a2b-0-cdFsUcQ-wXg_3_11"/>
      <w:bookmarkStart w:id="1690" w:name="Tc_ZUguwVhoLk-BX1Hh3Iz4tQ_3_8"/>
      <w:bookmarkStart w:id="1691" w:name="Tc_DZGRWKWtS0Ws17FfiFGr9w_3_5"/>
      <w:bookmarkStart w:id="1692" w:name="Tc_-BYTv0l-jkaSRPfNAWSpAA_3_2"/>
      <w:bookmarkStart w:id="1693" w:name="Tc_a8LTJO4XHkaIEoUthW8DxA_3_0"/>
      <w:bookmarkStart w:id="1694" w:name="Tc_CGhkbFKzPUm_-8VJckM5Pw_2_11"/>
      <w:bookmarkStart w:id="1695" w:name="Tc_lhjMofvRukO95T_fMYRa1g_2_8"/>
      <w:bookmarkStart w:id="1696" w:name="Tc_LhSOGclqKUqY4xq8FRbDHw_2_5"/>
      <w:bookmarkStart w:id="1697" w:name="Tc_mbPWfltIbEyuabMBGD5NKQ_2_2"/>
      <w:bookmarkStart w:id="1698" w:name="Tc_uZt9ycso_kuFiqS-BcPEKA_2_0"/>
      <w:bookmarkStart w:id="1699" w:name="Tc_5NgVy84OekisepBI6iTRWw_1_8"/>
      <w:bookmarkStart w:id="1700" w:name="Tc_moAF0OKR0UOSyEvBmn-BMg_1_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r>
        <w:rPr>
          <w:rFonts w:ascii="Times New Roman;Times;serif" w:hAnsi="Times New Roman;Times;serif"/>
          <w:sz w:val="20"/>
        </w:rPr>
        <w:t>The following table presents the interest expense recognized related to the 2030 Convertible Senior Notes:</w:t>
      </w:r>
    </w:p>
    <w:p>
      <w:pPr>
        <w:pStyle w:val="TextBody"/>
        <w:bidi w:val="0"/>
        <w:spacing w:before="0" w:after="0"/>
        <w:ind w:left="0" w:right="0" w:hanging="0"/>
        <w:jc w:val="left"/>
        <w:rPr/>
      </w:pPr>
      <w:r>
        <w:rPr/>
        <w:t>​</w:t>
      </w:r>
    </w:p>
    <w:tbl>
      <w:tblPr>
        <w:tblW w:w="8339" w:type="dxa"/>
        <w:jc w:val="left"/>
        <w:tblInd w:w="0" w:type="dxa"/>
        <w:tblLayout w:type="fixed"/>
        <w:tblCellMar>
          <w:top w:w="0" w:type="dxa"/>
          <w:left w:w="0" w:type="dxa"/>
          <w:bottom w:w="0" w:type="dxa"/>
          <w:right w:w="0" w:type="dxa"/>
        </w:tblCellMar>
      </w:tblPr>
      <w:tblGrid>
        <w:gridCol w:w="3001"/>
        <w:gridCol w:w="346"/>
        <w:gridCol w:w="264"/>
        <w:gridCol w:w="717"/>
        <w:gridCol w:w="434"/>
        <w:gridCol w:w="264"/>
        <w:gridCol w:w="719"/>
        <w:gridCol w:w="346"/>
        <w:gridCol w:w="235"/>
        <w:gridCol w:w="637"/>
        <w:gridCol w:w="385"/>
        <w:gridCol w:w="235"/>
        <w:gridCol w:w="75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905635" cy="175260"/>
                      <wp:effectExtent l="0" t="0" r="0" b="0"/>
                      <wp:wrapNone/>
                      <wp:docPr id="427" name="Frame427"/>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67640" cy="175260"/>
                      <wp:effectExtent l="0" t="0" r="0" b="0"/>
                      <wp:wrapNone/>
                      <wp:docPr id="429" name="Frame42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55295" cy="175260"/>
                      <wp:effectExtent l="0" t="0" r="0" b="0"/>
                      <wp:wrapNone/>
                      <wp:docPr id="430" name="Frame430"/>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75590" cy="175260"/>
                      <wp:effectExtent l="0" t="0" r="0" b="0"/>
                      <wp:wrapNone/>
                      <wp:docPr id="431" name="Frame431"/>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67640" cy="175260"/>
                      <wp:effectExtent l="0" t="0" r="0" b="0"/>
                      <wp:wrapNone/>
                      <wp:docPr id="432" name="Frame432"/>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56565" cy="175260"/>
                      <wp:effectExtent l="0" t="0" r="0" b="0"/>
                      <wp:wrapNone/>
                      <wp:docPr id="433" name="Frame433"/>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4"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49225" cy="175260"/>
                      <wp:effectExtent l="0" t="0" r="0" b="0"/>
                      <wp:wrapNone/>
                      <wp:docPr id="435" name="Frame43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04495" cy="175260"/>
                      <wp:effectExtent l="0" t="0" r="0" b="0"/>
                      <wp:wrapNone/>
                      <wp:docPr id="436" name="Frame436"/>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44475" cy="175260"/>
                      <wp:effectExtent l="0" t="0" r="0" b="0"/>
                      <wp:wrapNone/>
                      <wp:docPr id="437" name="Frame43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49225" cy="175260"/>
                      <wp:effectExtent l="0" t="0" r="0" b="0"/>
                      <wp:wrapNone/>
                      <wp:docPr id="438" name="Frame43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80060" cy="175260"/>
                      <wp:effectExtent l="0" t="0" r="0" b="0"/>
                      <wp:wrapNone/>
                      <wp:docPr id="439" name="Frame439"/>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  ​ ​ ​</w:t>
            </w:r>
          </w:p>
        </w:tc>
        <w:tc>
          <w:tcPr>
            <w:tcW w:w="22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30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4" w:type="dxa"/>
            <w:tcBorders/>
            <w:vAlign w:val="center"/>
          </w:tcPr>
          <w:p>
            <w:pPr>
              <w:pStyle w:val="TableContents"/>
              <w:bidi w:val="0"/>
              <w:spacing w:before="0" w:after="1"/>
              <w:ind w:left="0" w:right="0" w:hanging="0"/>
              <w:jc w:val="center"/>
              <w:rPr/>
            </w:pPr>
            <w:r>
              <w:rPr/>
              <w:t>  ​ ​ ​</w:t>
            </w:r>
          </w:p>
        </w:tc>
        <w:tc>
          <w:tcPr>
            <w:tcW w:w="9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Coupon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434"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85"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2,725</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434"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385"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w:t>
            </w:r>
          </w:p>
        </w:tc>
        <w:tc>
          <w:tcPr>
            <w:tcW w:w="434"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2,688</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5,404</w:t>
            </w:r>
          </w:p>
        </w:tc>
        <w:tc>
          <w:tcPr>
            <w:tcW w:w="385"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3,259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Capped Call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2030 Convertible Senior Notes, the Company has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Capped Calls are generally expected to offset the potential dilution to the Company’s Class A common stock upon any conversion of the 2030 Convertible Senior Notes and/or offset any cash payments the Company is required to make in excess of the principal amount of any converted 2030 Convertible Senior Notes, with such reduction and/or offset subject to a cap.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provision for income taxes is based on the estimated annual effective tax rate, plus discrete items.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expense (benefit) was $1.5 million and $(2.0) million for the three months ended March 31, 2026 and 2025, respectively. The effective tax rate for the three months ended March 31, 2026 and 2025 was (5.6)% and 4.5%, respectively. For the three months ended March 31, 2026, the Company’s effective tax rate differs from the U.S. statutory tax rate of 21% primarily due to valuation allowances.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expense (benefit) was $(6.3) million and $(3.7) million for the six months ended March 31, 2026 and 2025, respectively. The effective tax rate for the six months ended March 31, 2026 and 2025 was 6.5% and 3.6%, respectively. For the six months ended March 31, 2026, the Company’s effective tax rate differs from the U.S. statutory tax rate of 21% primarily due to valuation allowances.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and September 30, 2025, the Company does not believe it has any significant uncertain tax positions and therefore, has not recorded any unrecognized tax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evaluates the realizability of its deferred tax assets on a quarterly basis and establishes valuation allowances when it is more-likely-than-not that all or a portion of a deferred tax asset may not be realized. As of March 31, 2026 and September 30, 2025,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dated October 27, 2021, by and among Fluence Energy, Inc., Fluence Energy, LLC, Siemens Industry, Inc. and AES Grid Stability, LLC (the “Tax Receivable Agreement”), is released in a future period, a Tax Receivable Agreement liability will be recorded based on the amounts probable and reasonably estimable in accordance with ASC 450.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Organization for Economic Cooperation and Development’s (“OECD”) Pillar II Initiative introduced a 15% global minimum tax for certain multinational groups exceeding minimum annual global revenue thresholds. Some countries in which the Company operates have enacted legislation adopting the minimum tax effective January 1, 2024. To date, the Company does not expect a material top up tax liability to be incurred as a result of the Pillar II provisions. Certain tax jurisdictions either did not have Pillar II enacted for the current fiscal year or the Company has satisfied one or more of the safe harbor tests to prevent any minimum tax under Pillar II. The Company will continue to monitor its jurisdictions for any changes and include appropriate minimum tax throughout the fiscal year.</w:t>
      </w:r>
    </w:p>
    <w:p>
      <w:pPr>
        <w:pStyle w:val="TextBody"/>
        <w:bidi w:val="0"/>
        <w:spacing w:before="0" w:after="240"/>
        <w:ind w:left="0" w:right="0" w:hanging="0"/>
        <w:jc w:val="left"/>
        <w:rPr>
          <w:rFonts w:ascii="Times New Roman;Times;serif" w:hAnsi="Times New Roman;Times;serif"/>
          <w:b/>
          <w:sz w:val="20"/>
        </w:rPr>
      </w:pPr>
      <w:bookmarkStart w:id="1701" w:name="Tc_SvliAKrlz0ytXXmQN_2gwQ_7_5"/>
      <w:bookmarkStart w:id="1702" w:name="Tc_OlUOX0GkKkqFQEzfLSGtow_7_2"/>
      <w:bookmarkStart w:id="1703" w:name="Tc_-5WjGyA0FEaen65vWUWmhg_7_0"/>
      <w:bookmarkStart w:id="1704" w:name="Tc_ihZYtAp-DEeM4R92zH0W2A_6_5"/>
      <w:bookmarkStart w:id="1705" w:name="Tc_E7LJcHKlh0SJ3im2y2CrJA_6_0"/>
      <w:bookmarkStart w:id="1706" w:name="Tc_DMfm6pOhMUS8Zb46Uq3wdA_5_0"/>
      <w:bookmarkStart w:id="1707" w:name="Tc_vN2ZSPnoPUS7UKlnZzUAqw_4_0"/>
      <w:bookmarkStart w:id="1708" w:name="Tc_gbl4VQfeb0GvABv1awuncg_3_0"/>
      <w:bookmarkStart w:id="1709" w:name="Tc_T4DaPtk2OEqeZMbZF4THMA_2_6"/>
      <w:bookmarkStart w:id="1710" w:name="Tc_fs1vQO05JkyBPUZzzD9pFw_2_0"/>
      <w:bookmarkStart w:id="1711" w:name="Tc_VnnqzMolH0K-XKseOv_0Og_1_5"/>
      <w:bookmarkStart w:id="1712" w:name="Tc_1yIo9xRylEuN15BzWXf7pQ_1_2"/>
      <w:bookmarkStart w:id="1713" w:name="Tc_ERFY30-CcE-jj1fRkbNqTA_1_0"/>
      <w:bookmarkStart w:id="1714" w:name="Tc_ZgrIzm9kYk2BFfgn3kXfJg_8_2"/>
      <w:bookmarkStart w:id="1715" w:name="Tc_HmjN87Wuw0iqjqaHVRWUfw_8_0"/>
      <w:bookmarkStart w:id="1716" w:name="Tc_9YY8UCCFIkGDTFgrQQ8xAg_7_8"/>
      <w:bookmarkStart w:id="1717" w:name="Tc_p3oOe6D4zki8x4QHRPGN5A_7_0"/>
      <w:bookmarkStart w:id="1718" w:name="Tc__yS1aIFuh02Ia51yQ6jBnQ_6_8"/>
      <w:bookmarkStart w:id="1719" w:name="Tc_qn6LFlVAV02KVdiJik_HZw_6_0"/>
      <w:bookmarkStart w:id="1720" w:name="Tc_C6G157kdJ0mrW_KcPAAQEQ_5_8"/>
      <w:bookmarkStart w:id="1721" w:name="Tc_gV4mA6Be8EmhiUO_HnmbNw_5_0"/>
      <w:bookmarkStart w:id="1722" w:name="Tc_VlfzUAqyUEOAnCkuDD75wQ_4_8"/>
      <w:bookmarkStart w:id="1723" w:name="Tc_9RT7B1VJ-ESCKS-XdaSNRQ_4_7"/>
      <w:bookmarkStart w:id="1724" w:name="Tc_lwo8tsWFfkSFnwEwMAj9OQ_4_2"/>
      <w:bookmarkStart w:id="1725" w:name="Tc_9tNJGC_kOE2M-p0rsEjsDw_4_0"/>
      <w:bookmarkStart w:id="1726" w:name="Tc_DFNr1kmMxE2V-msDLll8SA_3_7"/>
      <w:bookmarkStart w:id="1727" w:name="Tc_JElsGXbV3Uy4EYtXw8c0dQ_3_5"/>
      <w:bookmarkStart w:id="1728" w:name="Tc_mIAMMdOkVkGghTgkjx-RDg_3_2"/>
      <w:bookmarkStart w:id="1729" w:name="Tc_SJH51f6XvkeDbCO0LbcGVA_2_7"/>
      <w:bookmarkStart w:id="1730" w:name="Tc_U8g57FHhL0eeJUB1736K0g_2_5"/>
      <w:bookmarkStart w:id="1731" w:name="Tc_BqeMWil0wEOZEUyj7pNpfQ_2_2"/>
      <w:bookmarkStart w:id="1732" w:name="Tc_dNDWsz6OVEyEpuTuQzm_cg_1_7"/>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r>
        <w:rPr>
          <w:rFonts w:ascii="Times New Roman;Times;serif" w:hAnsi="Times New Roman;Times;serif"/>
          <w:b/>
          <w:i w:val="false"/>
          <w:caps w:val="false"/>
          <w:smallCaps w:val="false"/>
          <w:sz w:val="20"/>
        </w:rPr>
        <w:t>14.</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Guarantees, Commitments, Letters of Credit, and Surety Bonds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the Company had outstanding bank guarantees, parent company guarantees, letters of credit, and surety bonds issued as performance security arrangements associated with a number of our customer projects. In addition, we have a limited number of parent company guarantees and letters of credit issued as payment security to certain vendors. 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contingent contractual obligations as of March 31, 2026.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p>
      <w:pPr>
        <w:pStyle w:val="TextBody"/>
        <w:bidi w:val="0"/>
        <w:spacing w:before="0" w:after="0"/>
        <w:ind w:left="0" w:right="0" w:hanging="0"/>
        <w:jc w:val="left"/>
        <w:rPr/>
      </w:pPr>
      <w:r>
        <w:rPr/>
        <w:t>​</w:t>
      </w:r>
    </w:p>
    <w:tbl>
      <w:tblPr>
        <w:tblW w:w="9036" w:type="dxa"/>
        <w:jc w:val="left"/>
        <w:tblInd w:w="0" w:type="dxa"/>
        <w:tblLayout w:type="fixed"/>
        <w:tblCellMar>
          <w:top w:w="0" w:type="dxa"/>
          <w:left w:w="0" w:type="dxa"/>
          <w:bottom w:w="0" w:type="dxa"/>
          <w:right w:w="0" w:type="dxa"/>
        </w:tblCellMar>
      </w:tblPr>
      <w:tblGrid>
        <w:gridCol w:w="3886"/>
        <w:gridCol w:w="346"/>
        <w:gridCol w:w="279"/>
        <w:gridCol w:w="756"/>
        <w:gridCol w:w="346"/>
        <w:gridCol w:w="961"/>
        <w:gridCol w:w="346"/>
        <w:gridCol w:w="479"/>
        <w:gridCol w:w="1637"/>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467610" cy="175260"/>
                      <wp:effectExtent l="0" t="0" r="0" b="0"/>
                      <wp:wrapNone/>
                      <wp:docPr id="440" name="Frame440"/>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7165" cy="175260"/>
                      <wp:effectExtent l="0" t="0" r="0" b="0"/>
                      <wp:wrapNone/>
                      <wp:docPr id="442" name="Frame44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80060" cy="175260"/>
                      <wp:effectExtent l="0" t="0" r="0" b="0"/>
                      <wp:wrapNone/>
                      <wp:docPr id="443" name="Frame44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10235" cy="175260"/>
                      <wp:effectExtent l="0" t="0" r="0" b="0"/>
                      <wp:wrapNone/>
                      <wp:docPr id="445" name="Frame44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6"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04165" cy="175260"/>
                      <wp:effectExtent l="0" t="0" r="0" b="0"/>
                      <wp:wrapNone/>
                      <wp:docPr id="447" name="Frame447"/>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039495" cy="175260"/>
                      <wp:effectExtent l="0" t="0" r="0" b="0"/>
                      <wp:wrapNone/>
                      <wp:docPr id="448" name="Frame448"/>
                      <a:graphic xmlns:a="http://schemas.openxmlformats.org/drawingml/2006/main">
                        <a:graphicData uri="http://schemas.microsoft.com/office/word/2010/wordprocessingShape">
                          <wps:wsp>
                            <wps:cNvSpPr txBox="1"/>
                            <wps:spPr>
                              <a:xfrm>
                                <a:off x="0" y="0"/>
                                <a:ext cx="1039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9" w:type="dxa"/>
            <w:tcBorders/>
            <w:vAlign w:val="center"/>
          </w:tcPr>
          <w:p>
            <w:pPr>
              <w:pStyle w:val="TableContents"/>
              <w:bidi w:val="0"/>
              <w:spacing w:before="0" w:after="0"/>
              <w:ind w:left="0" w:right="0" w:hanging="0"/>
              <w:jc w:val="center"/>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Exposure Range</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before="0" w:after="0"/>
              <w:ind w:left="0" w:right="0" w:hanging="0"/>
              <w:jc w:val="center"/>
              <w:rPr/>
            </w:pPr>
            <w:r>
              <w:rPr/>
              <w:t>​</w:t>
            </w:r>
          </w:p>
        </w:tc>
        <w:tc>
          <w:tcPr>
            <w:tcW w:w="21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Each Agreement</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Agreements</w:t>
            </w:r>
          </w:p>
        </w:tc>
        <w:tc>
          <w:tcPr>
            <w:tcW w:w="346" w:type="dxa"/>
            <w:tcBorders/>
            <w:vAlign w:val="center"/>
          </w:tcPr>
          <w:p>
            <w:pPr>
              <w:pStyle w:val="TableContents"/>
              <w:bidi w:val="0"/>
              <w:spacing w:before="0" w:after="0"/>
              <w:ind w:left="0" w:right="0" w:hanging="0"/>
              <w:jc w:val="center"/>
              <w:rPr/>
            </w:pPr>
            <w:r>
              <w:rPr/>
              <w:t>​</w:t>
            </w:r>
          </w:p>
        </w:tc>
        <w:tc>
          <w:tcPr>
            <w:tcW w:w="2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Guarantees and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0 - 436.9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under bilateral credit facilities</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 </w:t>
            </w:r>
          </w:p>
        </w:tc>
        <w:tc>
          <w:tcPr>
            <w:tcW w:w="1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0.1 - 3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Letters of credit under Revolver</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 </w:t>
            </w:r>
          </w:p>
        </w:tc>
        <w:tc>
          <w:tcPr>
            <w:tcW w:w="1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0 - 22.5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Surety bonds</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0 - 79.2</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commitments for minimum volumes or spend under master supply agreements with our vendors. The majority of the commitments are for purchases of battery cells and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cells and modules, and liquidated damages, if the minimum purchase volumes or spend are not met, as of March 31, 2026:</w:t>
      </w:r>
    </w:p>
    <w:p>
      <w:pPr>
        <w:pStyle w:val="TextBody"/>
        <w:bidi w:val="0"/>
        <w:spacing w:before="0" w:after="0"/>
        <w:ind w:left="0" w:right="0" w:hanging="0"/>
        <w:jc w:val="left"/>
        <w:rPr/>
      </w:pPr>
      <w:r>
        <w:rPr/>
        <w:t>​</w:t>
      </w:r>
    </w:p>
    <w:tbl>
      <w:tblPr>
        <w:tblW w:w="5780" w:type="dxa"/>
        <w:jc w:val="left"/>
        <w:tblInd w:w="0" w:type="dxa"/>
        <w:tblLayout w:type="fixed"/>
        <w:tblCellMar>
          <w:top w:w="0" w:type="dxa"/>
          <w:left w:w="0" w:type="dxa"/>
          <w:bottom w:w="0" w:type="dxa"/>
          <w:right w:w="0" w:type="dxa"/>
        </w:tblCellMar>
      </w:tblPr>
      <w:tblGrid>
        <w:gridCol w:w="1696"/>
        <w:gridCol w:w="346"/>
        <w:gridCol w:w="324"/>
        <w:gridCol w:w="1432"/>
        <w:gridCol w:w="346"/>
        <w:gridCol w:w="314"/>
        <w:gridCol w:w="1322"/>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076960" cy="175260"/>
                      <wp:effectExtent l="0" t="0" r="0" b="0"/>
                      <wp:wrapNone/>
                      <wp:docPr id="449" name="Frame44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5740" cy="175260"/>
                      <wp:effectExtent l="0" t="0" r="0" b="0"/>
                      <wp:wrapNone/>
                      <wp:docPr id="451" name="Frame451"/>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909320" cy="175260"/>
                      <wp:effectExtent l="0" t="0" r="0" b="0"/>
                      <wp:wrapNone/>
                      <wp:docPr id="452" name="Frame452"/>
                      <a:graphic xmlns:a="http://schemas.openxmlformats.org/drawingml/2006/main">
                        <a:graphicData uri="http://schemas.microsoft.com/office/word/2010/wordprocessingShape">
                          <wps:wsp>
                            <wps:cNvSpPr txBox="1"/>
                            <wps:spPr>
                              <a:xfrm>
                                <a:off x="0" y="0"/>
                                <a:ext cx="90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99390" cy="175260"/>
                      <wp:effectExtent l="0" t="0" r="0" b="0"/>
                      <wp:wrapNone/>
                      <wp:docPr id="454" name="Frame45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839470" cy="175260"/>
                      <wp:effectExtent l="0" t="0" r="0" b="0"/>
                      <wp:wrapNone/>
                      <wp:docPr id="455" name="Frame455"/>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Commitment</w:t>
            </w:r>
          </w:p>
        </w:tc>
        <w:tc>
          <w:tcPr>
            <w:tcW w:w="346" w:type="dxa"/>
            <w:tcBorders/>
            <w:vAlign w:val="center"/>
          </w:tcPr>
          <w:p>
            <w:pPr>
              <w:pStyle w:val="TableContents"/>
              <w:bidi w:val="0"/>
              <w:spacing w:before="0" w:after="0"/>
              <w:ind w:left="0" w:right="0" w:hanging="0"/>
              <w:jc w:val="center"/>
              <w:rPr/>
            </w:pPr>
            <w:r>
              <w:rPr/>
              <w:t>  ​ ​ ​</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Liquidated Damages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 </w:t>
            </w:r>
          </w:p>
        </w:tc>
        <w:tc>
          <w:tcPr>
            <w:tcW w:w="324" w:type="dxa"/>
            <w:tcBorders/>
            <w:shd w:fill="CCEEFF" w:val="clear"/>
            <w:vAlign w:val="center"/>
          </w:tcPr>
          <w:p>
            <w:pPr>
              <w:pStyle w:val="TableContents"/>
              <w:bidi w:val="0"/>
              <w:spacing w:before="0" w:after="0"/>
              <w:ind w:left="0" w:right="0" w:hanging="0"/>
              <w:jc w:val="right"/>
              <w:rPr/>
            </w:pPr>
            <w:r>
              <w:rPr/>
              <w:t>​</w:t>
            </w:r>
          </w:p>
        </w:tc>
        <w:tc>
          <w:tcPr>
            <w:tcW w:w="14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40,139</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1322" w:type="dxa"/>
            <w:tcBorders/>
            <w:shd w:fill="CCEEFF" w:val="clear"/>
            <w:vAlign w:val="center"/>
          </w:tcPr>
          <w:p>
            <w:pPr>
              <w:pStyle w:val="TableContents"/>
              <w:bidi w:val="0"/>
              <w:spacing w:before="0" w:after="0"/>
              <w:ind w:left="0" w:right="0" w:hanging="0"/>
              <w:jc w:val="righ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right"/>
              <w:rPr/>
            </w:pPr>
            <w:r>
              <w:rPr/>
              <w:t>​</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1,120,093</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88,339</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324" w:type="dxa"/>
            <w:tcBorders/>
            <w:shd w:fill="CCEEFF" w:val="clear"/>
            <w:vAlign w:val="center"/>
          </w:tcPr>
          <w:p>
            <w:pPr>
              <w:pStyle w:val="TableContents"/>
              <w:bidi w:val="0"/>
              <w:spacing w:before="0" w:after="0"/>
              <w:ind w:left="0" w:right="0" w:hanging="0"/>
              <w:jc w:val="right"/>
              <w:rPr/>
            </w:pPr>
            <w:r>
              <w:rPr/>
              <w:t>​</w:t>
            </w:r>
          </w:p>
        </w:tc>
        <w:tc>
          <w:tcPr>
            <w:tcW w:w="14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893,581</w:t>
            </w:r>
          </w:p>
        </w:tc>
        <w:tc>
          <w:tcPr>
            <w:tcW w:w="34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pPr>
            <w:r>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68,131</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right"/>
              <w:rPr/>
            </w:pPr>
            <w:r>
              <w:rPr/>
              <w:t>​</w:t>
            </w:r>
          </w:p>
        </w:tc>
        <w:tc>
          <w:tcPr>
            <w:tcW w:w="14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348,842</w:t>
            </w:r>
          </w:p>
        </w:tc>
        <w:tc>
          <w:tcPr>
            <w:tcW w:w="3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46" w:type="dxa"/>
            <w:tcBorders/>
            <w:shd w:fill="CCEEFF" w:val="clear"/>
            <w:vAlign w:val="center"/>
          </w:tcPr>
          <w:p>
            <w:pPr>
              <w:pStyle w:val="TableContents"/>
              <w:bidi w:val="0"/>
              <w:spacing w:before="0" w:after="0"/>
              <w:ind w:left="0" w:right="0" w:hanging="0"/>
              <w:jc w:val="left"/>
              <w:rPr/>
            </w:pPr>
            <w:r>
              <w:rPr/>
              <w:t> </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237,000</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8,100</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2,639,655</w:t>
            </w:r>
          </w:p>
        </w:tc>
        <w:tc>
          <w:tcPr>
            <w:tcW w:w="34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209,323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733" w:name="Tc_JgpN6U3xj02_WdkiXt4smw_8_5"/>
      <w:bookmarkStart w:id="1734" w:name="Tc_qlBvJDpVGE6bOCLL-AfjTQ_8_2"/>
      <w:bookmarkStart w:id="1735" w:name="Tc_wYZ6I6GEK0Ov0S0myH2MAg_8_0"/>
      <w:bookmarkStart w:id="1736" w:name="Tc_vM38plSLckOqAyfs7dbyUA_7_0"/>
      <w:bookmarkStart w:id="1737" w:name="Tc_QnHngZ0dZkWlU-pjKOmM_w_6_5"/>
      <w:bookmarkStart w:id="1738" w:name="Tc_FSo3BHOe2U-bc9YH-74qLQ_6_2"/>
      <w:bookmarkStart w:id="1739" w:name="Tc_txb_pOqLPU6PfDFnmNGziw_6_0"/>
      <w:bookmarkStart w:id="1740" w:name="Tc_C4JxEQVjm0eqLzFORqsJ3g_5_0"/>
      <w:bookmarkStart w:id="1741" w:name="Tc_le2bGncip0i8Z50epmTBEw_4_3"/>
      <w:bookmarkStart w:id="1742" w:name="Tc_2OrszAp5UkeAsLkpzEBgPQ_4_0"/>
      <w:bookmarkStart w:id="1743" w:name="Tc_SiJYkdLD3UK49YVLh2F8YA_3_0"/>
      <w:bookmarkStart w:id="1744" w:name="Tc_Tv2tHlVP9k6qbyc5k4BSHQ_2_5"/>
      <w:bookmarkStart w:id="1745" w:name="Tc_S_Fe56Q3vkibQSGq-naJOQ_2_2"/>
      <w:bookmarkStart w:id="1746" w:name="Tc_i0Zvhi9Rrk-RcnpZEK2UBQ_2_0"/>
      <w:bookmarkStart w:id="1747" w:name="Tc_-5JlqiF_okeRZy12-WH_Sg_1_5"/>
      <w:bookmarkStart w:id="1748" w:name="Tc_21MT3OLBNUmj3QTCQWsbDg_1_2"/>
      <w:bookmarkStart w:id="1749" w:name="Tc_QE-AMNQSlUCsKb1qR1dAng_1_0"/>
      <w:bookmarkStart w:id="1750" w:name="_acdf09e7_54b5_4dd6_8751_7edaa3a6e2df"/>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r>
        <w:rPr>
          <w:rFonts w:ascii="Times New Roman;Times;serif" w:hAnsi="Times New Roman;Times;serif"/>
          <w:sz w:val="20"/>
        </w:rPr>
        <w:t>The Company makes advance payments as capacity guarantees pursuant to purchase agreements with our suppliers. As of March 31, 2026, $59.1 million is recorded within “Advances to suppliers” and $33.1 million is recorded within “Other non-current assets” on the condensed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Performance Guarantees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provides both assurance and service-type warranties to its customers. The Company recognizes revenue for service-type warranties, which are referred to as extended warranties, using a straight-line approach over the service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provides assurance-type warranties, apart from the service-type warranties described above, related to the successful operation of battery-based energy storage solutions which typically extend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beginning at the commercial operation date or substantial completion date, depending on the contract terms. The warranties are considered assurance-type warranties which provide a guarantee of quality of the products. The Company records an estimate of future warranty cost over the period of construction, consistent with transfer of control and revenue recognition. Additionally, we accrue estimated liability cost of specific reserves or recalls when they are probable and estimable if identified. Warranty expense is recorded as a component of “Costs of goods and services” in the Company’s condensed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assurance-type warranties are often backed by supplier covered warranties for major original equipment manufacturers (OEMs) such as batteries and inverters, which is included in our estimated warranty liability. For warranty obligations covered by supplier warranties, the Company records a corresponding asset for the contractually recoverable amounts due to the fact that the contracts are enforceable, the suppliers are financially viable, and we have a history of satisfying claims with our suppliers. The asset is recorded within “Other current assets” and “Other non-current assets” on the condensed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and September 30, 2025, the Company accrued the below estimated warranty liabilities, which the table reflects six months activity and twelve months activity, respectively:</w:t>
      </w:r>
    </w:p>
    <w:tbl>
      <w:tblPr>
        <w:tblW w:w="10205" w:type="dxa"/>
        <w:jc w:val="left"/>
        <w:tblInd w:w="0" w:type="dxa"/>
        <w:tblLayout w:type="fixed"/>
        <w:tblCellMar>
          <w:top w:w="0" w:type="dxa"/>
          <w:left w:w="0" w:type="dxa"/>
          <w:bottom w:w="0" w:type="dxa"/>
          <w:right w:w="0" w:type="dxa"/>
        </w:tblCellMar>
      </w:tblPr>
      <w:tblGrid>
        <w:gridCol w:w="6661"/>
        <w:gridCol w:w="346"/>
        <w:gridCol w:w="299"/>
        <w:gridCol w:w="962"/>
        <w:gridCol w:w="346"/>
        <w:gridCol w:w="338"/>
        <w:gridCol w:w="1253"/>
      </w:tblGrid>
      <w:tr>
        <w:trPr/>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229735" cy="175260"/>
                      <wp:effectExtent l="0" t="0" r="0" b="0"/>
                      <wp:wrapNone/>
                      <wp:docPr id="456" name="Frame456"/>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89865" cy="175260"/>
                      <wp:effectExtent l="0" t="0" r="0" b="0"/>
                      <wp:wrapNone/>
                      <wp:docPr id="458" name="Frame45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10870" cy="175260"/>
                      <wp:effectExtent l="0" t="0" r="0" b="0"/>
                      <wp:wrapNone/>
                      <wp:docPr id="459" name="Frame45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4630" cy="175260"/>
                      <wp:effectExtent l="0" t="0" r="0" b="0"/>
                      <wp:wrapNone/>
                      <wp:docPr id="461" name="Frame461"/>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95655" cy="175260"/>
                      <wp:effectExtent l="0" t="0" r="0" b="0"/>
                      <wp:wrapNone/>
                      <wp:docPr id="462" name="Frame462"/>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balance, beginning</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51,807</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40,242</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Warranties issued and assumed in period</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8,074</w:t>
            </w:r>
          </w:p>
        </w:tc>
        <w:tc>
          <w:tcPr>
            <w:tcW w:w="34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22,409</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estimates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changes in liability for warranty expirations, costs incurred, and foreign exchange impact</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(5,038)</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balance, ending</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54,843</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51,807</w:t>
            </w:r>
          </w:p>
        </w:tc>
      </w:tr>
      <w:tr>
        <w:trPr/>
        <w:tc>
          <w:tcPr>
            <w:tcW w:w="66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Recoverable warranty costs from suppliers</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23,578</w:t>
            </w:r>
          </w:p>
        </w:tc>
      </w:tr>
      <w:tr>
        <w:trPr/>
        <w:tc>
          <w:tcPr>
            <w:tcW w:w="66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balance, net of recoverable warranty costs from suppliers,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28,767</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28,229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key inputs and assumptions used to estimate our warranty liability are: (1) the expected failure rate, representing the number of units projected to fail or require repair; and (2) the per unit cost to repair or replace, including shipping, labor, and equipment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assurance warranty liability and related warranty asset are reviewed quarterly and may be adjusted based on actual results, performance trends, or other qualitative factors. These estimates are subject to uncertainty, and differences between the actual failure rates or replacement costs and our assumptions may result in material changes.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From time to time, the Company may be involved in litigation, government investigations, and other regulatory or legal proceedings relating to claims that arise out of our operations and businesses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fire safety claims, and warranty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2021 Overheating Event at Customer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we previously reported, 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The customer alleged that Fluence was partially liable for the incident, and Fluence denied those allegations. Following the incident, the customer made substantial changes to the facility’s fire suppression system without Fluence’s involvement. In December 2025, the matter was settled for an immaterial amount by the Company in conjunction with its insurers and subcontractors on confidential terms. The settlement includes a full release of the claims against the Company and no admission of responsibility or ultimate liability by the Company for the 2021 incident. As reported by the customer, it has other pending issues with the facility related to a more recent incident in January 2025 that have resulted in litigation against the customer and others, but not Fluence. Notwithstanding the December 2025 settlement with the customer, we may be subject to legal and regulatory proceedings relating to these matters or other similar proceedings arising in the ordinary course of our business. The outcome of these proceedings is inherently uncertain, and we cannot predict the timing or resolution of any such matters.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2023 Project-Related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In December 2025, Fluence obtained a court dismissal of Diablo’s $230.0 million disgorgement claim. Fluence denies the other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 Investigation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Securities Class 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11, 2025, a putative federal securities class action complaint captioned </w:t>
      </w:r>
      <w:r>
        <w:rPr>
          <w:rFonts w:ascii="Times New Roman;Times;serif" w:hAnsi="Times New Roman;Times;serif"/>
          <w:i/>
          <w:sz w:val="20"/>
        </w:rPr>
        <w:t>Abramov v. Fluence Energy, Inc. et al.</w:t>
      </w:r>
      <w:r>
        <w:rPr>
          <w:rFonts w:ascii="Times New Roman;Times;serif" w:hAnsi="Times New Roman;Times;serif"/>
          <w:sz w:val="20"/>
        </w:rPr>
        <w:t xml:space="preserve"> (Case No. 1:25-cv-00444) was filed in the United States District Court, Eastern District of Virginia, against the Company and certain of the Company’s executive officers. On April 15, 2025, a putative federal securities class action complaint captioned </w:t>
      </w:r>
      <w:r>
        <w:rPr>
          <w:rFonts w:ascii="Times New Roman;Times;serif" w:hAnsi="Times New Roman;Times;serif"/>
          <w:i/>
          <w:sz w:val="20"/>
        </w:rPr>
        <w:t>Kramer v. Fluence Energy, Inc. et al.</w:t>
      </w:r>
      <w:r>
        <w:rPr>
          <w:rFonts w:ascii="Times New Roman;Times;serif" w:hAnsi="Times New Roman;Times;serif"/>
          <w:sz w:val="20"/>
        </w:rPr>
        <w:t xml:space="preserve"> (Case No. 1:25-cv-00634) was filed in the United States District Court, Eastern District of Virginia, against the Company, certain of the Company’s current and former executive officers, AES Grid Stability, and AES. Both actions purported to be brought on behalf of a purported class of stockholders, and asserted violations of Sections 10(b) and 20(a) of the Securities Exchange Act of 1934, as amended (the “Exchange Act”) and Rule 10b-5 promulgated thereunder. The complaints sought unspecified damages and other relief. On May 30, 2025, the United States District Court, Eastern District of Virginia ordered the consolidation of the </w:t>
      </w:r>
      <w:r>
        <w:rPr>
          <w:rFonts w:ascii="Times New Roman;Times;serif" w:hAnsi="Times New Roman;Times;serif"/>
          <w:i/>
          <w:sz w:val="20"/>
        </w:rPr>
        <w:t>Abramov</w:t>
      </w:r>
      <w:r>
        <w:rPr>
          <w:rFonts w:ascii="Times New Roman;Times;serif" w:hAnsi="Times New Roman;Times;serif"/>
          <w:sz w:val="20"/>
        </w:rPr>
        <w:t xml:space="preserve"> and </w:t>
      </w:r>
      <w:r>
        <w:rPr>
          <w:rFonts w:ascii="Times New Roman;Times;serif" w:hAnsi="Times New Roman;Times;serif"/>
          <w:i/>
          <w:sz w:val="20"/>
        </w:rPr>
        <w:t>Kramer</w:t>
      </w:r>
      <w:r>
        <w:rPr>
          <w:rFonts w:ascii="Times New Roman;Times;serif" w:hAnsi="Times New Roman;Times;serif"/>
          <w:sz w:val="20"/>
        </w:rPr>
        <w:t xml:space="preserve"> cases, captioned the consolidated matter </w:t>
      </w:r>
      <w:r>
        <w:rPr>
          <w:rFonts w:ascii="Times New Roman;Times;serif" w:hAnsi="Times New Roman;Times;serif"/>
          <w:i/>
          <w:sz w:val="20"/>
        </w:rPr>
        <w:t xml:space="preserve">In re Fluence Energy, Inc. Securities Litigation </w:t>
      </w:r>
      <w:r>
        <w:rPr>
          <w:rFonts w:ascii="Times New Roman;Times;serif" w:hAnsi="Times New Roman;Times;serif"/>
          <w:sz w:val="20"/>
        </w:rPr>
        <w:t xml:space="preserve">(Case No. 1:25-cv-00444-PTG-IDD) and appointed a lead plaintiff and lead counsel. The court-appointed lead plaintiff subsequently filed a consolidated complaint that asserts claims under Sections 10(b) and 20(a) of the Exchange Act, and Rule 10b-5 promulgated thereunder against the Company, AES Grid Stability, AES, and certain of the Company’s former and current executive officers. The consolidated complaint seeks unspecified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damages and other relief. The defendants filed motions to dismiss the consolidated complaint on July 11, 2025. On March 31, 2026, the United States District Court, Eastern District of Virginia granted the defendants’ motion to dismiss the consolidated complaint in its entirety, without prejudice. The order granting the defendants’ motion to dismiss provides that the plaintiffs may file an amended complaint within 14 days of the date of issuance of the forthcoming memorandum opinion.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Shareholder Derivative 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25, 2025, a purported stockholder, Raffi Elmajian, filed a shareholder derivative complaint captioned </w:t>
      </w:r>
      <w:r>
        <w:rPr>
          <w:rFonts w:ascii="Times New Roman;Times;serif" w:hAnsi="Times New Roman;Times;serif"/>
          <w:i/>
          <w:sz w:val="20"/>
        </w:rPr>
        <w:t xml:space="preserve">Elmajian v. Nebreda et al. </w:t>
      </w:r>
      <w:r>
        <w:rPr>
          <w:rFonts w:ascii="Times New Roman;Times;serif" w:hAnsi="Times New Roman;Times;serif"/>
          <w:sz w:val="20"/>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Times;serif" w:hAnsi="Times New Roman;Times;serif"/>
          <w:i/>
          <w:sz w:val="20"/>
        </w:rPr>
        <w:t>Al Amad v. Nebreda et al.</w:t>
      </w:r>
      <w:r>
        <w:rPr>
          <w:rFonts w:ascii="Times New Roman;Times;serif" w:hAnsi="Times New Roman;Times;serif"/>
          <w:sz w:val="20"/>
        </w:rPr>
        <w:t xml:space="preserve"> in the United States District Court, Eastern District of Virginia (Case No. 1:25-cv-577) against current and former officers and directors of the Company, naming the Company as a nominal defendant. Both derivative complaints allege claims under Section 14(a) of the Exchange Act and Rule 14-9 promulgated thereunder,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Times;serif" w:hAnsi="Times New Roman;Times;serif"/>
          <w:i/>
          <w:sz w:val="20"/>
        </w:rPr>
        <w:t xml:space="preserve">In re Fluence Energy, Inc. Shareholder Derivative Litigation </w:t>
      </w:r>
      <w:r>
        <w:rPr>
          <w:rFonts w:ascii="Times New Roman;Times;serif" w:hAnsi="Times New Roman;Times;serif"/>
          <w:sz w:val="20"/>
        </w:rPr>
        <w:t xml:space="preserve">(Case No.: 1:25-cv-00521). On July 21, 2025, the United States District Court, Eastern District of Virginia ordered a stay on all proceedings and deadlines in the consolidated derivative matter until resolution of the consolidated securities class action detailed above. On January 16, 2026, a purported stockholder, Jung Jae Hyung, filed a shareholder derivative complaint captioned </w:t>
      </w:r>
      <w:r>
        <w:rPr>
          <w:rFonts w:ascii="Times New Roman;Times;serif" w:hAnsi="Times New Roman;Times;serif"/>
          <w:i/>
          <w:sz w:val="20"/>
        </w:rPr>
        <w:t>Hyung v. Nebreda et al.</w:t>
      </w:r>
      <w:r>
        <w:rPr>
          <w:rFonts w:ascii="Times New Roman;Times;serif" w:hAnsi="Times New Roman;Times;serif"/>
          <w:sz w:val="20"/>
        </w:rPr>
        <w:t xml:space="preserve"> in the United States District Court for the District of Delaware (Case No. 1:26-cv-00050) against current and former officers and directors of the Company, naming the Company as a nominal defendant. On March 9, 2026, the United States District Court for the District of Delaware ordered a stay on all proceedings and deadlines in this matter until resolution of the consolidated securities class action detailed above. The Company believes the claims in all the derivative complaints are without merit and intends to defend the matters vigorously.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Related-Party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Related parties are primarily represented by AES and Siemens, their respective subsidiaries, other entities under common control, and other entities in which Siemens and AES have significant influence. As of March 31, 2026, AES Grid Stability holds 51,499,195 shares of Class B-1 common stock of Fluence Energy, Inc. and Siemens beneficially owns an aggregate of 51,499,195 shares of Class A common stock of Fluence Energy, Inc.</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Procurement Contracts with Related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signs back-to-back battery-based energy storage solution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4 - Revenue from Contracts with Customers.” Revenue from the consulting services is primarily recognized ratably over time based on a project specific period of performance in which we expect the performance obligation to be fulfilled. For the three months ended March 31, 2026 and 2025, the Company recognized $0.1 million and $3.8 million in revenue from consulting services with AES, respectively. For the six months ended March 31, 2026 and 2025, the Company recognized $0.2 million and $5.4 million in revenue from consulting services with AES,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contracts with affiliates is included in “Revenue from related parties” on the Company’s condensed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Company purchases materials and supplies from its affiliates and records the costs in “Cost of goods and services” on the Company’s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751" w:name="Tc_ASCGeyMS_0qowV34Y5U-bg_7_0"/>
      <w:bookmarkStart w:id="1752" w:name="Tc_jkbBxWith0Gowt7Fvp8abA_6_12"/>
      <w:bookmarkStart w:id="1753" w:name="Tc_vmz0yoZOSU-Wt5D2tRhSFA_6_6"/>
      <w:bookmarkStart w:id="1754" w:name="Tc_gLYKgO7d-0e20UgyCYaVAg_6_0"/>
      <w:bookmarkStart w:id="1755" w:name="Tc__j1XRsdkT0KbjJ-ohxON8Q_5_3"/>
      <w:bookmarkStart w:id="1756" w:name="Tc_GSKjeCVQmESjRnOcS5GQUA_5_0"/>
      <w:bookmarkStart w:id="1757" w:name="Tc_zQWgfglrzEeyajCF0KWVjw_4_0"/>
      <w:bookmarkStart w:id="1758" w:name="Tc_XYVw2Zyp7Uycp9nma24JVQ_3_11"/>
      <w:bookmarkStart w:id="1759" w:name="Tc_E-p_r6vZqUCHAd0-5fmFMw_3_8"/>
      <w:bookmarkStart w:id="1760" w:name="Tc_5-meYU9HiUOkPuhKOOgKLw_3_5"/>
      <w:bookmarkStart w:id="1761" w:name="Tc_2la69c25IU-uP4tymuVm-A_3_2"/>
      <w:bookmarkStart w:id="1762" w:name="Tc_jHcdpRGl2EyQOUXZRN3Faw_3_0"/>
      <w:bookmarkStart w:id="1763" w:name="Tc_WE9OsT0lTEiqfGwx2etO_A_2_11"/>
      <w:bookmarkStart w:id="1764" w:name="Tc_DdlIORaWEU679_bl0vBkhw_2_8"/>
      <w:bookmarkStart w:id="1765" w:name="Tc_jDjaY-Qj3E-cssWVH0HbLg_2_5"/>
      <w:bookmarkStart w:id="1766" w:name="Tc_dmUFyZq8vkOOdp7izHcn8w_2_2"/>
      <w:bookmarkStart w:id="1767" w:name="Tc_T5-vWvMMbEGX1T00ujKZNQ_2_0"/>
      <w:bookmarkStart w:id="1768" w:name="Tc_prYR_n77BkmFsiZYwgzp3w_1_8"/>
      <w:bookmarkStart w:id="1769" w:name="Tc_QhD17mB6q0SgsK7d5__znA_1_2"/>
      <w:bookmarkStart w:id="1770" w:name="_64ce52c7_48f4_4e9d_95f4_d779cb0f4afc"/>
      <w:bookmarkStart w:id="1771" w:name="Tc_matyBpyt9kq0f34ftbL8rA_9_3"/>
      <w:bookmarkStart w:id="1772" w:name="Tc_RrC-in4YRki5kSYhWqrlRQ_9_0"/>
      <w:bookmarkStart w:id="1773" w:name="Tc_b2KtPDYPzkOnbz7NLepxfg_8_0"/>
      <w:bookmarkStart w:id="1774" w:name="Tc_PKtNyLeVQkOGVpX-arzQGQ_7_0"/>
      <w:bookmarkStart w:id="1775" w:name="Tc_Yk-n8yWa1Ea53ITMCirDlQ_6_0"/>
      <w:bookmarkStart w:id="1776" w:name="Tc_tMT3RNmo1EunqG_nclsW2A_5_5"/>
      <w:bookmarkStart w:id="1777" w:name="Tc_K_5EXTX1iEyvKOYx9_KeZg_5_2"/>
      <w:bookmarkStart w:id="1778" w:name="Tc_g2A5lNpzFEyeLFwA1YB2YQ_5_0"/>
      <w:bookmarkStart w:id="1779" w:name="Tc_YfHWLfh6lESC7nVLUpirQA_4_5"/>
      <w:bookmarkStart w:id="1780" w:name="Tc_LxzZzBBmUkClY-xrYvsqvg_4_2"/>
      <w:bookmarkStart w:id="1781" w:name="Tc_ZbJZhMjlWECX4zJViwU1Lg_4_0"/>
      <w:bookmarkStart w:id="1782" w:name="Tc_PwtSnptbIkaB0g_7RuyBGw_3_0"/>
      <w:bookmarkStart w:id="1783" w:name="Tc_fGjdLCY5zEmIK5e5xK9dGA_2_5"/>
      <w:bookmarkStart w:id="1784" w:name="Tc_y-_iflFg1kWqGeHqPOXlXQ_2_2"/>
      <w:bookmarkStart w:id="1785" w:name="Tc_08Wn3Lkq7kKS9QnJUDSysQ_2_0"/>
      <w:bookmarkStart w:id="1786" w:name="Tc_OR_yG0x3s0CcBHlYGcGTOQ_1_5"/>
      <w:bookmarkStart w:id="1787" w:name="Tc_5Ph6KW_lmk68U9YEM6rszA_1_2"/>
      <w:bookmarkStart w:id="1788" w:name="Tc_rE6xSZo_NkqDZj2qUslCEQ_1_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r>
        <w:rPr>
          <w:rFonts w:ascii="Times New Roman;Times;serif" w:hAnsi="Times New Roman;Times;serif"/>
          <w:b/>
          <w:i/>
          <w:sz w:val="20"/>
        </w:rPr>
        <w:t>Service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and six months ended March 31, 2026, the Company has received limited treasury services related to executing trades for derivative contracts from AES. The cost associated with this service is recorded in “General and administrative expenses” on the Company’s condensed consolidated statement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Guarantees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Refer to “Note 17 - Supply Chain Financing” for details of the related party guarantees associated with a supply chain financing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Balance Sheet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condensed consolidated balance sheets included the following balances with related parties for the periods indicated:</w:t>
      </w:r>
    </w:p>
    <w:p>
      <w:pPr>
        <w:pStyle w:val="TextBody"/>
        <w:bidi w:val="0"/>
        <w:spacing w:before="0" w:after="0"/>
        <w:ind w:left="0" w:right="0" w:hanging="0"/>
        <w:jc w:val="left"/>
        <w:rPr/>
      </w:pPr>
      <w:r>
        <w:rPr/>
        <w:t>​</w:t>
      </w:r>
    </w:p>
    <w:tbl>
      <w:tblPr>
        <w:tblW w:w="6665" w:type="dxa"/>
        <w:jc w:val="left"/>
        <w:tblInd w:w="0" w:type="dxa"/>
        <w:tblLayout w:type="fixed"/>
        <w:tblCellMar>
          <w:top w:w="0" w:type="dxa"/>
          <w:left w:w="0" w:type="dxa"/>
          <w:bottom w:w="0" w:type="dxa"/>
          <w:right w:w="0" w:type="dxa"/>
        </w:tblCellMar>
      </w:tblPr>
      <w:tblGrid>
        <w:gridCol w:w="3121"/>
        <w:gridCol w:w="346"/>
        <w:gridCol w:w="268"/>
        <w:gridCol w:w="993"/>
        <w:gridCol w:w="346"/>
        <w:gridCol w:w="323"/>
        <w:gridCol w:w="1268"/>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981835" cy="175260"/>
                      <wp:effectExtent l="0" t="0" r="0" b="0"/>
                      <wp:wrapNone/>
                      <wp:docPr id="463" name="Frame463"/>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70180" cy="175260"/>
                      <wp:effectExtent l="0" t="0" r="0" b="0"/>
                      <wp:wrapNone/>
                      <wp:docPr id="465" name="Frame46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30555" cy="175260"/>
                      <wp:effectExtent l="0" t="0" r="0" b="0"/>
                      <wp:wrapNone/>
                      <wp:docPr id="466" name="Frame46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7"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5105" cy="175260"/>
                      <wp:effectExtent l="0" t="0" r="0" b="0"/>
                      <wp:wrapNone/>
                      <wp:docPr id="468" name="Frame46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805180" cy="175260"/>
                      <wp:effectExtent l="0" t="0" r="0" b="0"/>
                      <wp:wrapNone/>
                      <wp:docPr id="469" name="Frame469"/>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14,569</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26,615</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122,965</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174,133</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receivables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137,534</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200,748</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to suppliers</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5,426</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9,603</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66,379</w:t>
            </w:r>
          </w:p>
        </w:tc>
        <w:tc>
          <w:tcPr>
            <w:tcW w:w="3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79,916</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and provisions</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Receivables, deferred revenue, advances, accounts payable, accruals and provisions, and other current liabilities with related parties are unsecured and settlement of these balances occurs in cash. No provision has been made related to the receivables from related parties.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Statement of Operations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related party transactions that are included in the Company’s condensed consolidated statements of operations for the periods indicated:</w:t>
      </w:r>
    </w:p>
    <w:p>
      <w:pPr>
        <w:pStyle w:val="TextBody"/>
        <w:bidi w:val="0"/>
        <w:spacing w:before="0" w:after="0"/>
        <w:ind w:left="0" w:right="0" w:hanging="0"/>
        <w:jc w:val="left"/>
        <w:rPr/>
      </w:pPr>
      <w:r>
        <w:rPr/>
        <w:t>​</w:t>
      </w:r>
    </w:p>
    <w:tbl>
      <w:tblPr>
        <w:tblW w:w="8430" w:type="dxa"/>
        <w:jc w:val="left"/>
        <w:tblInd w:w="0" w:type="dxa"/>
        <w:tblLayout w:type="fixed"/>
        <w:tblCellMar>
          <w:top w:w="0" w:type="dxa"/>
          <w:left w:w="0" w:type="dxa"/>
          <w:bottom w:w="0" w:type="dxa"/>
          <w:right w:w="0" w:type="dxa"/>
        </w:tblCellMar>
      </w:tblPr>
      <w:tblGrid>
        <w:gridCol w:w="3091"/>
        <w:gridCol w:w="346"/>
        <w:gridCol w:w="254"/>
        <w:gridCol w:w="816"/>
        <w:gridCol w:w="131"/>
        <w:gridCol w:w="254"/>
        <w:gridCol w:w="943"/>
        <w:gridCol w:w="346"/>
        <w:gridCol w:w="221"/>
        <w:gridCol w:w="821"/>
        <w:gridCol w:w="114"/>
        <w:gridCol w:w="221"/>
        <w:gridCol w:w="872"/>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962785" cy="175260"/>
                      <wp:effectExtent l="0" t="0" r="0" b="0"/>
                      <wp:wrapNone/>
                      <wp:docPr id="470" name="Frame470"/>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1"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61290" cy="175260"/>
                      <wp:effectExtent l="0" t="0" r="0" b="0"/>
                      <wp:wrapNone/>
                      <wp:docPr id="472" name="Frame47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18160" cy="175260"/>
                      <wp:effectExtent l="0" t="0" r="0" b="0"/>
                      <wp:wrapNone/>
                      <wp:docPr id="473" name="Frame473"/>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83185" cy="175260"/>
                      <wp:effectExtent l="0" t="0" r="0" b="0"/>
                      <wp:wrapNone/>
                      <wp:docPr id="474" name="Frame474"/>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61290" cy="175260"/>
                      <wp:effectExtent l="0" t="0" r="0" b="0"/>
                      <wp:wrapNone/>
                      <wp:docPr id="475" name="Frame47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98805" cy="175260"/>
                      <wp:effectExtent l="0" t="0" r="0" b="0"/>
                      <wp:wrapNone/>
                      <wp:docPr id="476" name="Frame476"/>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40335" cy="175260"/>
                      <wp:effectExtent l="0" t="0" r="0" b="0"/>
                      <wp:wrapNone/>
                      <wp:docPr id="478" name="Frame47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21335" cy="175260"/>
                      <wp:effectExtent l="0" t="0" r="0" b="0"/>
                      <wp:wrapNone/>
                      <wp:docPr id="479" name="Frame47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2390" cy="175260"/>
                      <wp:effectExtent l="0" t="0" r="0" b="0"/>
                      <wp:wrapNone/>
                      <wp:docPr id="480" name="Frame480"/>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40335" cy="175260"/>
                      <wp:effectExtent l="0" t="0" r="0" b="0"/>
                      <wp:wrapNone/>
                      <wp:docPr id="481" name="Frame48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53720" cy="175260"/>
                      <wp:effectExtent l="0" t="0" r="0" b="0"/>
                      <wp:wrapNone/>
                      <wp:docPr id="482" name="Frame48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  ​ ​ ​</w:t>
            </w:r>
          </w:p>
        </w:tc>
        <w:tc>
          <w:tcPr>
            <w:tcW w:w="22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30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1" w:type="dxa"/>
            <w:tcBorders/>
            <w:vAlign w:val="center"/>
          </w:tcPr>
          <w:p>
            <w:pPr>
              <w:pStyle w:val="TableContents"/>
              <w:bidi w:val="0"/>
              <w:spacing w:before="0" w:after="1"/>
              <w:ind w:left="0" w:right="0" w:hanging="0"/>
              <w:jc w:val="center"/>
              <w:rPr/>
            </w:pPr>
            <w:r>
              <w:rPr/>
              <w:t>​</w:t>
            </w:r>
          </w:p>
        </w:tc>
        <w:tc>
          <w:tcPr>
            <w:tcW w:w="11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4" w:type="dxa"/>
            <w:tcBorders/>
            <w:vAlign w:val="center"/>
          </w:tcPr>
          <w:p>
            <w:pPr>
              <w:pStyle w:val="TableContents"/>
              <w:bidi w:val="0"/>
              <w:spacing w:before="0" w:after="1"/>
              <w:ind w:left="0" w:right="0" w:hanging="0"/>
              <w:jc w:val="center"/>
              <w:rPr/>
            </w:pPr>
            <w:r>
              <w:rPr/>
              <w:t>​</w:t>
            </w:r>
          </w:p>
        </w:tc>
        <w:tc>
          <w:tcPr>
            <w:tcW w:w="10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Revenue </w:t>
            </w:r>
            <w:r>
              <w:rPr>
                <w:rFonts w:ascii="Times New Roman;Times;serif" w:hAnsi="Times New Roman;Times;serif"/>
                <w:sz w:val="15"/>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40,165</w:t>
            </w:r>
          </w:p>
        </w:tc>
        <w:tc>
          <w:tcPr>
            <w:tcW w:w="131"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167,211</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222,397</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237,800</w:t>
            </w:r>
          </w:p>
        </w:tc>
      </w:tr>
      <w:tr>
        <w:trPr/>
        <w:tc>
          <w:tcPr>
            <w:tcW w:w="30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Cost of goods and services </w:t>
            </w:r>
            <w:r>
              <w:rPr>
                <w:rFonts w:ascii="Times New Roman;Times;serif" w:hAnsi="Times New Roman;Times;serif"/>
                <w:sz w:val="15"/>
              </w:rPr>
              <w:t>(b)</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w:t>
            </w:r>
          </w:p>
        </w:tc>
        <w:tc>
          <w:tcPr>
            <w:tcW w:w="131"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23,974</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8,945</w:t>
            </w:r>
          </w:p>
        </w:tc>
        <w:tc>
          <w:tcPr>
            <w:tcW w:w="114"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26,854</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31"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9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14"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872" w:type="dxa"/>
            <w:tcBorders/>
            <w:vAlign w:val="center"/>
          </w:tcPr>
          <w:p>
            <w:pPr>
              <w:pStyle w:val="TableContents"/>
              <w:bidi w:val="0"/>
              <w:spacing w:before="0" w:after="1"/>
              <w:ind w:left="0" w:right="0" w:hanging="0"/>
              <w:jc w:val="right"/>
              <w:rPr/>
            </w:pPr>
            <w:r>
              <w:rPr/>
              <w:t>—</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131"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 </w:t>
            </w:r>
          </w:p>
        </w:tc>
        <w:tc>
          <w:tcPr>
            <w:tcW w:w="9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w:t>
            </w:r>
          </w:p>
        </w:tc>
        <w:tc>
          <w:tcPr>
            <w:tcW w:w="114"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7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1,111</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(a)</w:t>
            </w:r>
          </w:p>
        </w:tc>
        <w:tc>
          <w:tcPr>
            <w:tcW w:w="9909" w:type="dxa"/>
            <w:tcBorders/>
            <w:vAlign w:val="center"/>
          </w:tcPr>
          <w:p>
            <w:pPr>
              <w:pStyle w:val="TableContents"/>
              <w:bidi w:val="0"/>
              <w:spacing w:before="0" w:after="283"/>
              <w:jc w:val="left"/>
              <w:rPr/>
            </w:pPr>
            <w:r>
              <w:rPr>
                <w:rFonts w:ascii="Times New Roman;Times;serif" w:hAnsi="Times New Roman;Times;serif"/>
                <w:b w:val="false"/>
                <w:i/>
                <w:sz w:val="16"/>
              </w:rPr>
              <w:t>Revenue from AES and its affiliates was approximately $39.8</w:t>
            </w:r>
            <w:r>
              <w:rPr/>
              <w:t> </w:t>
            </w:r>
            <w:r>
              <w:rPr>
                <w:rFonts w:ascii="Times New Roman;Times;serif" w:hAnsi="Times New Roman;Times;serif"/>
                <w:b w:val="false"/>
                <w:i/>
                <w:sz w:val="16"/>
              </w:rPr>
              <w:t>million and $166.9</w:t>
            </w:r>
            <w:r>
              <w:rPr/>
              <w:t> </w:t>
            </w:r>
            <w:r>
              <w:rPr>
                <w:rFonts w:ascii="Times New Roman;Times;serif" w:hAnsi="Times New Roman;Times;serif"/>
                <w:b w:val="false"/>
                <w:i/>
                <w:sz w:val="16"/>
              </w:rPr>
              <w:t>million for the three months ended March 31, 2026 and 2025, respectively. Revenue from AES and its affiliates was approximately $221.9</w:t>
            </w:r>
            <w:r>
              <w:rPr/>
              <w:t> </w:t>
            </w:r>
            <w:r>
              <w:rPr>
                <w:rFonts w:ascii="Times New Roman;Times;serif" w:hAnsi="Times New Roman;Times;serif"/>
                <w:b w:val="false"/>
                <w:i/>
                <w:sz w:val="16"/>
              </w:rPr>
              <w:t>million and $235.6</w:t>
            </w:r>
            <w:r>
              <w:rPr/>
              <w:t> </w:t>
            </w:r>
            <w:r>
              <w:rPr>
                <w:rFonts w:ascii="Times New Roman;Times;serif" w:hAnsi="Times New Roman;Times;serif"/>
                <w:b w:val="false"/>
                <w:i/>
                <w:sz w:val="16"/>
              </w:rPr>
              <w:t>million for the six months ended March 31, 2026 and 2025, respectively.</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(b)</w:t>
            </w:r>
          </w:p>
        </w:tc>
        <w:tc>
          <w:tcPr>
            <w:tcW w:w="9880"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Represent purchases from related parties that are included in costs of goods and services and are not associated with the revenue listed in the table above.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89" w:name="Tc_eIKLo2uTEkS3WzMF8itDqg_6_0"/>
      <w:bookmarkStart w:id="1790" w:name="Tc_qfmEq45UMUiaE0m3x0Qaaw_5_0"/>
      <w:bookmarkStart w:id="1791" w:name="Tc__mwamU5_OEWql6cdKZAz8Q_4_0"/>
      <w:bookmarkStart w:id="1792" w:name="Tc_Me1PrgSZoUCpYQR50YvlkA_3_0"/>
      <w:bookmarkStart w:id="1793" w:name="Tc_tLJJMCtMDkGOe6DNjnSEQA_2_0"/>
      <w:bookmarkStart w:id="1794" w:name="Tc_fxQMCZtYiUimU8QMTNF0eg_1_2"/>
      <w:bookmarkEnd w:id="1789"/>
      <w:bookmarkEnd w:id="1790"/>
      <w:bookmarkEnd w:id="1791"/>
      <w:bookmarkEnd w:id="1792"/>
      <w:bookmarkEnd w:id="1793"/>
      <w:bookmarkEnd w:id="1794"/>
      <w:r>
        <w:rPr>
          <w:rFonts w:ascii="Times New Roman;Times;serif" w:hAnsi="Times New Roman;Times;serif"/>
          <w:b/>
          <w:i w:val="false"/>
          <w:caps w:val="false"/>
          <w:smallCaps w:val="false"/>
          <w:sz w:val="20"/>
        </w:rPr>
        <w:t>16.</w:t>
      </w:r>
      <w:r>
        <w:rPr>
          <w:rFonts w:ascii="Times New Roman;Times;serif" w:hAnsi="Times New Roman;Times;serif"/>
          <w:b/>
          <w:sz w:val="20"/>
        </w:rPr>
        <w:t>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initial public offering on November 1, 2021 (the “IPO”)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continue to be governed by the Option Plan. The Option Plan is accounted for as an equity plan. The Company will not make any further awards under the Option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1,397,309 stock options under the Option Plan remain outstanding with no unrecognized stock compensation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Incentive Award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fiscal year ended September 30, 2021, the Company established the 2021 Incentive Award Plan (the “2021 Incentive Plan”) which reserved 9,500,000 shares of Class A common stock of Fluence Energy, Inc. for issuance to management, other employees, consultants, and board members of the Company. On March 12, 2026, at the 2026 annual meeting of stockholders of the Company, the stockholders approved the amended and restated 2021 Incentive Award Plan (the “A&amp;R Incentive Plan”), which increased the number of shares of Class A common stock authorized for issuance thereunder by an additional 6,700,000 shares. The A&amp;R Incentive Plan governs both equity-based and cash-based awards, including incentive stock options, non-qualified stock options, restricted stock, PSUs, and RSUs. Stock-based awards currently issued pursuant to the A&amp;R Incentive Plan that are expected to be settled by issuing shares of Class A common stock are recorded as equity awards. The Company accounts for forfeitures as they occur.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RSUs granted under the A&amp;R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separately vesting tranches within a given grant. There is no contractual term on the RSUs granted under the A&amp;R Incentive Plan. The Company estimated the fair value of the awards using the market value of our Class A common stock on the grant date. The market value of our Class A common stock is calculated using the closing price of our Class A common stock on the date of grant. The following table summarizes activity under the A&amp;R Incentive Plan for the six months ended March 31, 2026:</w:t>
      </w:r>
    </w:p>
    <w:p>
      <w:pPr>
        <w:pStyle w:val="TextBody"/>
        <w:bidi w:val="0"/>
        <w:spacing w:before="0" w:after="0"/>
        <w:ind w:left="0" w:right="0" w:hanging="0"/>
        <w:jc w:val="left"/>
        <w:rPr/>
      </w:pPr>
      <w:r>
        <w:rPr/>
        <w:t>​</w:t>
      </w:r>
    </w:p>
    <w:tbl>
      <w:tblPr>
        <w:tblW w:w="4608" w:type="dxa"/>
        <w:jc w:val="left"/>
        <w:tblInd w:w="0" w:type="dxa"/>
        <w:tblLayout w:type="fixed"/>
        <w:tblCellMar>
          <w:top w:w="0" w:type="dxa"/>
          <w:left w:w="0" w:type="dxa"/>
          <w:bottom w:w="0" w:type="dxa"/>
          <w:right w:w="0" w:type="dxa"/>
        </w:tblCellMar>
      </w:tblPr>
      <w:tblGrid>
        <w:gridCol w:w="2896"/>
        <w:gridCol w:w="346"/>
        <w:gridCol w:w="136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838960" cy="175260"/>
                      <wp:effectExtent l="0" t="0" r="0" b="0"/>
                      <wp:wrapNone/>
                      <wp:docPr id="483" name="Frame48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4"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867410" cy="175260"/>
                      <wp:effectExtent l="0" t="0" r="0" b="0"/>
                      <wp:wrapNone/>
                      <wp:docPr id="485" name="Frame48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October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2,232,320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674,065</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(928,821)</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(207,804)</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13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1,769,760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1,769,760 RSUs previously issued remained outstanding with unrecognized stock compensation expense of $16.8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795" w:name="Tc_vpjwt3eN60iKoGP9_W3fgw_7_11"/>
      <w:bookmarkStart w:id="1796" w:name="Tc_pR8Po6zEo0-OR_UgPzzG6Q_7_8"/>
      <w:bookmarkStart w:id="1797" w:name="Tc_lG7teaGUvUKc7I15Nrzzxg_7_5"/>
      <w:bookmarkStart w:id="1798" w:name="Tc_7uARofC6jE2C3bQkjZmtBA_7_2"/>
      <w:bookmarkStart w:id="1799" w:name="Tc_f8SJV5VP-Eyz8HFdXOGZtA_7_0"/>
      <w:bookmarkStart w:id="1800" w:name="Tc_Ouo1Qp6ZqUaJvGLflMtkJA_6_0"/>
      <w:bookmarkStart w:id="1801" w:name="Tc_RT0qJdYViUCG4y2pAtfZSA_5_0"/>
      <w:bookmarkStart w:id="1802" w:name="Tc_bpqUebD8TEiES1sYyDVTIA_4_0"/>
      <w:bookmarkStart w:id="1803" w:name="Tc_aIoqPRUIjU6ccgXbWfo__g_3_11"/>
      <w:bookmarkStart w:id="1804" w:name="Tc_BI4qcoKMKkyAFoLmBF06gA_3_8"/>
      <w:bookmarkStart w:id="1805" w:name="Tc_AorxkhnUkkK0ggXVlK43jQ_3_5"/>
      <w:bookmarkStart w:id="1806" w:name="Tc_AJH1n2Y9P0WPlF4pW3ZE6g_3_2"/>
      <w:bookmarkStart w:id="1807" w:name="Tc__8wYnS7IREqZWNfEnZU-zA_3_0"/>
      <w:bookmarkStart w:id="1808" w:name="Tc_r9r9HlCD4k6IwF3mu7hhIQ_2_11"/>
      <w:bookmarkStart w:id="1809" w:name="Tc_X1x6Xl_t-0iZ4oyFrf8J7g_2_8"/>
      <w:bookmarkStart w:id="1810" w:name="Tc_S0VU_J3uqUODjvrwUkUjwg_2_5"/>
      <w:bookmarkStart w:id="1811" w:name="Tc_aSU4EW3a40aowX8gRUIUHg_2_2"/>
      <w:bookmarkStart w:id="1812" w:name="Tc_vCY_qSBrNkKZjUlmFiTU0Q_2_0"/>
      <w:bookmarkStart w:id="1813" w:name="Tc_lzvPx7clhUOWUNMAfRmsJQ_1_8"/>
      <w:bookmarkStart w:id="1814" w:name="Tc_07iT0aFYfkqZlrr73KcvTw_1_2"/>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r>
        <w:rPr>
          <w:rFonts w:ascii="Times New Roman;Times;serif" w:hAnsi="Times New Roman;Times;serif"/>
          <w:i/>
          <w:sz w:val="20"/>
        </w:rPr>
        <w:t>Non-Qualified Stock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six months ended March 31, 2026, there were 230,440 non-qualified stock options granted, exercisable for Class A common stock under the A&amp;R Incentive Plan. Non-qualified stock options under the A&amp;R Incentive Plan have a contractual term of ten years from the date of grant. The Company estimated the fair value of the awards using the Black-Scholes option-pricing model. The non-qualified stock options granted under the A&amp;R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separately vesting tranches within a given grant. As of March 31, 2026, 657,313 non-qualified stock options previously issued pursuant to the A&amp;R Incentive Plan remained outstanding with unrecognized stock compensation expense of $4.9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Performance Share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March 31, 2026, the Company granted 511,997 PSUs settleable in Class A common stock under the A&amp;R Incentive Plan. The Company has two rounds of PSU grants under the A&amp;R Incentive Plan outstanding, the first commencing at the start of fiscal year 2025 and the second commencing at the start of fiscal year 2026. The PSUs for the 2025-2027 performance cycle and the 2026-2028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Company’s Board of Directors and the Board’s Compensation and Human Resources Committee. PSUs are considered fully vested when both the performance and service based requirements are met in accordance with the vesting requirements and will be settled in Class A common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979,132 PSUs previously issued remained outstanding with estimated unrecognized stock compensation expense of $8.4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acquisition of Nispera AG in 2022, Fluence issued 531,202 shares of restricted stock to Nispera’s management team. The estimated post combination expense to the Company as a result of the business combination was approximately $6.9 million which was being recognized on a straight-line basis over the remaining service period that was stipulated in each holder’s original restricted stock agreement. As of March 31, 2026, no restricted stock awards previously issued remained outstanding with and there is no unrecognized stock compensation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 was recorded as follows:</w:t>
      </w:r>
    </w:p>
    <w:p>
      <w:pPr>
        <w:pStyle w:val="TextBody"/>
        <w:bidi w:val="0"/>
        <w:spacing w:before="0" w:after="0"/>
        <w:ind w:left="0" w:right="0" w:hanging="0"/>
        <w:jc w:val="left"/>
        <w:rPr/>
      </w:pPr>
      <w:r>
        <w:rPr/>
        <w:t>​</w:t>
      </w:r>
    </w:p>
    <w:tbl>
      <w:tblPr>
        <w:tblW w:w="7649" w:type="dxa"/>
        <w:jc w:val="left"/>
        <w:tblInd w:w="0" w:type="dxa"/>
        <w:tblLayout w:type="fixed"/>
        <w:tblCellMar>
          <w:top w:w="0" w:type="dxa"/>
          <w:left w:w="0" w:type="dxa"/>
          <w:bottom w:w="0" w:type="dxa"/>
          <w:right w:w="0" w:type="dxa"/>
        </w:tblCellMar>
      </w:tblPr>
      <w:tblGrid>
        <w:gridCol w:w="2311"/>
        <w:gridCol w:w="346"/>
        <w:gridCol w:w="264"/>
        <w:gridCol w:w="717"/>
        <w:gridCol w:w="434"/>
        <w:gridCol w:w="264"/>
        <w:gridCol w:w="719"/>
        <w:gridCol w:w="346"/>
        <w:gridCol w:w="235"/>
        <w:gridCol w:w="637"/>
        <w:gridCol w:w="385"/>
        <w:gridCol w:w="235"/>
        <w:gridCol w:w="75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467485" cy="175260"/>
                      <wp:effectExtent l="0" t="0" r="0" b="0"/>
                      <wp:wrapNone/>
                      <wp:docPr id="486" name="Frame48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7"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67640" cy="175260"/>
                      <wp:effectExtent l="0" t="0" r="0" b="0"/>
                      <wp:wrapNone/>
                      <wp:docPr id="488" name="Frame48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55295" cy="175260"/>
                      <wp:effectExtent l="0" t="0" r="0" b="0"/>
                      <wp:wrapNone/>
                      <wp:docPr id="489" name="Frame489"/>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75590" cy="175260"/>
                      <wp:effectExtent l="0" t="0" r="0" b="0"/>
                      <wp:wrapNone/>
                      <wp:docPr id="490" name="Frame49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67640" cy="175260"/>
                      <wp:effectExtent l="0" t="0" r="0" b="0"/>
                      <wp:wrapNone/>
                      <wp:docPr id="491" name="Frame491"/>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56565" cy="175260"/>
                      <wp:effectExtent l="0" t="0" r="0" b="0"/>
                      <wp:wrapNone/>
                      <wp:docPr id="492" name="Frame49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3"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49225" cy="175260"/>
                      <wp:effectExtent l="0" t="0" r="0" b="0"/>
                      <wp:wrapNone/>
                      <wp:docPr id="494" name="Frame49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04495" cy="175260"/>
                      <wp:effectExtent l="0" t="0" r="0" b="0"/>
                      <wp:wrapNone/>
                      <wp:docPr id="495" name="Frame495"/>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44475" cy="175260"/>
                      <wp:effectExtent l="0" t="0" r="0" b="0"/>
                      <wp:wrapNone/>
                      <wp:docPr id="496" name="Frame49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49225" cy="175260"/>
                      <wp:effectExtent l="0" t="0" r="0" b="0"/>
                      <wp:wrapNone/>
                      <wp:docPr id="497" name="Frame49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80060" cy="175260"/>
                      <wp:effectExtent l="0" t="0" r="0" b="0"/>
                      <wp:wrapNone/>
                      <wp:docPr id="498" name="Frame498"/>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2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23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4" w:type="dxa"/>
            <w:tcBorders/>
            <w:vAlign w:val="center"/>
          </w:tcPr>
          <w:p>
            <w:pPr>
              <w:pStyle w:val="TableContents"/>
              <w:bidi w:val="0"/>
              <w:spacing w:before="0" w:after="1"/>
              <w:ind w:left="0" w:right="0" w:hanging="0"/>
              <w:jc w:val="center"/>
              <w:rPr/>
            </w:pPr>
            <w:r>
              <w:rPr/>
              <w:t>  ​ ​ ​</w:t>
            </w:r>
          </w:p>
        </w:tc>
        <w:tc>
          <w:tcPr>
            <w:tcW w:w="9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1"/>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and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434"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385"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434"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85"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434"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 </w:t>
            </w:r>
          </w:p>
        </w:tc>
        <w:tc>
          <w:tcPr>
            <w:tcW w:w="7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85"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w:t>
            </w:r>
          </w:p>
        </w:tc>
        <w:tc>
          <w:tcPr>
            <w:tcW w:w="434"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2,445</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w:t>
            </w:r>
          </w:p>
        </w:tc>
        <w:tc>
          <w:tcPr>
            <w:tcW w:w="385"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6,209</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w:t>
            </w:r>
          </w:p>
        </w:tc>
        <w:tc>
          <w:tcPr>
            <w:tcW w:w="434" w:type="dxa"/>
            <w:tcBorders/>
            <w:shd w:fill="CCEEFF" w:val="clear"/>
            <w:vAlign w:val="center"/>
          </w:tcPr>
          <w:p>
            <w:pPr>
              <w:pStyle w:val="TableContents"/>
              <w:bidi w:val="0"/>
              <w:spacing w:before="0" w:after="1"/>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9,230</w:t>
            </w:r>
          </w:p>
        </w:tc>
        <w:tc>
          <w:tcPr>
            <w:tcW w:w="385"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9,142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Supply Chain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provides certain of our suppliers with access to a supply chain financing program through a certain third-party financing institution (the “SCF Bank”). This program allows the Company to seek extended payment terms up to </w:t>
      </w:r>
      <w:r>
        <w:rPr>
          <w:rFonts w:ascii="Times New Roman;Times;serif" w:hAnsi="Times New Roman;Times;serif"/>
          <w:b w:val="false"/>
          <w:i w:val="false"/>
          <w:caps w:val="false"/>
          <w:smallCaps w:val="false"/>
          <w:sz w:val="20"/>
        </w:rPr>
        <w:t>120 days</w:t>
      </w:r>
      <w:r>
        <w:rPr>
          <w:rFonts w:ascii="Times New Roman;Times;serif" w:hAnsi="Times New Roman;Times;serif"/>
          <w:sz w:val="20"/>
        </w:rPr>
        <w:t xml:space="preserve"> with our suppliers and allows our suppliers to monetize their receivables prior to the payment due date, subject to a discount. The Company does not pledge any assets as collateral under this program. Once a supplier elects to participate in this program and reaches an agreement with SCF Bank, the supplier chooses which individual invoices to sell to the SCF Bank. The Company then pays SCF Bank on the applicable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Corporation, a subsidiary of Siemens, pursuant to the terms of the Credit Support and Reimbursement Agreement. As of March 31, 2026, AES and Siemens Corporation issued guarantees of $50 million each, for a total of $100 million, to SCF Bank on our behalf.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2026, no suppliers were actively participating in this supply chain financing program. The Company had no outstanding obligations confirmed as valid under the program as of March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a new $150.0 million supply chain financing arrangement (the “New SCF Facility”) with a third-party financial institution (the “New SCF Bank”) on August 8, 2025.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the Company is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above and (y) the aggregate outstanding notional amount of payables outstanding under this New SCF Facility. Liquidity under the New SCF Facility includes the Company’s cash and cash equivalents and aggregate availability under the Company’s committed credit facilities, including the Revolver.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six months ended March 31, 2026, two suppliers participated in the New SCF Facility. As of March 31, 2026, the Company had outstanding obligations of $70.8 million confirmed as valid under the program with payment terms ranging from </w:t>
      </w:r>
      <w:r>
        <w:rPr>
          <w:rFonts w:ascii="Times New Roman;Times;serif" w:hAnsi="Times New Roman;Times;serif"/>
          <w:b w:val="false"/>
          <w:i w:val="false"/>
          <w:caps w:val="false"/>
          <w:smallCaps w:val="false"/>
          <w:sz w:val="20"/>
        </w:rPr>
        <w:t>140 days</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180 days</w:t>
      </w:r>
      <w:r>
        <w:rPr>
          <w:rFonts w:ascii="Times New Roman;Times;serif" w:hAnsi="Times New Roman;Times;serif"/>
          <w:sz w:val="20"/>
        </w:rPr>
        <w:t>. All outstanding payments owed under the program are recorded within “</w:t>
      </w:r>
      <w:r>
        <w:rPr>
          <w:rFonts w:ascii="Times New Roman;Times;serif" w:hAnsi="Times New Roman;Times;serif"/>
          <w:b w:val="false"/>
          <w:i w:val="false"/>
          <w:caps w:val="false"/>
          <w:smallCaps w:val="false"/>
          <w:sz w:val="20"/>
        </w:rPr>
        <w:t>Other current liabilities</w:t>
      </w:r>
      <w:r>
        <w:rPr>
          <w:rFonts w:ascii="Times New Roman;Times;serif" w:hAnsi="Times New Roman;Times;serif"/>
          <w:sz w:val="20"/>
        </w:rPr>
        <w:t>” on the condensed consolidated balance sheets. During the six months ended March 31, 2026, the impact of the agreements between the Company’s suppliers and the New SCF Bank to the condensed consolidated statements of cash flows is a reduction of cash used in operating activities of $70.8 million offset by an increase in cash provided by financing activities of $70.8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legal entity. These intercompany sales are denominated in the functional currency of the regional entities, primarily the Euro, the British Pound, and the Australian dollar, while the functional currency of the centralized procurement legal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condensed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815" w:name="Tc_xIeP79We40WSqfWEJoxsLA_5_2"/>
      <w:bookmarkStart w:id="1816" w:name="Tc_C2ln8englEGRMEGRfcPENg_5_0"/>
      <w:bookmarkStart w:id="1817" w:name="Tc_p7mhBQ26Y0usHkmInEw_TQ_4_0"/>
      <w:bookmarkStart w:id="1818" w:name="Tc_G3itErCKjkSrDuGFBtvpkQ_3_0"/>
      <w:bookmarkStart w:id="1819" w:name="Tc_cQn2zIhxgE-ns7-D9VAbhw_2_2"/>
      <w:bookmarkStart w:id="1820" w:name="Tc_nC4qAleQTEmP0dFeTeMgMw_2_0"/>
      <w:bookmarkStart w:id="1821" w:name="Tc_5PHg_P4LPkKm-MKO7HYFxQ_1_2"/>
      <w:bookmarkStart w:id="1822" w:name="Tc_MaACXFYRq0u0nZqgNuJUFA_1_0"/>
      <w:bookmarkStart w:id="1823" w:name="_a708b4f6_6b64_4290_8129_9e6cb51c8184"/>
      <w:bookmarkStart w:id="1824" w:name="Tc_YFCc6VwYMUuQIir4LuFDKQ_3_11"/>
      <w:bookmarkStart w:id="1825" w:name="Tc_cTIAi-b4JESARGUWZK4jLQ_3_8"/>
      <w:bookmarkStart w:id="1826" w:name="Tc_MF4Wn0SF_kK3iDYfTSMGYw_3_5"/>
      <w:bookmarkStart w:id="1827" w:name="Tc_w-6HgPJTsEiJ1Y-RniF4xw_3_2"/>
      <w:bookmarkStart w:id="1828" w:name="Tc_FxIxq1yVU0Gtg8j18mu-qw_3_0"/>
      <w:bookmarkStart w:id="1829" w:name="Tc_YSyiehU2fkaO3UTp9pFfqA_2_11"/>
      <w:bookmarkStart w:id="1830" w:name="Tc_thrvViPI3EWb_6WFGLTbtg_2_8"/>
      <w:bookmarkStart w:id="1831" w:name="Tc_tMv1b_apxkK0jim140kblA_2_5"/>
      <w:bookmarkStart w:id="1832" w:name="Tc_FCegh84AYkOrHfhEnxSRdw_2_2"/>
      <w:bookmarkStart w:id="1833" w:name="Tc_zOM1TsjUGU2C93Kz9r-V9g_2_0"/>
      <w:bookmarkStart w:id="1834" w:name="Tc_1AFyaIuGhkiA_QlWIohtaA_1_8"/>
      <w:bookmarkStart w:id="1835" w:name="Tc_1vJF4kXpPU-elsmNWea6jA_1_2"/>
      <w:bookmarkStart w:id="1836" w:name="_d818fc5c_989f_407e_8803_5d1a9599fa9b"/>
      <w:bookmarkStart w:id="1837" w:name="Tc_omxPadAwVEiweGj7NirH0g_3_11"/>
      <w:bookmarkStart w:id="1838" w:name="Tc__TNlkIhkhU-wC-3mZ1Bd5A_3_8"/>
      <w:bookmarkStart w:id="1839" w:name="Tc_zSpWu0INbEGWGaoierzjAw_3_5"/>
      <w:bookmarkStart w:id="1840" w:name="Tc_wO19QwfP00C6EzsW7z0hcA_3_2"/>
      <w:bookmarkStart w:id="1841" w:name="Tc_72inYOmtikqvzswlZEU_CA_3_0"/>
      <w:bookmarkStart w:id="1842" w:name="Tc_PCGQLXqdt0mKMEwVtXVYIQ_2_11"/>
      <w:bookmarkStart w:id="1843" w:name="Tc_RiQ-gfMc202RvuvW3OHWsw_2_8"/>
      <w:bookmarkStart w:id="1844" w:name="Tc_LxkBp7Dho0OYgjOd15k_Gg_2_5"/>
      <w:bookmarkStart w:id="1845" w:name="Tc_SKU5FYmAc0Gnil6iIoO6kw_2_2"/>
      <w:bookmarkStart w:id="1846" w:name="Tc_Jhx8LBiWQEmL-d1fKz5vzA_2_0"/>
      <w:bookmarkStart w:id="1847" w:name="Tc_sk6fImAHQ0SogNH_jpI88Q_1_8"/>
      <w:bookmarkStart w:id="1848" w:name="Tc_eQVX6lha00y6PJkYkwbvuw_1_2"/>
      <w:bookmarkStart w:id="1849" w:name="_edf5bece_a106_4737_8d2d_03faaa9352bb"/>
      <w:bookmarkStart w:id="1850" w:name="Tc_z4IwbJ9YF0i5-iVFDnZraQ_4_17"/>
      <w:bookmarkStart w:id="1851" w:name="Tc_q0F5y1X9-EaDwHWd35147w_4_14"/>
      <w:bookmarkStart w:id="1852" w:name="Tc_BNyimUzP60ix520NdTR6iA_4_11"/>
      <w:bookmarkStart w:id="1853" w:name="Tc_T4pcimXtzUmOuNTvYtksAw_4_8"/>
      <w:bookmarkStart w:id="1854" w:name="Tc_Fubx2rEjIESnySrJDjzDPA_4_5"/>
      <w:bookmarkStart w:id="1855" w:name="Tc_ZA_76dv7c0CPVAQxZHm4kw_4_2"/>
      <w:bookmarkStart w:id="1856" w:name="Tc_kTV410QuI0GHaLEt_SkFRQ_4_0"/>
      <w:bookmarkStart w:id="1857" w:name="Tc_VeVaXR93EUetit_bc7jF4g_3_17"/>
      <w:bookmarkStart w:id="1858" w:name="Tc_rwWgylN39UuvqShOMOjCqA_3_14"/>
      <w:bookmarkStart w:id="1859" w:name="Tc_t4l_m7q5XEiteYGNrEGLwA_3_11"/>
      <w:bookmarkStart w:id="1860" w:name="Tc_y8hSx5U_ckS_SaQCO5kfDA_3_8"/>
      <w:bookmarkStart w:id="1861" w:name="Tc_cu8Zj9RbgESV5jef3HLaQA_3_5"/>
      <w:bookmarkStart w:id="1862" w:name="Tc_9a3bEVjxRk-UrsP-Quop1g_3_2"/>
      <w:bookmarkStart w:id="1863" w:name="Tc_qq29-1B-1USV2RhE0Gv1Mw_3_0"/>
      <w:bookmarkStart w:id="1864" w:name="Tc_pfLFuHqKw0KRjwXdIQNyuw_2_17"/>
      <w:bookmarkStart w:id="1865" w:name="Tc_vr53qmDo806cAktDYAqGTQ_2_14"/>
      <w:bookmarkStart w:id="1866" w:name="Tc_ZB-vbX-pvEWZDUwdJ_1aUQ_2_11"/>
      <w:bookmarkStart w:id="1867" w:name="Tc_Y5StpdzsP0mqsLW3iDgFCA_2_8"/>
      <w:bookmarkStart w:id="1868" w:name="Tc_MYWzGvP11U-i_jcRpOCBpQ_2_5"/>
      <w:bookmarkStart w:id="1869" w:name="Tc_rp468UDN_UuOH3EVp7Kj_w_2_2"/>
      <w:bookmarkStart w:id="1870" w:name="Tc_LAd2vzmuJ0eCSnJk3MXHZw_1_11"/>
      <w:bookmarkStart w:id="1871" w:name="Tc_KMUc0dkDRk6OcO_Ok_Lmkw_1_2"/>
      <w:bookmarkStart w:id="1872" w:name="_b926c952_2427_4fcd_8ccd_52e25a523bea"/>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r>
        <w:rPr>
          <w:rFonts w:ascii="Times New Roman;Times;serif" w:hAnsi="Times New Roman;Times;serif"/>
          <w:sz w:val="20"/>
        </w:rPr>
        <w:t>The Company also has foreign currency forward contracts that are not designated as hedges and the changes in fair value of such derivatives are recognized in current period earnings.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Company’s cash flow hedges as well as their classification on the condensed consolidated balance sheets as of March 31, 2026 and September 30, 2025 are as follows:</w:t>
      </w:r>
    </w:p>
    <w:tbl>
      <w:tblPr>
        <w:tblW w:w="10205" w:type="dxa"/>
        <w:jc w:val="left"/>
        <w:tblInd w:w="0" w:type="dxa"/>
        <w:tblLayout w:type="fixed"/>
        <w:tblCellMar>
          <w:top w:w="0" w:type="dxa"/>
          <w:left w:w="0" w:type="dxa"/>
          <w:bottom w:w="0" w:type="dxa"/>
          <w:right w:w="0" w:type="dxa"/>
        </w:tblCellMar>
      </w:tblPr>
      <w:tblGrid>
        <w:gridCol w:w="2134"/>
        <w:gridCol w:w="346"/>
        <w:gridCol w:w="211"/>
        <w:gridCol w:w="781"/>
        <w:gridCol w:w="346"/>
        <w:gridCol w:w="327"/>
        <w:gridCol w:w="657"/>
        <w:gridCol w:w="346"/>
        <w:gridCol w:w="293"/>
        <w:gridCol w:w="764"/>
        <w:gridCol w:w="346"/>
        <w:gridCol w:w="211"/>
        <w:gridCol w:w="676"/>
        <w:gridCol w:w="346"/>
        <w:gridCol w:w="327"/>
        <w:gridCol w:w="657"/>
        <w:gridCol w:w="346"/>
        <w:gridCol w:w="258"/>
        <w:gridCol w:w="833"/>
      </w:tblGrid>
      <w:tr>
        <w:trPr/>
        <w:tc>
          <w:tcPr>
            <w:tcW w:w="2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55090" cy="175260"/>
                      <wp:effectExtent l="0" t="0" r="0" b="0"/>
                      <wp:wrapNone/>
                      <wp:docPr id="499" name="Frame499"/>
                      <a:graphic xmlns:a="http://schemas.openxmlformats.org/drawingml/2006/main">
                        <a:graphicData uri="http://schemas.microsoft.com/office/word/2010/wordprocessingShape">
                          <wps:wsp>
                            <wps:cNvSpPr txBox="1"/>
                            <wps:spPr>
                              <a:xfrm>
                                <a:off x="0" y="0"/>
                                <a:ext cx="1355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0"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1"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2" name="Frame5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645" cy="175260"/>
                      <wp:effectExtent l="0" t="0" r="0" b="0"/>
                      <wp:wrapNone/>
                      <wp:docPr id="504" name="Frame50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17195" cy="175260"/>
                      <wp:effectExtent l="0" t="0" r="0" b="0"/>
                      <wp:wrapNone/>
                      <wp:docPr id="505" name="Frame50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86055" cy="175260"/>
                      <wp:effectExtent l="0" t="0" r="0" b="0"/>
                      <wp:wrapNone/>
                      <wp:docPr id="507" name="Frame50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485140" cy="175260"/>
                      <wp:effectExtent l="0" t="0" r="0" b="0"/>
                      <wp:wrapNone/>
                      <wp:docPr id="508" name="Frame508"/>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29260" cy="175260"/>
                      <wp:effectExtent l="0" t="0" r="0" b="0"/>
                      <wp:wrapNone/>
                      <wp:docPr id="511" name="Frame5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645" cy="175260"/>
                      <wp:effectExtent l="0" t="0" r="0" b="0"/>
                      <wp:wrapNone/>
                      <wp:docPr id="513" name="Frame51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417195" cy="175260"/>
                      <wp:effectExtent l="0" t="0" r="0" b="0"/>
                      <wp:wrapNone/>
                      <wp:docPr id="514" name="Frame514"/>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63830" cy="175260"/>
                      <wp:effectExtent l="0" t="0" r="0" b="0"/>
                      <wp:wrapNone/>
                      <wp:docPr id="516" name="Frame51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28955" cy="175260"/>
                      <wp:effectExtent l="0" t="0" r="0" b="0"/>
                      <wp:wrapNone/>
                      <wp:docPr id="517" name="Frame51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w:t>
            </w:r>
          </w:p>
        </w:tc>
        <w:tc>
          <w:tcPr>
            <w:tcW w:w="36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1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1"/>
              <w:ind w:left="0" w:right="0" w:hanging="0"/>
              <w:jc w:val="center"/>
              <w:rPr/>
            </w:pPr>
            <w:r>
              <w:rPr/>
              <w:t>​</w:t>
            </w:r>
          </w:p>
        </w:tc>
        <w:tc>
          <w:tcPr>
            <w:tcW w:w="9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Current</w:t>
            </w:r>
          </w:p>
        </w:tc>
        <w:tc>
          <w:tcPr>
            <w:tcW w:w="346" w:type="dxa"/>
            <w:tcBorders/>
            <w:vAlign w:val="center"/>
          </w:tcPr>
          <w:p>
            <w:pPr>
              <w:pStyle w:val="TableContents"/>
              <w:bidi w:val="0"/>
              <w:spacing w:before="0" w:after="1"/>
              <w:ind w:left="0" w:right="0" w:hanging="0"/>
              <w:jc w:val="center"/>
              <w:rPr/>
            </w:pPr>
            <w:r>
              <w:rPr/>
              <w:t>​</w:t>
            </w:r>
          </w:p>
        </w:tc>
        <w:tc>
          <w:tcPr>
            <w:tcW w:w="10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Other Current </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1"/>
              <w:ind w:left="0" w:right="0" w:hanging="0"/>
              <w:jc w:val="center"/>
              <w:rPr/>
            </w:pPr>
            <w:r>
              <w:rPr/>
              <w:t>​</w:t>
            </w:r>
          </w:p>
        </w:tc>
        <w:tc>
          <w:tcPr>
            <w:tcW w:w="98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Current</w:t>
            </w:r>
          </w:p>
        </w:tc>
        <w:tc>
          <w:tcPr>
            <w:tcW w:w="346" w:type="dxa"/>
            <w:tcBorders/>
            <w:vAlign w:val="center"/>
          </w:tcPr>
          <w:p>
            <w:pPr>
              <w:pStyle w:val="TableContents"/>
              <w:bidi w:val="0"/>
              <w:spacing w:before="0" w:after="1"/>
              <w:ind w:left="0" w:right="0" w:hanging="0"/>
              <w:jc w:val="center"/>
              <w:rPr/>
            </w:pPr>
            <w:r>
              <w:rPr/>
              <w:t>​</w:t>
            </w:r>
          </w:p>
        </w:tc>
        <w:tc>
          <w:tcPr>
            <w:tcW w:w="10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Current</w:t>
            </w:r>
          </w:p>
        </w:tc>
      </w:tr>
      <w:tr>
        <w:trPr/>
        <w:tc>
          <w:tcPr>
            <w:tcW w:w="213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center"/>
              <w:rPr/>
            </w:pPr>
            <w:r>
              <w:rPr/>
              <w:t>  ​ ​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  ​ ​ ​</w:t>
            </w:r>
          </w:p>
        </w:tc>
        <w:tc>
          <w:tcPr>
            <w:tcW w:w="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center"/>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21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153,647</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80,269</w:t>
            </w:r>
          </w:p>
        </w:tc>
        <w:tc>
          <w:tcPr>
            <w:tcW w:w="34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1,493</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gains or (losses) resulting from changes in fair value of the Company’s cash flow hedges recognized in accumulated other comprehensive income (loss) for the three and six months ended March 31, 2026 and 2025 are as follows:</w:t>
      </w:r>
    </w:p>
    <w:tbl>
      <w:tblPr>
        <w:tblW w:w="9134" w:type="dxa"/>
        <w:jc w:val="left"/>
        <w:tblInd w:w="0" w:type="dxa"/>
        <w:tblLayout w:type="fixed"/>
        <w:tblCellMar>
          <w:top w:w="0" w:type="dxa"/>
          <w:left w:w="0" w:type="dxa"/>
          <w:bottom w:w="0" w:type="dxa"/>
          <w:right w:w="0" w:type="dxa"/>
        </w:tblCellMar>
      </w:tblPr>
      <w:tblGrid>
        <w:gridCol w:w="3796"/>
        <w:gridCol w:w="346"/>
        <w:gridCol w:w="313"/>
        <w:gridCol w:w="940"/>
        <w:gridCol w:w="515"/>
        <w:gridCol w:w="313"/>
        <w:gridCol w:w="316"/>
        <w:gridCol w:w="346"/>
        <w:gridCol w:w="212"/>
        <w:gridCol w:w="799"/>
        <w:gridCol w:w="347"/>
        <w:gridCol w:w="212"/>
        <w:gridCol w:w="679"/>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410460" cy="175260"/>
                      <wp:effectExtent l="0" t="0" r="0" b="0"/>
                      <wp:wrapNone/>
                      <wp:docPr id="518" name="Frame518"/>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198755" cy="175260"/>
                      <wp:effectExtent l="0" t="0" r="0" b="0"/>
                      <wp:wrapNone/>
                      <wp:docPr id="520" name="Frame52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96900" cy="175260"/>
                      <wp:effectExtent l="0" t="0" r="0" b="0"/>
                      <wp:wrapNone/>
                      <wp:docPr id="521" name="Frame521"/>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27025" cy="175260"/>
                      <wp:effectExtent l="0" t="0" r="0" b="0"/>
                      <wp:wrapNone/>
                      <wp:docPr id="522" name="Frame52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98755" cy="175260"/>
                      <wp:effectExtent l="0" t="0" r="0" b="0"/>
                      <wp:wrapNone/>
                      <wp:docPr id="523" name="Frame523"/>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0660" cy="175260"/>
                      <wp:effectExtent l="0" t="0" r="0" b="0"/>
                      <wp:wrapNone/>
                      <wp:docPr id="524" name="Frame5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4620" cy="175260"/>
                      <wp:effectExtent l="0" t="0" r="0" b="0"/>
                      <wp:wrapNone/>
                      <wp:docPr id="526" name="Frame52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07365" cy="175260"/>
                      <wp:effectExtent l="0" t="0" r="0" b="0"/>
                      <wp:wrapNone/>
                      <wp:docPr id="527" name="Frame527"/>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0345" cy="175260"/>
                      <wp:effectExtent l="0" t="0" r="0" b="0"/>
                      <wp:wrapNone/>
                      <wp:docPr id="528" name="Frame52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4620" cy="175260"/>
                      <wp:effectExtent l="0" t="0" r="0" b="0"/>
                      <wp:wrapNone/>
                      <wp:docPr id="529" name="Frame52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31165" cy="175260"/>
                      <wp:effectExtent l="0" t="0" r="0" b="0"/>
                      <wp:wrapNone/>
                      <wp:docPr id="530" name="Frame530"/>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2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37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5" w:type="dxa"/>
            <w:tcBorders/>
            <w:vAlign w:val="center"/>
          </w:tcPr>
          <w:p>
            <w:pPr>
              <w:pStyle w:val="TableContents"/>
              <w:bidi w:val="0"/>
              <w:spacing w:before="0" w:after="1"/>
              <w:ind w:left="0" w:right="0" w:hanging="0"/>
              <w:jc w:val="center"/>
              <w:rPr/>
            </w:pPr>
            <w:r>
              <w:rPr/>
              <w:t>  ​ ​ ​</w:t>
            </w:r>
          </w:p>
        </w:tc>
        <w:tc>
          <w:tcPr>
            <w:tcW w:w="6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vAlign w:val="center"/>
          </w:tcPr>
          <w:p>
            <w:pPr>
              <w:pStyle w:val="TableContents"/>
              <w:bidi w:val="0"/>
              <w:spacing w:before="0" w:after="1"/>
              <w:ind w:left="0" w:right="0" w:hanging="0"/>
              <w:jc w:val="center"/>
              <w:rPr/>
            </w:pPr>
            <w:r>
              <w:rPr/>
              <w:t>  ​ ​ ​</w:t>
            </w:r>
          </w:p>
        </w:tc>
        <w:tc>
          <w:tcPr>
            <w:tcW w:w="8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(5,657)</w:t>
            </w:r>
          </w:p>
        </w:tc>
        <w:tc>
          <w:tcPr>
            <w:tcW w:w="515"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(11,069)</w:t>
            </w:r>
          </w:p>
        </w:tc>
        <w:tc>
          <w:tcPr>
            <w:tcW w:w="347"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7,871</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amounts recognized within “Revenue” in the condensed consolidated statements of operations with respect to the Company’s cash flow hedges for the three and six months ended March 31, 2026 and 2025 are as follows:</w:t>
      </w:r>
    </w:p>
    <w:tbl>
      <w:tblPr>
        <w:tblW w:w="8281" w:type="dxa"/>
        <w:jc w:val="left"/>
        <w:tblInd w:w="0" w:type="dxa"/>
        <w:tblLayout w:type="fixed"/>
        <w:tblCellMar>
          <w:top w:w="0" w:type="dxa"/>
          <w:left w:w="0" w:type="dxa"/>
          <w:bottom w:w="0" w:type="dxa"/>
          <w:right w:w="0" w:type="dxa"/>
        </w:tblCellMar>
      </w:tblPr>
      <w:tblGrid>
        <w:gridCol w:w="2941"/>
        <w:gridCol w:w="346"/>
        <w:gridCol w:w="269"/>
        <w:gridCol w:w="805"/>
        <w:gridCol w:w="441"/>
        <w:gridCol w:w="269"/>
        <w:gridCol w:w="616"/>
        <w:gridCol w:w="346"/>
        <w:gridCol w:w="226"/>
        <w:gridCol w:w="698"/>
        <w:gridCol w:w="370"/>
        <w:gridCol w:w="226"/>
        <w:gridCol w:w="728"/>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867535" cy="175260"/>
                      <wp:effectExtent l="0" t="0" r="0" b="0"/>
                      <wp:wrapNone/>
                      <wp:docPr id="531" name="Frame53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32"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70815" cy="175260"/>
                      <wp:effectExtent l="0" t="0" r="0" b="0"/>
                      <wp:wrapNone/>
                      <wp:docPr id="533" name="Frame53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11175" cy="175260"/>
                      <wp:effectExtent l="0" t="0" r="0" b="0"/>
                      <wp:wrapNone/>
                      <wp:docPr id="534" name="Frame534"/>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80035" cy="175260"/>
                      <wp:effectExtent l="0" t="0" r="0" b="0"/>
                      <wp:wrapNone/>
                      <wp:docPr id="535" name="Frame535"/>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70815" cy="175260"/>
                      <wp:effectExtent l="0" t="0" r="0" b="0"/>
                      <wp:wrapNone/>
                      <wp:docPr id="536" name="Frame536"/>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91160" cy="175260"/>
                      <wp:effectExtent l="0" t="0" r="0" b="0"/>
                      <wp:wrapNone/>
                      <wp:docPr id="537" name="Frame53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19710" cy="175260"/>
                      <wp:effectExtent l="0" t="0" r="0" b="0"/>
                      <wp:wrapNone/>
                      <wp:docPr id="538" name="Frame5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43510" cy="175260"/>
                      <wp:effectExtent l="0" t="0" r="0" b="0"/>
                      <wp:wrapNone/>
                      <wp:docPr id="539" name="Frame5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43230" cy="175260"/>
                      <wp:effectExtent l="0" t="0" r="0" b="0"/>
                      <wp:wrapNone/>
                      <wp:docPr id="540" name="Frame54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34950" cy="175260"/>
                      <wp:effectExtent l="0" t="0" r="0" b="0"/>
                      <wp:wrapNone/>
                      <wp:docPr id="541" name="Frame54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43510" cy="175260"/>
                      <wp:effectExtent l="0" t="0" r="0" b="0"/>
                      <wp:wrapNone/>
                      <wp:docPr id="542" name="Frame5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62280" cy="175260"/>
                      <wp:effectExtent l="0" t="0" r="0" b="0"/>
                      <wp:wrapNone/>
                      <wp:docPr id="543" name="Frame543"/>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2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29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1" w:type="dxa"/>
            <w:tcBorders/>
            <w:vAlign w:val="center"/>
          </w:tcPr>
          <w:p>
            <w:pPr>
              <w:pStyle w:val="TableContents"/>
              <w:bidi w:val="0"/>
              <w:spacing w:before="0" w:after="1"/>
              <w:ind w:left="0" w:right="0" w:hanging="0"/>
              <w:jc w:val="center"/>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1"/>
              <w:ind w:left="0" w:right="0" w:hanging="0"/>
              <w:jc w:val="center"/>
              <w:rPr/>
            </w:pPr>
            <w:r>
              <w:rPr/>
              <w:t>  ​ ​ ​</w:t>
            </w:r>
          </w:p>
        </w:tc>
        <w:tc>
          <w:tcPr>
            <w:tcW w:w="9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w:t>
            </w:r>
          </w:p>
        </w:tc>
        <w:tc>
          <w:tcPr>
            <w:tcW w:w="441"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(3,902)</w:t>
            </w:r>
          </w:p>
        </w:tc>
        <w:tc>
          <w:tcPr>
            <w:tcW w:w="370"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5,769</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details the changes in the cumulative impact of the gain (loss) on derivatives designated for hedge accounting for the six months ended March 31, 2026:</w:t>
      </w:r>
    </w:p>
    <w:tbl>
      <w:tblPr>
        <w:tblW w:w="8868" w:type="dxa"/>
        <w:jc w:val="left"/>
        <w:tblInd w:w="0" w:type="dxa"/>
        <w:tblLayout w:type="fixed"/>
        <w:tblCellMar>
          <w:top w:w="0" w:type="dxa"/>
          <w:left w:w="0" w:type="dxa"/>
          <w:bottom w:w="0" w:type="dxa"/>
          <w:right w:w="0" w:type="dxa"/>
        </w:tblCellMar>
      </w:tblPr>
      <w:tblGrid>
        <w:gridCol w:w="7216"/>
        <w:gridCol w:w="346"/>
        <w:gridCol w:w="277"/>
        <w:gridCol w:w="1029"/>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582160" cy="175260"/>
                      <wp:effectExtent l="0" t="0" r="0" b="0"/>
                      <wp:wrapNone/>
                      <wp:docPr id="544" name="Frame544"/>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19710" cy="175260"/>
                      <wp:effectExtent l="0" t="0" r="0" b="0"/>
                      <wp:wrapNone/>
                      <wp:docPr id="545"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75895" cy="175260"/>
                      <wp:effectExtent l="0" t="0" r="0" b="0"/>
                      <wp:wrapNone/>
                      <wp:docPr id="546" name="Frame546"/>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53415" cy="175260"/>
                      <wp:effectExtent l="0" t="0" r="0" b="0"/>
                      <wp:wrapNone/>
                      <wp:docPr id="547" name="Frame547"/>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as of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(3,168)</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recognized in accumulated other comprehensive income (loss)</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(11,069)</w:t>
            </w:r>
          </w:p>
        </w:tc>
      </w:tr>
      <w:tr>
        <w:trPr/>
        <w:tc>
          <w:tcPr>
            <w:tcW w:w="7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reclassified from accumulated other comprehensive income (loss) into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5,344</w:t>
            </w:r>
          </w:p>
        </w:tc>
      </w:tr>
      <w:tr>
        <w:trPr/>
        <w:tc>
          <w:tcPr>
            <w:tcW w:w="7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as of March 31, 2026</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Sale of Receivables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Master Receivables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27, 2024, Fluence Energy, LLC entered into a Master Receivables Purchase Agreement (“MRPA”), by and among Fluence Energy, LLC and any other seller from time to time party thereto, as sellers and servicers, and Credit Agricole Corporate and Investment Bank (“CACIB”), as purchaser. 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contains other customary representations and warranties and covenants. There were no transactions for the six months ended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Master Drafts Sales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2025, Fluence Energy, LLC entered into a Master Drafts Sale Agreement (“MDSA”), by and among Fluence Energy, LLC as seller and CACIB as purchaser. Pursuant to the MDSA, Fluence Energy, LLC may sell negotiable drafts (the “Drafts”) identified in purchase requests to CACIB, and CACIB may agree to purchase the Drafts on an uncommitted basis. Each Draft represents unconditional payments owed to Fluence Energy, LLC by its customers. For the six months ended March 31, 2026, the Company sold receivables to CACIB under the MDSA for net proceeds of $39.4 million. At the date of the true sale, the receivables were derecognized in their entirety from the condensed consolidated balance sheet and the proceeds are reflected in operating cash flows on the condensed consolidated statements of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20.</w:t>
      </w:r>
      <w:r>
        <w:rPr>
          <w:rFonts w:ascii="Times New Roman;Times;serif" w:hAnsi="Times New Roman;Times;serif"/>
          <w:b/>
          <w:sz w:val="20"/>
        </w:rPr>
        <w:t>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20, 2026, the U.S. Supreme Court invalidated tariffs imposed by the U.S. government under the International Emergency Economic Powers Act (the “IEEPA”). Following the U.S. Supreme Court ruling, in March 2026, the U.S. Court of International Trade ruled that the U.S. Customs and Border Protection (“CBP”) must refund duties imposed under IEEPA. In response, CBP launched the Consolidated Administration and Processing of Entries (“CAPE”) portal within the Automated Commercial Environment (“ACE”) on April 20, 2026. After launch of the portal, the Company filed a claim for a refund of IEEPA tariffs previously paid. The impact of the IEEPA tariff refunds is currently not reflected in our results of operations as of and for the three months ended March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filing date of this Report, we currently estimate that the gross amount of IEEPA tariff refunds we expect to receive to be approximately $57.0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73" w:name="Item2ManagementsDiscussionandAnalysisofF"/>
      <w:bookmarkStart w:id="1874" w:name="_db03848a_1335_4c0e_bae7_228295f9a067"/>
      <w:bookmarkEnd w:id="1873"/>
      <w:bookmarkEnd w:id="187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Report and in conjunction with our audited consolidated financial statements and related notes included in our Annual Report on Form 10-K for the fiscal year ended September 30, 2025, filed with the U.S. Securities and Exchange Commission (the “SEC”) on November 25, 2025 (the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2025 Annual Report and the section titled “Cautionary Statement Regarding Forward-Looking Information” included elsewhere in this Report. Additionally, our historical results are not necessarily indicative of the results that may be expected for any period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all of its direct and indirect subsidiaries, including Fluence Energy, LLC.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fiscal year begins on October 1 and ends on September 30. References to “fiscal year 2025,” and “fiscal year 2026” refer to the twelve months ended September 30, 2025 and ending September 30, 2026,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Trends, and Uncertainties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performance and future success depend on several factors that present significant opportunities for us but also pose risks and challenges, including those discussed below and in Part I, Item 1. “Business” and in Part I, Item 1A. “Risk Factors” within our 2025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Industry Outlook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utility-scale battery storage industry continues to experience unprecedented growth fueled in large part by: (i) the global transition toward renewable energy, (ii) heightened focus on grid resilience, (iii) overall declining lithium-ion battery prices in the last decade or so, (iv) increased electricity demand, and (v) supportive regulatory frameworks. BloombergNEF estimated in its 2H 2025 Energy Storage Market Outlook published on October 20, 2025 that the global utility scale market, excluding China, will add approximately 3,201 GWh between 2024 and 2035.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Growth of the battery storage industry and the continued adoption of energy storage solutions by our customers has been driven in part by the overall decrease in cost of lithium-ion energy storage hardware, mainly the cost of lithium-ion batteries, over the last decade or so. However, we have recently seen an increase in prices of lithium carbonate and other commodities since December 2025. The market for energy storage continues to rapidly evolve and while we believe lithium-ion battery costs will continue to decline over the long-term, they may not decline or decline at the rates we expect, if at all over the long-term. Our revenue growth is directly tied to the continued adoption of energy storage products by our customers, which may be affected by commodity raw material price fluctuations and component price fluctuations. As we have not historically been the buyer of raw materials for our components and energy storage products, we have not historically entered into hedging arrangements to mitigate commodity risk. Significant price changes or reduced availability for our raw materials and components has had and may in the future have a deleterious effect on our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and Supply Chain Updates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energy storage business is supported by a strategically diversified global supply chain. We continue to work to align our U.S. procurement strategy with the Inflation Reduction Act of 2022 (the “IRA”) and the One Big Beautiful Bill Act (“OBBBA”) as well as related agency guidance relating thereto. We believe that continued expansion and emphasis on domestic content under the IRA,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modified by the OBBBA, will provide Fluence with a competitive advantage. As of the date of this Report, we believe that under the current language of the OBBBA, which is subject to Treasury guidance issued on February 12, 2026 and any future regulations, our U.S. domestic suppliers are in compliance with the new applicable prohibited foreign entity (“PFE”) restrictions set forth in the OBBBA. Our procurement operations, however, remain subject to a complex and evolving supply chain and regulatory landscape. For more information about the potential risks relating to regulation and compliance and our supply chain, see Part I, Item 1A. “Risk Factors” in our 2025 Annual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energy storage solutions incorporate many components and materials sourced from a variety of countries, resulting in exposure to international supply chain risks and logistics disruptions. Uncertain potential actions, policies, and legislation of various government authorities on international and domestic trade, including new or increased tariffs or quotas, border taxes, embargoes, safeguards, duties arising out of various governmental investigations, trade controls, and customs restrictions may impact our ability to manage our costs of production which may then impact our business and results of operations. For example, on February 20, 2026, the U.S. Supreme Court invalidated tariffs imposed by the U.S. government under the International Emergency Economic Powers Act (“IEEPA”). In March 2026, the U.S. Court of International Trade ruled that the U.S. Customs and Border Protection (“CBP”) must refund duties imposed under IEEPA. In response, CBP launched the Consolidated Administration and Processing of Entries portal within the Automated Commercial Environment on April 20, 2026, and the Company has filed a claim for a refund of IEEPA tariffs previously paid. In addition, immediately after issuance of the decision regarding the IEEPA tariffs, the U.S. government initiated new tariffs under alternative authorities. There remains substantial uncertainty regarding the duration of existing and newly announced tariffs and surcharges, potential changes or pauses to such tariffs, the tariff refund process and timing related thereto, tariff levels, and whether further additional tariffs or other retaliatory actions may be imposed, modified, or suspended, and the impacts of such actions on Fluence’s business. Fluence continues to monitor and evaluate these developments and assess their potential impact on our business, financial condition, and results of operations. See Part I, Item 1A. “Risk Factors” in our 2025 Annual Report for further discussion on risks relating to changes in the trade environment.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 and Legal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description of our material pending legal contingencies, please see “Note 14 - Commitments and Contingencies”, to the unaudited condensed consolidated financial statements included elsewhere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present our key operating metrics as of March 31, 2026 and September 30, 2025. The tables below present the metrics in either Gigawatts (GW) or Gigawatt hours (GWh). Our key operating metrics focus on project milestones to measure our performance and designate each project as either “deployed”, “assets under management”, “contracted backlog”, or “pipeline”.</w:t>
      </w:r>
    </w:p>
    <w:tbl>
      <w:tblPr>
        <w:tblW w:w="9475" w:type="dxa"/>
        <w:jc w:val="left"/>
        <w:tblInd w:w="0" w:type="dxa"/>
        <w:tblLayout w:type="fixed"/>
        <w:tblCellMar>
          <w:top w:w="0" w:type="dxa"/>
          <w:left w:w="0" w:type="dxa"/>
          <w:bottom w:w="0" w:type="dxa"/>
          <w:right w:w="0" w:type="dxa"/>
        </w:tblCellMar>
      </w:tblPr>
      <w:tblGrid>
        <w:gridCol w:w="3436"/>
        <w:gridCol w:w="346"/>
        <w:gridCol w:w="1261"/>
        <w:gridCol w:w="346"/>
        <w:gridCol w:w="1546"/>
        <w:gridCol w:w="346"/>
        <w:gridCol w:w="661"/>
        <w:gridCol w:w="346"/>
        <w:gridCol w:w="871"/>
        <w:gridCol w:w="31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81860" cy="175260"/>
                      <wp:effectExtent l="0" t="0" r="0" b="0"/>
                      <wp:wrapNone/>
                      <wp:docPr id="548" name="Frame548"/>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800735" cy="175260"/>
                      <wp:effectExtent l="0" t="0" r="0" b="0"/>
                      <wp:wrapNone/>
                      <wp:docPr id="550" name="Frame55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1"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981710" cy="175260"/>
                      <wp:effectExtent l="0" t="0" r="0" b="0"/>
                      <wp:wrapNone/>
                      <wp:docPr id="552" name="Frame55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53" name="Frame5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19735" cy="175260"/>
                      <wp:effectExtent l="0" t="0" r="0" b="0"/>
                      <wp:wrapNone/>
                      <wp:docPr id="554" name="Frame55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19710" cy="175260"/>
                      <wp:effectExtent l="0" t="0" r="0" b="0"/>
                      <wp:wrapNone/>
                      <wp:docPr id="555" name="Frame5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53085" cy="175260"/>
                      <wp:effectExtent l="0" t="0" r="0" b="0"/>
                      <wp:wrapNone/>
                      <wp:docPr id="556" name="Frame5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0660" cy="175260"/>
                      <wp:effectExtent l="0" t="0" r="0" b="0"/>
                      <wp:wrapNone/>
                      <wp:docPr id="557" name="Frame5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46" w:type="dxa"/>
            <w:tcBorders/>
            <w:vAlign w:val="center"/>
          </w:tcPr>
          <w:p>
            <w:pPr>
              <w:pStyle w:val="TableContents"/>
              <w:bidi w:val="0"/>
              <w:spacing w:before="0" w:after="0"/>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Energy Storage Products and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Deployed (GW)</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Deployed (GWh)</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Contracted Backlog (GW)</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Pipeline (GW)</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Pipeline (GWh)</w:t>
            </w:r>
          </w:p>
        </w:tc>
        <w:tc>
          <w:tcPr>
            <w:tcW w:w="34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4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8290" w:type="dxa"/>
        <w:jc w:val="left"/>
        <w:tblInd w:w="0" w:type="dxa"/>
        <w:tblLayout w:type="fixed"/>
        <w:tblCellMar>
          <w:top w:w="0" w:type="dxa"/>
          <w:left w:w="0" w:type="dxa"/>
          <w:bottom w:w="0" w:type="dxa"/>
          <w:right w:w="0" w:type="dxa"/>
        </w:tblCellMar>
      </w:tblPr>
      <w:tblGrid>
        <w:gridCol w:w="2251"/>
        <w:gridCol w:w="346"/>
        <w:gridCol w:w="1261"/>
        <w:gridCol w:w="346"/>
        <w:gridCol w:w="1546"/>
        <w:gridCol w:w="346"/>
        <w:gridCol w:w="661"/>
        <w:gridCol w:w="346"/>
        <w:gridCol w:w="871"/>
        <w:gridCol w:w="31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429385" cy="175260"/>
                      <wp:effectExtent l="0" t="0" r="0" b="0"/>
                      <wp:wrapNone/>
                      <wp:docPr id="558" name="Frame558"/>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19710" cy="175260"/>
                      <wp:effectExtent l="0" t="0" r="0" b="0"/>
                      <wp:wrapNone/>
                      <wp:docPr id="559" name="Frame5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800735" cy="175260"/>
                      <wp:effectExtent l="0" t="0" r="0" b="0"/>
                      <wp:wrapNone/>
                      <wp:docPr id="560" name="Frame56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981710" cy="175260"/>
                      <wp:effectExtent l="0" t="0" r="0" b="0"/>
                      <wp:wrapNone/>
                      <wp:docPr id="562" name="Frame56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3" name="Frame5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419735" cy="175260"/>
                      <wp:effectExtent l="0" t="0" r="0" b="0"/>
                      <wp:wrapNone/>
                      <wp:docPr id="564" name="Frame56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19710" cy="175260"/>
                      <wp:effectExtent l="0" t="0" r="0" b="0"/>
                      <wp:wrapNone/>
                      <wp:docPr id="565"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53085" cy="175260"/>
                      <wp:effectExtent l="0" t="0" r="0" b="0"/>
                      <wp:wrapNone/>
                      <wp:docPr id="566" name="Frame56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0660" cy="175260"/>
                      <wp:effectExtent l="0" t="0" r="0" b="0"/>
                      <wp:wrapNone/>
                      <wp:docPr id="567" name="Frame56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(amounts in GW)</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under Management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Contracted Backlog</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Pipeline</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215" w:type="dxa"/>
        <w:jc w:val="left"/>
        <w:tblInd w:w="0" w:type="dxa"/>
        <w:tblLayout w:type="fixed"/>
        <w:tblCellMar>
          <w:top w:w="0" w:type="dxa"/>
          <w:left w:w="0" w:type="dxa"/>
          <w:bottom w:w="0" w:type="dxa"/>
          <w:right w:w="0" w:type="dxa"/>
        </w:tblCellMar>
      </w:tblPr>
      <w:tblGrid>
        <w:gridCol w:w="2176"/>
        <w:gridCol w:w="346"/>
        <w:gridCol w:w="1261"/>
        <w:gridCol w:w="346"/>
        <w:gridCol w:w="1546"/>
        <w:gridCol w:w="346"/>
        <w:gridCol w:w="661"/>
        <w:gridCol w:w="346"/>
        <w:gridCol w:w="871"/>
        <w:gridCol w:w="316"/>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1381760" cy="175260"/>
                      <wp:effectExtent l="0" t="0" r="0" b="0"/>
                      <wp:wrapNone/>
                      <wp:docPr id="568" name="Frame568"/>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800735" cy="175260"/>
                      <wp:effectExtent l="0" t="0" r="0" b="0"/>
                      <wp:wrapNone/>
                      <wp:docPr id="570" name="Frame57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19710" cy="175260"/>
                      <wp:effectExtent l="0" t="0" r="0" b="0"/>
                      <wp:wrapNone/>
                      <wp:docPr id="571" name="Frame5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981710" cy="175260"/>
                      <wp:effectExtent l="0" t="0" r="0" b="0"/>
                      <wp:wrapNone/>
                      <wp:docPr id="572" name="Frame57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419735" cy="175260"/>
                      <wp:effectExtent l="0" t="0" r="0" b="0"/>
                      <wp:wrapNone/>
                      <wp:docPr id="574" name="Frame57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5" name="Frame5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553085" cy="175260"/>
                      <wp:effectExtent l="0" t="0" r="0" b="0"/>
                      <wp:wrapNone/>
                      <wp:docPr id="576" name="Frame57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200660" cy="175260"/>
                      <wp:effectExtent l="0" t="0" r="0" b="0"/>
                      <wp:wrapNone/>
                      <wp:docPr id="577" name="Frame5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(amounts in GW)</w:t>
            </w:r>
          </w:p>
        </w:tc>
        <w:tc>
          <w:tcPr>
            <w:tcW w:w="346" w:type="dxa"/>
            <w:tcBorders/>
            <w:vAlign w:val="center"/>
          </w:tcPr>
          <w:p>
            <w:pPr>
              <w:pStyle w:val="TableContents"/>
              <w:bidi w:val="0"/>
              <w:spacing w:before="0" w:after="1"/>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Digital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under Management</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Contracted Backlog</w:t>
            </w:r>
          </w:p>
        </w:tc>
        <w:tc>
          <w:tcPr>
            <w:tcW w:w="34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Pipeline</w:t>
            </w:r>
          </w:p>
        </w:tc>
        <w:tc>
          <w:tcPr>
            <w:tcW w:w="34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our order intake for the three and six months ended March 31, 2026 and 2025. The table is presented in Gigawatts (GW):</w:t>
      </w:r>
    </w:p>
    <w:tbl>
      <w:tblPr>
        <w:tblW w:w="10205" w:type="dxa"/>
        <w:jc w:val="left"/>
        <w:tblInd w:w="0" w:type="dxa"/>
        <w:tblLayout w:type="fixed"/>
        <w:tblCellMar>
          <w:top w:w="0" w:type="dxa"/>
          <w:left w:w="0" w:type="dxa"/>
          <w:bottom w:w="0" w:type="dxa"/>
          <w:right w:w="0" w:type="dxa"/>
        </w:tblCellMar>
      </w:tblPr>
      <w:tblGrid>
        <w:gridCol w:w="2178"/>
        <w:gridCol w:w="346"/>
        <w:gridCol w:w="466"/>
        <w:gridCol w:w="346"/>
        <w:gridCol w:w="466"/>
        <w:gridCol w:w="346"/>
        <w:gridCol w:w="661"/>
        <w:gridCol w:w="346"/>
        <w:gridCol w:w="871"/>
        <w:gridCol w:w="361"/>
        <w:gridCol w:w="466"/>
        <w:gridCol w:w="346"/>
        <w:gridCol w:w="466"/>
        <w:gridCol w:w="346"/>
        <w:gridCol w:w="661"/>
        <w:gridCol w:w="346"/>
        <w:gridCol w:w="871"/>
        <w:gridCol w:w="316"/>
      </w:tblGrid>
      <w:tr>
        <w:trPr/>
        <w:tc>
          <w:tcPr>
            <w:tcW w:w="2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383030" cy="175260"/>
                      <wp:effectExtent l="0" t="0" r="0" b="0"/>
                      <wp:wrapNone/>
                      <wp:docPr id="578" name="Frame578"/>
                      <a:graphic xmlns:a="http://schemas.openxmlformats.org/drawingml/2006/main">
                        <a:graphicData uri="http://schemas.microsoft.com/office/word/2010/wordprocessingShape">
                          <wps:wsp>
                            <wps:cNvSpPr txBox="1"/>
                            <wps:spPr>
                              <a:xfrm>
                                <a:off x="0" y="0"/>
                                <a:ext cx="1383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19710" cy="175260"/>
                      <wp:effectExtent l="0" t="0" r="0" b="0"/>
                      <wp:wrapNone/>
                      <wp:docPr id="579"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295910" cy="175260"/>
                      <wp:effectExtent l="0" t="0" r="0" b="0"/>
                      <wp:wrapNone/>
                      <wp:docPr id="580" name="Frame58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81"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95910" cy="175260"/>
                      <wp:effectExtent l="0" t="0" r="0" b="0"/>
                      <wp:wrapNone/>
                      <wp:docPr id="582" name="Frame58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83" name="Frame5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19735" cy="175260"/>
                      <wp:effectExtent l="0" t="0" r="0" b="0"/>
                      <wp:wrapNone/>
                      <wp:docPr id="584" name="Frame58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85"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53085" cy="175260"/>
                      <wp:effectExtent l="0" t="0" r="0" b="0"/>
                      <wp:wrapNone/>
                      <wp:docPr id="586" name="Frame5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29235" cy="175260"/>
                      <wp:effectExtent l="0" t="0" r="0" b="0"/>
                      <wp:wrapNone/>
                      <wp:docPr id="587" name="Frame5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95910" cy="175260"/>
                      <wp:effectExtent l="0" t="0" r="0" b="0"/>
                      <wp:wrapNone/>
                      <wp:docPr id="588" name="Frame58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19710" cy="175260"/>
                      <wp:effectExtent l="0" t="0" r="0" b="0"/>
                      <wp:wrapNone/>
                      <wp:docPr id="589" name="Frame5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95910" cy="175260"/>
                      <wp:effectExtent l="0" t="0" r="0" b="0"/>
                      <wp:wrapNone/>
                      <wp:docPr id="590" name="Frame59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19710" cy="175260"/>
                      <wp:effectExtent l="0" t="0" r="0" b="0"/>
                      <wp:wrapNone/>
                      <wp:docPr id="591"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19735" cy="175260"/>
                      <wp:effectExtent l="0" t="0" r="0" b="0"/>
                      <wp:wrapNone/>
                      <wp:docPr id="592" name="Frame59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553085" cy="175260"/>
                      <wp:effectExtent l="0" t="0" r="0" b="0"/>
                      <wp:wrapNone/>
                      <wp:docPr id="594" name="Frame59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0660" cy="175260"/>
                      <wp:effectExtent l="0" t="0" r="0" b="0"/>
                      <wp:wrapNone/>
                      <wp:docPr id="595" name="Frame59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50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1"/>
              <w:ind w:left="0" w:right="0" w:hanging="0"/>
              <w:jc w:val="center"/>
              <w:rPr/>
            </w:pPr>
            <w:r>
              <w:rPr/>
              <w:t>​</w:t>
            </w:r>
          </w:p>
        </w:tc>
        <w:tc>
          <w:tcPr>
            <w:tcW w:w="350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c>
          <w:tcPr>
            <w:tcW w:w="316" w:type="dxa"/>
            <w:tcBorders/>
            <w:vAlign w:val="center"/>
          </w:tcPr>
          <w:p>
            <w:pPr>
              <w:pStyle w:val="TableContents"/>
              <w:bidi w:val="0"/>
              <w:spacing w:before="0" w:after="1"/>
              <w:ind w:left="0" w:right="0" w:hanging="0"/>
              <w:jc w:val="center"/>
              <w:rPr/>
            </w:pPr>
            <w:r>
              <w:rPr/>
              <w:t> </w:t>
            </w:r>
          </w:p>
        </w:tc>
      </w:tr>
      <w:tr>
        <w:trPr/>
        <w:tc>
          <w:tcPr>
            <w:tcW w:w="217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(amounts in GW)</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61" w:type="dxa"/>
            <w:tcBorders/>
            <w:vAlign w:val="center"/>
          </w:tcPr>
          <w:p>
            <w:pPr>
              <w:pStyle w:val="TableContents"/>
              <w:bidi w:val="0"/>
              <w:spacing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 </w:t>
            </w:r>
          </w:p>
        </w:tc>
      </w:tr>
      <w:tr>
        <w:trPr/>
        <w:tc>
          <w:tcPr>
            <w:tcW w:w="217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Energy Storage Products and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Contracted</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Services</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Contracted</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7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Digital</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Contracted</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Deployed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Deployed represents cumulative energy storage products and solutions that have achieved substantial completion and are not decommissioned. Deployed is monitored by management to measure our performance towards achieving project milestones.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Assets Under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Assets under management for service contracts represents our long-term service contracts with customers associated with our completed energy storage system products and solutions. In general, we start providing maintenance, monitoring, or other operational services after the storage product projects are completed.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Contracted Backlog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Contracted/Order Intake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Pipeline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Pipeline represents our uncontracted, potential revenue from energy storage products and solutions, service, and digital software contracts, which have a reasonable likelihood of contract execution within 24 months. Pipeline is an internal management metric that we construct from market information reported by our global sales force. Pipeline is monitored by management to understand the anticipated growth of our Company and our estimated future revenue related to customer contracts for our battery-based energy storage products and solutions, services and digital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describes certain line items in our condensed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battery-based energy storage solutions contracts, service agreements with customers to provide operational services related to battery-based energy storage solutions, and digital application contracts. Fluence enters into contracts with utility companies, developers, and commercial and industrial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when we have enforceable right to payment for work performed to date and the solution, in its completed state, does not have an alternative use to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Profit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and gross profit margin may vary from quarter to quarter and are primarily affected by our volume fulfilled, product prices, product costs and project execution.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 security, battery systems engineering, industrial controls, UI / UX, mechanical design, power systems engineering, certification, and more. R&amp;D expenses also support two current product testing labs located across the globe: a system-level testing facility in Pennsylvania that is used for quality assurance and the rapid iteration, testing, and launching of new Fluence energy storage technology and products and a testing facility located in Erlangen, Germany. We have an additional Hardware in the Loop testing facility, 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personnel-related expenses, including salaries, stock-based compensation, and employee benefits. We have and intend to continue to expand our sales presence and marketing efforts to additional countries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personnel, we will invest in additional PP&amp;E to support our growth resulting in additional depreciation and amortization.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(income), net consists primarily of interest income net of interest expense. Interest income consists of interest earned on cash deposits and interest on customer notes receivables. Interest expense consists primarily of interest on borrowings against notes receivable pledged as collateral, interest from 2030 Convertible Senior Notes, unused line fees and commitment fees related to credit facilities, and amortization of debt issuance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net primarily consists of expense or income from foreign currency exchange gains and losses on monetary assets and liabilities, and income or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income (loss) may vary from quarter to quarter and is primarily affected by our gross profit and operating expenses as defined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and six months ended March 31, 2026 and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operating results for the periods indicated.</w:t>
      </w:r>
    </w:p>
    <w:tbl>
      <w:tblPr>
        <w:tblW w:w="11679" w:type="dxa"/>
        <w:jc w:val="left"/>
        <w:tblInd w:w="0" w:type="dxa"/>
        <w:tblLayout w:type="fixed"/>
        <w:tblCellMar>
          <w:top w:w="0" w:type="dxa"/>
          <w:left w:w="0" w:type="dxa"/>
          <w:bottom w:w="0" w:type="dxa"/>
          <w:right w:w="0" w:type="dxa"/>
        </w:tblCellMar>
      </w:tblPr>
      <w:tblGrid>
        <w:gridCol w:w="1291"/>
        <w:gridCol w:w="346"/>
        <w:gridCol w:w="211"/>
        <w:gridCol w:w="781"/>
        <w:gridCol w:w="346"/>
        <w:gridCol w:w="211"/>
        <w:gridCol w:w="781"/>
        <w:gridCol w:w="346"/>
        <w:gridCol w:w="211"/>
        <w:gridCol w:w="736"/>
        <w:gridCol w:w="346"/>
        <w:gridCol w:w="661"/>
        <w:gridCol w:w="361"/>
        <w:gridCol w:w="211"/>
        <w:gridCol w:w="781"/>
        <w:gridCol w:w="346"/>
        <w:gridCol w:w="211"/>
        <w:gridCol w:w="841"/>
        <w:gridCol w:w="346"/>
        <w:gridCol w:w="211"/>
        <w:gridCol w:w="781"/>
        <w:gridCol w:w="346"/>
        <w:gridCol w:w="661"/>
        <w:gridCol w:w="31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819785" cy="175260"/>
                      <wp:effectExtent l="0" t="0" r="0" b="0"/>
                      <wp:wrapNone/>
                      <wp:docPr id="596" name="Frame59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98" name="Frame5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95935" cy="175260"/>
                      <wp:effectExtent l="0" t="0" r="0" b="0"/>
                      <wp:wrapNone/>
                      <wp:docPr id="599" name="Frame5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3985" cy="175260"/>
                      <wp:effectExtent l="0" t="0" r="0" b="0"/>
                      <wp:wrapNone/>
                      <wp:docPr id="601"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95935" cy="175260"/>
                      <wp:effectExtent l="0" t="0" r="0" b="0"/>
                      <wp:wrapNone/>
                      <wp:docPr id="602" name="Frame6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19710" cy="175260"/>
                      <wp:effectExtent l="0" t="0" r="0" b="0"/>
                      <wp:wrapNone/>
                      <wp:docPr id="603" name="Frame6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3985" cy="175260"/>
                      <wp:effectExtent l="0" t="0" r="0" b="0"/>
                      <wp:wrapNone/>
                      <wp:docPr id="604"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67360" cy="175260"/>
                      <wp:effectExtent l="0" t="0" r="0" b="0"/>
                      <wp:wrapNone/>
                      <wp:docPr id="605" name="Frame60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19710" cy="175260"/>
                      <wp:effectExtent l="0" t="0" r="0" b="0"/>
                      <wp:wrapNone/>
                      <wp:docPr id="606"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419735" cy="175260"/>
                      <wp:effectExtent l="0" t="0" r="0" b="0"/>
                      <wp:wrapNone/>
                      <wp:docPr id="607" name="Frame6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29235" cy="175260"/>
                      <wp:effectExtent l="0" t="0" r="0" b="0"/>
                      <wp:wrapNone/>
                      <wp:docPr id="608" name="Frame6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33985" cy="175260"/>
                      <wp:effectExtent l="0" t="0" r="0" b="0"/>
                      <wp:wrapNone/>
                      <wp:docPr id="609" name="Frame6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495935" cy="175260"/>
                      <wp:effectExtent l="0" t="0" r="0" b="0"/>
                      <wp:wrapNone/>
                      <wp:docPr id="610" name="Frame6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1" name="Frame6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3985" cy="175260"/>
                      <wp:effectExtent l="0" t="0" r="0" b="0"/>
                      <wp:wrapNone/>
                      <wp:docPr id="612" name="Frame6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34035" cy="175260"/>
                      <wp:effectExtent l="0" t="0" r="0" b="0"/>
                      <wp:wrapNone/>
                      <wp:docPr id="613" name="Frame61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19710" cy="175260"/>
                      <wp:effectExtent l="0" t="0" r="0" b="0"/>
                      <wp:wrapNone/>
                      <wp:docPr id="614"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3985" cy="175260"/>
                      <wp:effectExtent l="0" t="0" r="0" b="0"/>
                      <wp:wrapNone/>
                      <wp:docPr id="615" name="Frame6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95935" cy="175260"/>
                      <wp:effectExtent l="0" t="0" r="0" b="0"/>
                      <wp:wrapNone/>
                      <wp:docPr id="616" name="Frame6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7" name="Frame6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19735" cy="175260"/>
                      <wp:effectExtent l="0" t="0" r="0" b="0"/>
                      <wp:wrapNone/>
                      <wp:docPr id="618" name="Frame61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00660" cy="175260"/>
                      <wp:effectExtent l="0" t="0" r="0" b="0"/>
                      <wp:wrapNone/>
                      <wp:docPr id="619" name="Frame6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12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6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464,891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33,273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940,125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321,719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and services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389,036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29,225</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870,446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554,623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315,823</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margin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16,229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left"/>
              <w:rPr/>
            </w:pPr>
            <w:r>
              <w:rPr/>
              <w:t>​</w:t>
            </w:r>
          </w:p>
        </w:tc>
      </w:tr>
      <w:tr>
        <w:trPr/>
        <w:tc>
          <w:tcPr>
            <w:tcW w:w="12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2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12,693</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7,118</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15"/>
        </w:rPr>
      </w:pPr>
      <w:r>
        <w:rPr>
          <w:rFonts w:ascii="Times New Roman;Times;serif" w:hAnsi="Times New Roman;Times;serif"/>
          <w:sz w:val="15"/>
        </w:rPr>
        <w:t>NM - Not meaningful</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revenue increased by $33.3 million, or 8%, for the three months ended March 31, 2026, compared to the three months ended March 31, 2025. The increase in total revenue for the three months ended March 31, 2026 was mainly attributable to an increase in revenue from our battery-based energy storage products and solutions which was primarily driven by increased volumes of solutions projects fulfilled.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revenue increased by $321.7 million, or 52%, for the six months ended March 31, 2026, compared to the six months ended March 31, 2025. The increase in total revenue for the six months ended March 31, 2026 was mainly attributable to an increase in revenue from our battery-based energy storage products and solutions which was primarily driven by increased volumes of solutions projects fulfilled.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goods and services increased by $29.2 million, or 8%, for the three months ended March 31, 2026, compared to the three months ended March 31, 2025. The increase in cost of goods and services for the three months ended March 31, 2026 was mainly attributable to the increased volumes of solutions projects fulfilled as described above.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goods and services increased by $315.8 million, or 57%, for the six months ended March 31, 2026, compared to the six months ended March 31, 2025. The increase in cost of goods and services for the six months ended March 31, 2026 was mainly attributable to (i) the increased volumes of solutions projects fulfilled as described above, (ii) various cost increases incurred on certain solutions produced in the U.S., and (iii) negative effects of revisions of estimated total contract costs on certain projects due to delays and changes in scope.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and Gross Profit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increased by $4.0 million, or 10%, for the three months ended March 31, 2026, compared to the three months ended March 31, 2025, while gross profit margin remained relatively flat. The increase in gross profit for the three months ended March 31, 2026 was primarily due to the increased volumes of solutions projects fulfilled described above in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increased by $5.9 million, or 9%, for the six months ended March 31, 2026, compared to the six months ended March 31, 2025, while gross profit margin decreased. The increase in gross profit for the six months ended March 31, 2026 was primarily due to the increased volumes of solutions projects fulfilled described above in “Revenue.” The decrease in gross profit margin for the six months ended March 31, 2026 was primarily due to the various cost increases incurred on certain solutions produced in the U.S. and negative effects of revisions of estimated total contract costs on certain projects due to delays and changes in scope described above in “Cost of Goods and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were relatively flat for the three months ended March 31, 2026, compared to the three months ended March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were relatively flat for the six months ended March 31, 2026, compared to the six months ended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increased by $2.1 million, or 10%, for the three months ended March 31, 2026, compared to the three months ended March 31, 2025. The increase in sales and marketing expenses for the three months ended March 31, 2026 was primarily attributable to a $3.6 million increase in salaries and personnel-related expenses due to an increase in accrued annual cash bonus expenses, offset by a $0.6 million decrease in costs of sales and marketing-related consulting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increased by $5.9 million, or 15%, for the six months ended March 31, 2026, compared to the six months ended March 31, 2025. The increase in sales and marketing expenses for the six months ended March 31, 2026 was primarily attributable to a $5.8 million increase in salaries and personnel-related expenses due to an increase in accrued annual cash bonus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decreased by $4.2 million, or 10%, for the three months ended March 31, 2026, compared to the three months ended March 31, 2025. The decrease in general and administrative expenses was primarily attributable to (i) a $2.5 million decrease in IT consulting costs primarily related to software development and (ii) a $2.1 million decrease in severance costs recognized.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were relatively flat for the six months ended March 31, 2026, compared to the six months ended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by $1.3 million, or 45%, for the three months ended March 31, 2026, compared to the three months ended March 31, 2025, primarily attributable to an increase in amortization of capitalized software.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by $2.3 million, or 39%, for the six months ended March 31, 2026, compared to the six months ended March 31, 2025, primarily attributable to an increase in amortization of capitalized software.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net increased by $2.4 million, or 606% for the three months ended March 31, 2026, compared to the three months ended March 31, 2025, primarily attributable to a $2.1 million decrease in interest income on cash deposits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(income), net increased by $4.5 million for the six months ended March 31, 2026, compared to the six months ended March 31, 2025, primarily attributable to (i) a $2.1 million increase in interest expense recognized for the 2030 Convertible Senior Notes and (ii) a $1.8 million decrease in interest income on cash deposits and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net increased by $12.7 million, or 823%, for the three months ended March 31, 2026, compared to the three months ended March 31, 2025, primarily attributable to (i) a $7.2 million net increase in favorable foreign currency exchange gains on monetary assets and liabilities period over period and (ii) a $5.5 million increase in net gains on derivative instruments not designated as hedges during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(income) expense, net increased by $12.5 million for the six months ended March 31, 2026, compared to the six months ended March 31, 2025, primarily attributable to a $14.9 million net increase in favorable foreign currency exchange gains on monetary assets and liabilities period over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expense (benefit) increased by $3.5 million for the three months ended March 31, 2026, compared to the three months ended March 31, 2025. The increase in income tax expense for the three months ended March 31, 2026 was primarily attributable to an increase in pre-tax income in foreign tax jurisdictions without historical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Income tax benefit increased by $2.6 million, or 71%, for the six months ended March 31, 2026, compared to the six months ended March 31, 2025. The increase in income tax benefit for the six months ended March 31, 2026 was primarily attributable to a decrease in valuation allowances.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loss decreased by $12.7 million, or 30%, for the three months ended March 31, 2026, compared to the three months ended March 31, 2025. The decrease in net loss for the three months ended March 31, 2026 was primarily attributable to an increase in “Other (income) expense, net” and a decrease in “General and administrative expenses” partially offset by an increase in “Sales and marketing expenses” and “Interest expense,net” as described above.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loss decreased by $7.1 million, or 7%, for the six months ended March 31, 2026, compared to the six months ended March 31, 2025. The decrease in net loss for the six months ended March 31, 2026 was primarily attributable to an increase in “Other (income) expense, net,” partially offset by an increase in “Sales and marketing expenses” as described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section contains references to certain non-GAAP financial measures, including Adjusted EBITDA, Adjusted Gross Profit, Adjusted Gross Profit Margin, and Free Cash Flow.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is calculated from the condensed consolidated statements of operations using net income (loss) adjusted for (i) interest expense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Gross Profit is calculated from the condensed consolidated statements of operations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calculated from the condensed consolidated statements of cash flows and is defined as net cash provided by (used in) operating activities, adjusted to exclude purchases made under supply chain financing arrangements, less purchase of property and equipment made in the period. We expect our Free Cash Flow to fluctuate in future periods as we invest in our business to support our plans for growth.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non-GAAP measures are intended as supplemental measures of performance and/or liquidity that are neither required by, nor presented in accordance with, U.S. generally accepted accounting principles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With respect to Free Cash Flow, limitations on its use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present our non-GAAP measures for the periods indicated.</w:t>
      </w:r>
    </w:p>
    <w:tbl>
      <w:tblPr>
        <w:tblW w:w="8010" w:type="dxa"/>
        <w:jc w:val="left"/>
        <w:tblInd w:w="0" w:type="dxa"/>
        <w:tblLayout w:type="fixed"/>
        <w:tblCellMar>
          <w:top w:w="0" w:type="dxa"/>
          <w:left w:w="0" w:type="dxa"/>
          <w:bottom w:w="0" w:type="dxa"/>
          <w:right w:w="0" w:type="dxa"/>
        </w:tblCellMar>
      </w:tblPr>
      <w:tblGrid>
        <w:gridCol w:w="2671"/>
        <w:gridCol w:w="346"/>
        <w:gridCol w:w="214"/>
        <w:gridCol w:w="809"/>
        <w:gridCol w:w="352"/>
        <w:gridCol w:w="214"/>
        <w:gridCol w:w="809"/>
        <w:gridCol w:w="346"/>
        <w:gridCol w:w="231"/>
        <w:gridCol w:w="810"/>
        <w:gridCol w:w="119"/>
        <w:gridCol w:w="231"/>
        <w:gridCol w:w="858"/>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696085" cy="175260"/>
                      <wp:effectExtent l="0" t="0" r="0" b="0"/>
                      <wp:wrapNone/>
                      <wp:docPr id="620" name="Frame62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219710" cy="175260"/>
                      <wp:effectExtent l="0" t="0" r="0" b="0"/>
                      <wp:wrapNone/>
                      <wp:docPr id="621"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35890" cy="175260"/>
                      <wp:effectExtent l="0" t="0" r="0" b="0"/>
                      <wp:wrapNone/>
                      <wp:docPr id="622" name="Frame62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513715" cy="175260"/>
                      <wp:effectExtent l="0" t="0" r="0" b="0"/>
                      <wp:wrapNone/>
                      <wp:docPr id="623" name="Frame62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23520" cy="175260"/>
                      <wp:effectExtent l="0" t="0" r="0" b="0"/>
                      <wp:wrapNone/>
                      <wp:docPr id="624" name="Frame62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35890" cy="175260"/>
                      <wp:effectExtent l="0" t="0" r="0" b="0"/>
                      <wp:wrapNone/>
                      <wp:docPr id="625" name="Frame62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513715" cy="175260"/>
                      <wp:effectExtent l="0" t="0" r="0" b="0"/>
                      <wp:wrapNone/>
                      <wp:docPr id="626" name="Frame626"/>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19710" cy="175260"/>
                      <wp:effectExtent l="0" t="0" r="0" b="0"/>
                      <wp:wrapNone/>
                      <wp:docPr id="627"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46685" cy="175260"/>
                      <wp:effectExtent l="0" t="0" r="0" b="0"/>
                      <wp:wrapNone/>
                      <wp:docPr id="628" name="Frame62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514350" cy="175260"/>
                      <wp:effectExtent l="0" t="0" r="0" b="0"/>
                      <wp:wrapNone/>
                      <wp:docPr id="629" name="Frame629"/>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75565" cy="175260"/>
                      <wp:effectExtent l="0" t="0" r="0" b="0"/>
                      <wp:wrapNone/>
                      <wp:docPr id="630" name="Frame630"/>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46685" cy="175260"/>
                      <wp:effectExtent l="0" t="0" r="0" b="0"/>
                      <wp:wrapNone/>
                      <wp:docPr id="631" name="Frame63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544830" cy="175260"/>
                      <wp:effectExtent l="0" t="0" r="0" b="0"/>
                      <wp:wrapNone/>
                      <wp:docPr id="632" name="Frame63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46" w:type="dxa"/>
            <w:tcBorders/>
            <w:vAlign w:val="center"/>
          </w:tcPr>
          <w:p>
            <w:pPr>
              <w:pStyle w:val="TableContents"/>
              <w:bidi w:val="0"/>
              <w:spacing w:before="0" w:after="1"/>
              <w:ind w:left="0" w:right="0" w:hanging="0"/>
              <w:jc w:val="center"/>
              <w:rPr/>
            </w:pPr>
            <w:r>
              <w:rPr/>
              <w:t>​</w:t>
            </w:r>
          </w:p>
        </w:tc>
        <w:tc>
          <w:tcPr>
            <w:tcW w:w="22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26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2" w:type="dxa"/>
            <w:tcBorders/>
            <w:vAlign w:val="center"/>
          </w:tcPr>
          <w:p>
            <w:pPr>
              <w:pStyle w:val="TableContents"/>
              <w:bidi w:val="0"/>
              <w:spacing w:before="0" w:after="1"/>
              <w:ind w:left="0" w:right="0" w:hanging="0"/>
              <w:jc w:val="center"/>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9" w:type="dxa"/>
            <w:tcBorders/>
            <w:vAlign w:val="center"/>
          </w:tcPr>
          <w:p>
            <w:pPr>
              <w:pStyle w:val="TableContents"/>
              <w:bidi w:val="0"/>
              <w:spacing w:before="0" w:after="1"/>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(29,239)</w:t>
            </w:r>
          </w:p>
        </w:tc>
        <w:tc>
          <w:tcPr>
            <w:tcW w:w="352"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(41,932)</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(91,827)</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(98,945)</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lef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352"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w:t>
            </w:r>
          </w:p>
        </w:tc>
        <w:tc>
          <w:tcPr>
            <w:tcW w:w="11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w:t>
            </w:r>
          </w:p>
        </w:tc>
        <w:tc>
          <w:tcPr>
            <w:tcW w:w="352"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(1,993)</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(6,346)</w:t>
            </w:r>
          </w:p>
        </w:tc>
        <w:tc>
          <w:tcPr>
            <w:tcW w:w="11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(3,708)</w:t>
            </w:r>
          </w:p>
        </w:tc>
      </w:tr>
      <w:tr>
        <w:trPr/>
        <w:tc>
          <w:tcPr>
            <w:tcW w:w="2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w:t>
            </w:r>
          </w:p>
        </w:tc>
        <w:tc>
          <w:tcPr>
            <w:tcW w:w="352"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19,525</w:t>
            </w:r>
          </w:p>
        </w:tc>
        <w:tc>
          <w:tcPr>
            <w:tcW w:w="119"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10,674</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3,942</w:t>
            </w:r>
          </w:p>
        </w:tc>
        <w:tc>
          <w:tcPr>
            <w:tcW w:w="352"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3,834</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9,230</w:t>
            </w:r>
          </w:p>
        </w:tc>
        <w:tc>
          <w:tcPr>
            <w:tcW w:w="119"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9,142</w:t>
            </w:r>
          </w:p>
        </w:tc>
      </w:tr>
      <w:tr>
        <w:trPr/>
        <w:tc>
          <w:tcPr>
            <w:tcW w:w="267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non-recurring expenses</w:t>
            </w:r>
            <w:r>
              <w:rPr>
                <w:rFonts w:ascii="Times New Roman;Times;serif" w:hAnsi="Times New Roman;Times;serif"/>
                <w:i/>
                <w:sz w:val="15"/>
              </w:rPr>
              <w:t>(a)</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52"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3,100</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w:t>
            </w:r>
          </w:p>
        </w:tc>
        <w:tc>
          <w:tcPr>
            <w:tcW w:w="119" w:type="dxa"/>
            <w:tcBorders/>
            <w:shd w:fill="CCEEFF" w:val="clear"/>
            <w:vAlign w:val="center"/>
          </w:tcPr>
          <w:p>
            <w:pPr>
              <w:pStyle w:val="TableContents"/>
              <w:bidi w:val="0"/>
              <w:spacing w:before="0" w:after="1"/>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3,100</w:t>
            </w:r>
          </w:p>
        </w:tc>
      </w:tr>
      <w:tr>
        <w:trPr/>
        <w:tc>
          <w:tcPr>
            <w:tcW w:w="26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(9,442)</w:t>
            </w:r>
          </w:p>
        </w:tc>
        <w:tc>
          <w:tcPr>
            <w:tcW w:w="352"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(30,411)</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(61,500)</w:t>
            </w:r>
          </w:p>
        </w:tc>
        <w:tc>
          <w:tcPr>
            <w:tcW w:w="119" w:type="dxa"/>
            <w:tcBorders/>
            <w:vAlign w:val="center"/>
          </w:tcPr>
          <w:p>
            <w:pPr>
              <w:pStyle w:val="TableContents"/>
              <w:bidi w:val="0"/>
              <w:spacing w:before="0" w:after="1"/>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(80,087)</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i/>
                <w:sz w:val="16"/>
              </w:rPr>
            </w:pPr>
            <w:r>
              <w:rPr>
                <w:rFonts w:ascii="Times New Roman;Times;serif" w:hAnsi="Times New Roman;Times;serif"/>
                <w:i/>
                <w:sz w:val="16"/>
              </w:rPr>
              <w:t>(a)</w:t>
            </w:r>
          </w:p>
        </w:tc>
        <w:tc>
          <w:tcPr>
            <w:tcW w:w="9923"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 for the three months ended March 31, 2026 includes approximately $0.3 million for legal and consulting fees related to potential strategic transactions and $0.5 million of impairment expense related to an equity method investment. Amount for three months ended March 31, 2025 includes $3.1 million in severance costs related to restructuring. Amounts for six months ended March 31, 2026 includes approximately $3.3 million for legal and consulting fees related to potential strategic transactions and $0.5 million of impairment expense related to an equity method investment. Amount for the six months ended March 31, 2025 includes $3.1 million in severance costs related to restructuring.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33" w:type="dxa"/>
        <w:jc w:val="left"/>
        <w:tblInd w:w="0" w:type="dxa"/>
        <w:tblLayout w:type="fixed"/>
        <w:tblCellMar>
          <w:top w:w="0" w:type="dxa"/>
          <w:left w:w="0" w:type="dxa"/>
          <w:bottom w:w="0" w:type="dxa"/>
          <w:right w:w="0" w:type="dxa"/>
        </w:tblCellMar>
      </w:tblPr>
      <w:tblGrid>
        <w:gridCol w:w="2866"/>
        <w:gridCol w:w="346"/>
        <w:gridCol w:w="215"/>
        <w:gridCol w:w="798"/>
        <w:gridCol w:w="368"/>
        <w:gridCol w:w="215"/>
        <w:gridCol w:w="803"/>
        <w:gridCol w:w="361"/>
        <w:gridCol w:w="211"/>
        <w:gridCol w:w="781"/>
        <w:gridCol w:w="361"/>
        <w:gridCol w:w="211"/>
        <w:gridCol w:w="781"/>
        <w:gridCol w:w="31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819910" cy="175260"/>
                      <wp:effectExtent l="0" t="0" r="0" b="0"/>
                      <wp:wrapNone/>
                      <wp:docPr id="633" name="Frame63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19710" cy="175260"/>
                      <wp:effectExtent l="0" t="0" r="0" b="0"/>
                      <wp:wrapNone/>
                      <wp:docPr id="634" name="Frame6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36525" cy="175260"/>
                      <wp:effectExtent l="0" t="0" r="0" b="0"/>
                      <wp:wrapNone/>
                      <wp:docPr id="635" name="Frame63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06730" cy="175260"/>
                      <wp:effectExtent l="0" t="0" r="0" b="0"/>
                      <wp:wrapNone/>
                      <wp:docPr id="636" name="Frame636"/>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33680" cy="175260"/>
                      <wp:effectExtent l="0" t="0" r="0" b="0"/>
                      <wp:wrapNone/>
                      <wp:docPr id="637" name="Frame637"/>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36525" cy="175260"/>
                      <wp:effectExtent l="0" t="0" r="0" b="0"/>
                      <wp:wrapNone/>
                      <wp:docPr id="638" name="Frame63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509905" cy="175260"/>
                      <wp:effectExtent l="0" t="0" r="0" b="0"/>
                      <wp:wrapNone/>
                      <wp:docPr id="639" name="Frame639"/>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29235" cy="175260"/>
                      <wp:effectExtent l="0" t="0" r="0" b="0"/>
                      <wp:wrapNone/>
                      <wp:docPr id="640" name="Frame6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41" name="Frame6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95935" cy="175260"/>
                      <wp:effectExtent l="0" t="0" r="0" b="0"/>
                      <wp:wrapNone/>
                      <wp:docPr id="642" name="Frame6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29235" cy="175260"/>
                      <wp:effectExtent l="0" t="0" r="0" b="0"/>
                      <wp:wrapNone/>
                      <wp:docPr id="643" name="Frame6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4" name="Frame6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95935" cy="175260"/>
                      <wp:effectExtent l="0" t="0" r="0" b="0"/>
                      <wp:wrapNone/>
                      <wp:docPr id="645" name="Frame6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0660" cy="175260"/>
                      <wp:effectExtent l="0" t="0" r="0" b="0"/>
                      <wp:wrapNone/>
                      <wp:docPr id="646" name="Frame6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1"/>
              <w:ind w:left="0" w:right="0" w:hanging="0"/>
              <w:jc w:val="center"/>
              <w:rPr/>
            </w:pPr>
            <w:r>
              <w:rPr/>
              <w:t>​</w:t>
            </w:r>
          </w:p>
        </w:tc>
        <w:tc>
          <w:tcPr>
            <w:tcW w:w="23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c>
          <w:tcPr>
            <w:tcW w:w="316" w:type="dxa"/>
            <w:tcBorders/>
            <w:vAlign w:val="center"/>
          </w:tcPr>
          <w:p>
            <w:pPr>
              <w:pStyle w:val="TableContents"/>
              <w:bidi w:val="0"/>
              <w:spacing w:before="0" w:after="1"/>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8" w:type="dxa"/>
            <w:tcBorders/>
            <w:vAlign w:val="center"/>
          </w:tcPr>
          <w:p>
            <w:pPr>
              <w:pStyle w:val="TableContents"/>
              <w:bidi w:val="0"/>
              <w:spacing w:before="0" w:after="1"/>
              <w:ind w:left="0" w:right="0" w:hanging="0"/>
              <w:jc w:val="left"/>
              <w:rPr/>
            </w:pPr>
            <w:r>
              <w:rPr/>
              <w:t>  ​ ​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center"/>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464,891</w:t>
            </w:r>
          </w:p>
        </w:tc>
        <w:tc>
          <w:tcPr>
            <w:tcW w:w="368"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431,618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940,125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618,406</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and services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418,261</w:t>
            </w:r>
          </w:p>
        </w:tc>
        <w:tc>
          <w:tcPr>
            <w:tcW w:w="368"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389,036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870,446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554,623</w:t>
            </w:r>
          </w:p>
        </w:tc>
        <w:tc>
          <w:tcPr>
            <w:tcW w:w="316" w:type="dxa"/>
            <w:tcBorders/>
            <w:vAlign w:val="center"/>
          </w:tcPr>
          <w:p>
            <w:pPr>
              <w:pStyle w:val="TableContents"/>
              <w:bidi w:val="0"/>
              <w:spacing w:before="0" w:after="1"/>
              <w:ind w:left="0" w:right="0" w:hanging="0"/>
              <w:jc w:val="lef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46,630</w:t>
            </w:r>
          </w:p>
        </w:tc>
        <w:tc>
          <w:tcPr>
            <w:tcW w:w="368"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69,679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63,783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margin %</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5"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68"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w:t>
            </w:r>
          </w:p>
        </w:tc>
        <w:tc>
          <w:tcPr>
            <w:tcW w:w="8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w:t>
            </w:r>
          </w:p>
        </w:tc>
        <w:tc>
          <w:tcPr>
            <w:tcW w:w="316" w:type="dxa"/>
            <w:tcBorders/>
            <w:vAlign w:val="center"/>
          </w:tcPr>
          <w:p>
            <w:pPr>
              <w:pStyle w:val="TableContents"/>
              <w:bidi w:val="0"/>
              <w:spacing w:before="0" w:after="1"/>
              <w:ind w:left="0" w:right="0" w:hanging="0"/>
              <w:jc w:val="lef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w:t>
            </w:r>
          </w:p>
        </w:tc>
        <w:tc>
          <w:tcPr>
            <w:tcW w:w="368"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non-recurring expenses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8" w:type="dxa"/>
            <w:tcBorders/>
            <w:vAlign w:val="center"/>
          </w:tcPr>
          <w:p>
            <w:pPr>
              <w:pStyle w:val="TableContents"/>
              <w:bidi w:val="0"/>
              <w:spacing w:before="0" w:after="1"/>
              <w:ind w:left="0" w:right="0" w:hanging="0"/>
              <w:jc w:val="righ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16" w:type="dxa"/>
            <w:tcBorders/>
            <w:vAlign w:val="center"/>
          </w:tcPr>
          <w:p>
            <w:pPr>
              <w:pStyle w:val="TableContents"/>
              <w:bidi w:val="0"/>
              <w:spacing w:before="0" w:after="1"/>
              <w:ind w:left="0" w:right="0" w:hanging="0"/>
              <w:jc w:val="lef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51,487</w:t>
            </w:r>
          </w:p>
        </w:tc>
        <w:tc>
          <w:tcPr>
            <w:tcW w:w="368" w:type="dxa"/>
            <w:tcBorders/>
            <w:shd w:fill="CCEEFF" w:val="clear"/>
            <w:vAlign w:val="center"/>
          </w:tcPr>
          <w:p>
            <w:pPr>
              <w:pStyle w:val="TableContents"/>
              <w:bidi w:val="0"/>
              <w:spacing w:before="0" w:after="1"/>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78,147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68,254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Gross Profit Margin %</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tbl>
      <w:tblPr>
        <w:tblW w:w="7882" w:type="dxa"/>
        <w:jc w:val="left"/>
        <w:tblInd w:w="0" w:type="dxa"/>
        <w:tblLayout w:type="fixed"/>
        <w:tblCellMar>
          <w:top w:w="0" w:type="dxa"/>
          <w:left w:w="0" w:type="dxa"/>
          <w:bottom w:w="0" w:type="dxa"/>
          <w:right w:w="0" w:type="dxa"/>
        </w:tblCellMar>
      </w:tblPr>
      <w:tblGrid>
        <w:gridCol w:w="4921"/>
        <w:gridCol w:w="346"/>
        <w:gridCol w:w="211"/>
        <w:gridCol w:w="901"/>
        <w:gridCol w:w="346"/>
        <w:gridCol w:w="211"/>
        <w:gridCol w:w="94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3124835" cy="175260"/>
                      <wp:effectExtent l="0" t="0" r="0" b="0"/>
                      <wp:wrapNone/>
                      <wp:docPr id="647" name="Frame647"/>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8" name="Frame6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49" name="Frame6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72135" cy="175260"/>
                      <wp:effectExtent l="0" t="0" r="0" b="0"/>
                      <wp:wrapNone/>
                      <wp:docPr id="650" name="Frame65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1" name="Frame6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2"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00710" cy="175260"/>
                      <wp:effectExtent l="0" t="0" r="0" b="0"/>
                      <wp:wrapNone/>
                      <wp:docPr id="653" name="Frame6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r>
      <w:tr>
        <w:trPr/>
        <w:tc>
          <w:tcPr>
            <w:tcW w:w="4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(257,416)</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Purchases under supply chain financing arrangements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Purchase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(6,462)</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(285,404)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(263,878)</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inception and through March 31, 2026, our principal sources of liquidity have been the proceeds from our initial public offering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Inc. (“Siemens Industry”), proceeds from the investment by QIA Florence Holdings, LLC, an affiliate of Qatar Holding LLC in 2021, and proceeds from sale of accounts receivable.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existing cash and cash equivalents, which includes cash flows from operations, and proceeds from the issuance of the 2030 Convertible Senior Notes, in addition to our supply chain financing arrangements, and availability under our Revolver (as defined below) will be sufficient to meet our expense and capital requirements for at least the next 12 months following the filing of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capital requirements, and ability to generate cash flow, have been and may in the future vary materially from those planned and will depend on many factors, including our rate of revenue growth, the timing and extent of our growth initiatives, our introduction of new products, services, and digital application offerings and related costs and expenses, and overall regulatory and macroeconomic conditions, including, among others, factors relating to inflation, interest rate environment, impacts of tariffs and trade restrictions, labor shortages, supply chain disruptions, changing consumer behavior, increased competition, and pandemics. To the extent that current or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2030 Convertible Senior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2024, the Company issued $400.0 million aggregate principal amount of 2.25% convertible senior notes due 2030 (the “2030 Convertible Senior Notes”). The 2030 Convertible Senior Notes were issued pursuant to, and are governed by, an indenture, dated as of December 12, 2024, between the Company and UMB Bank, National Association, as trustee (the “Indenture”). In connection with the 2030 Convertible Senior Notes, the Company purchased capped calls with certain financial institutions pursuant to capped call confirmations (collectively the “Capped Calls”). For discussion of the 2030 Convertible Senior Notes and the Capped Calls, refer to “Note 12- Convertible Senior Notes, Net” to our condensed consolidated financial statements included elsewhere in this Report and incorporated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Supply Chain Financing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provide certain of our suppliers with access to two different supply chain financing programs through two different third-party financing institutions. For greater discussion of the Company’s supply chain financing programs, refer to “Note 17- Supply Chain Financing” to our condensed consolidated financial statements included elsewhere in this Report and incorporated herein.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Shelf Registration Statement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11, 2023, we filed an automatic shelf registration statement on Form S-3 with the SEC (the “Form S-3”) which became effective upon filing and will remain effective through August 11, 2026, subject to our continued eligibility to use such form.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117,666,665 shares of Class A common stock in one or more offerings.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Revolving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6, 2024, Fluence Energy, Inc. entered into Amendment Number Three to the existing asset-based syndicated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converting the outstanding asset-based lending facility into a senior secured cash flow revolving credit facility in an initial aggregate principal amount of up to $500.0 million (the “Revolver”). On March 31, 2026, we entered into Amendment Number Four (“Amendment No. 4”) to the 2024 Credit Agreement (such agreement, as so amended by Amendment No. 4, the “Credit Agreement”), which, among other things, (i) extends the “Trigger Date” under the Credit Agreement from December 31, 2025 to December 31, 2026, (ii) extends the minimum liquidity covenant of $150.0 million through December 31, 2026, and (iii) moves the initial test date of the consolidated leverage ratio covenant from January 1, 2026 to January 1, 2027. Following the entry into Amendment No. 4, the Credit Agreement now requires the borrowers to post $50.0 million in cash collateral if the Total Revolving Extensions of Credit exceed $450.0 million. Capitalized terms used in this subsection that are not otherwise defined are defined in the 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 For greater discussion of the Company’s Revolver and Credit Agreement, as may be amended from time to time, refer to “Note 11 - Debt” to our condensed consolidated financial statements included elsewhere in this Report and incorporated herein.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Master Receivables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27, 2024, Fluence Energy, LLC entered into the Master Receivables Purchase Agreement, by and among Fluence Energy, LLC and any other seller from time to time party thereto, as sellers and servicers, and Credit Agricole Corporate and Investment Bank (“CACIB”), as purchaser, of certain receivables on an uncommitted basis (the “MRPA”). The MRPA provides that the outstanding amount of all purchased receivables under the MRPA will not exceed $75.0 million, with sublimits for each account debtor and for certain kinds of receivables. The MRPA contains other customary representations and warranties and covenants.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Master Drafts Sale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2025, Fluence Energy, LLC entered into a Master Drafts Sale Agreement (“MDSA”), by and among Fluence Energy, LLC as seller and CACIB as purchaser. Pursuant to the MDSA, Fluence Energy, LLC may sell negotiable drafts or bills or exchange (the “Drafts”) identified in Purchase Requests to CACIB, and CACIB may agree to purchase the Drafts on an uncommitted basis. Each Draft represents unconditional payments owed to Fluence Energy, LLC by its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Support and Reimbursement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Currently, the Company has outstanding performance guarantees issued pursuant to the terms of the Credit Support and Reimbursement Agreement by AES and Siemens Industry and their respective affiliates that guarantee Fluence’s performance obligations with certain Fluence customers. Guarantees are also issued by AES and Siemens Corporation, pursuant to the terms of the Credit Support and Reimbursement Agreement, in connection with a supplier chain financing program (as described in greater detail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Commitments, Contingencies, and 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2026, the Company had outstanding bank guarantees, parent guarantees, letters of credit, and surety bonds issued as performance security arrangements for a large number of customer projects. In addition, we have a limited number of parent company guarantees and letters of credit issued as payment security to certain vendors. The Company also has certain battery purchase obligations and spending requirements under our master supply agreement with suppliers. We are also party to both assurance and service-type warranties for various lengths of time. Refer to “Note 14 - Commitments and Contingencies” in our unaudited condensed consolidated financial statements included elsewhere in this Report for more information regarding our contingent obligations, including off-balance sheet arrangements, and legal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Historical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from operating, investing, and financing activities for the periods presented.</w:t>
      </w:r>
    </w:p>
    <w:tbl>
      <w:tblPr>
        <w:tblW w:w="9061" w:type="dxa"/>
        <w:jc w:val="left"/>
        <w:tblInd w:w="0" w:type="dxa"/>
        <w:tblLayout w:type="fixed"/>
        <w:tblCellMar>
          <w:top w:w="0" w:type="dxa"/>
          <w:left w:w="0" w:type="dxa"/>
          <w:bottom w:w="0" w:type="dxa"/>
          <w:right w:w="0" w:type="dxa"/>
        </w:tblCellMar>
      </w:tblPr>
      <w:tblGrid>
        <w:gridCol w:w="3466"/>
        <w:gridCol w:w="346"/>
        <w:gridCol w:w="211"/>
        <w:gridCol w:w="901"/>
        <w:gridCol w:w="109"/>
        <w:gridCol w:w="211"/>
        <w:gridCol w:w="901"/>
        <w:gridCol w:w="346"/>
        <w:gridCol w:w="346"/>
        <w:gridCol w:w="901"/>
        <w:gridCol w:w="346"/>
        <w:gridCol w:w="66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200910" cy="175260"/>
                      <wp:effectExtent l="0" t="0" r="0" b="0"/>
                      <wp:wrapNone/>
                      <wp:docPr id="654" name="Frame654"/>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19710" cy="175260"/>
                      <wp:effectExtent l="0" t="0" r="0" b="0"/>
                      <wp:wrapNone/>
                      <wp:docPr id="655"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33985" cy="175260"/>
                      <wp:effectExtent l="0" t="0" r="0" b="0"/>
                      <wp:wrapNone/>
                      <wp:docPr id="656"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572135" cy="175260"/>
                      <wp:effectExtent l="0" t="0" r="0" b="0"/>
                      <wp:wrapNone/>
                      <wp:docPr id="657" name="Frame65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9215" cy="175260"/>
                      <wp:effectExtent l="0" t="0" r="0" b="0"/>
                      <wp:wrapNone/>
                      <wp:docPr id="658" name="Frame6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59" name="Frame6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572135" cy="175260"/>
                      <wp:effectExtent l="0" t="0" r="0" b="0"/>
                      <wp:wrapNone/>
                      <wp:docPr id="660" name="Frame6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19710" cy="175260"/>
                      <wp:effectExtent l="0" t="0" r="0" b="0"/>
                      <wp:wrapNone/>
                      <wp:docPr id="661" name="Frame6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2"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572135" cy="175260"/>
                      <wp:effectExtent l="0" t="0" r="0" b="0"/>
                      <wp:wrapNone/>
                      <wp:docPr id="663" name="Frame6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419735" cy="175260"/>
                      <wp:effectExtent l="0" t="0" r="0" b="0"/>
                      <wp:wrapNone/>
                      <wp:docPr id="665" name="Frame66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00660" cy="175260"/>
                      <wp:effectExtent l="0" t="0" r="0" b="0"/>
                      <wp:wrapNone/>
                      <wp:docPr id="666" name="Frame66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March 31,</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  ​ ​ ​</w:t>
            </w:r>
          </w:p>
        </w:tc>
        <w:tc>
          <w:tcPr>
            <w:tcW w:w="316" w:type="dxa"/>
            <w:tcBorders/>
            <w:vAlign w:val="center"/>
          </w:tcPr>
          <w:p>
            <w:pPr>
              <w:pStyle w:val="TableContents"/>
              <w:bidi w:val="0"/>
              <w:spacing w:before="0" w:after="1"/>
              <w:ind w:left="0" w:right="0" w:hanging="0"/>
              <w:jc w:val="center"/>
              <w:rPr/>
            </w:pPr>
            <w:r>
              <w:rPr/>
              <w:t> </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(257,416)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(90,489)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359,113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(292,500)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used in operating activities were $347.9 million for the six months ended March 31, 2026, compared to net cash used in operating activities of $257.4 million for the six months ended March 31, 2025. The $90.5 million increase in net cash used in operating activities period over period was primarily due to net changes in working capital related balances of $99.8 million, partially offset by a decrease in net loss of $7.1 million. Below we describe in more detail the cash flows used in operating activities for each period: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 of $347.9 million for the six months ended March 31, 2026 were primarily due to (i) net loss of $91.8 million, (ii) increases in inventory of $299.6 million due to cash expenditures on inventory, (iii) decreases in accounts payable of $127.9 million due to the timing of purchases and payments and to various vendors, and (iv) increases in advances to suppliers of $80.5 million. These cash outflows were partially offset by positive net effects of changes in customer contract related assets and liabilities. Specifically, deferred revenue, inclusive of related parties, increased in aggregate by $151.9 million and receivables, inclusive of trade, unbilled accounts receivable and receivables from related parties, decreased in aggregate by $112.5 million due to timing of various customer project billings and cash collections in accordance with contract milestone payment schedules.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 of $257.4 million for the six months ended March 31, 2025 were primarily due to (i) net loss of $98.9 million, (ii) increases in inventory of $520.2 million due to cash expenditures on inventory, and (iii) decreases in accounts payable of $202.9 million due to the timing of purchases and payments to various vendors. These cash outflows were partially offset by positive net effects of changes in customer contract related assets and liabilities. Specifically, deferred revenue, inclusive of related parties, increased in aggregate by $379.7 million and receivables, inclusive of trade, unbilled accounts receivable and receivables from related parties, decreased in aggregate by $247.1 million due to timing of various customer project billings and cash collections in accordance with contract milestone payment schedules.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used in investing activities were $16.1 million for the six months ended March 31, 2026, which were due to purchases of property and equipment of $8.3 million and capital expenditures on software and other of $7.8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used in investing activities were $12.8 million for the six months ended March 31, 2025, which were due to purchases of property and equipment of $6.5 million and capital expenditures on software and other of $6.3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provided by financing activities were $66.6 million for the six months ended March 31, 2026, which were primarily due to $70.8 million of purchases under the supply chain financing arrangements, partially offset by $2.7 million related to Class A common stock withheld related to settlement of employee taxes for stock-based compensation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flows provided by financing activities were approximately $359.1 million for the six months ended March 31, 2025, which were primarily due to the proceeds received from the issuance of the 2030 Convertible Senior Notes of $400.0 million, partially offset by (i) premiums paid for the purchases of the Capped Calls of $29.0 million and (ii) payments for the debt issuance costs of $11.6 million primarily related to the 2030 Convertible Senior Notes.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Tax Receivable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30, 2022, Siemens Industry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$137.6 million. The Founders will be entitled to receive payments under the Tax Receivable Agreement equaling 85% of such amount, or $117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we anticipate funding payments from the Tax Receivable Agreement from cash flow from operations of our subsidiaries, available cash or available borrowings under any future debt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the exception of an estimated $0.3 million of Tax Receivable Agreement payment realized as of June 30, 2025,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March 31, 2026, there were no significant changes in application of our critical accounting policies or estimation procedures from those described under the heading “Management’s Discussion and Analysis of Financial Condition and Results of Operations—Critical Accounting Policies and Use of Estimates” in our 2025 Annual Report and the notes to the audited consolidated financial statements appearing elsewhere in the 2025 Annual Report.</w:t>
      </w:r>
    </w:p>
    <w:p>
      <w:pPr>
        <w:pStyle w:val="TextBody"/>
        <w:bidi w:val="0"/>
        <w:spacing w:before="0" w:after="240"/>
        <w:ind w:left="0" w:right="0" w:hanging="0"/>
        <w:jc w:val="left"/>
        <w:rPr>
          <w:rFonts w:ascii="Times New Roman;Times;serif" w:hAnsi="Times New Roman;Times;serif"/>
          <w:b/>
          <w:sz w:val="20"/>
        </w:rPr>
      </w:pPr>
      <w:bookmarkStart w:id="1875" w:name="Item3QuantitativeandQualitativeDisclosur"/>
      <w:bookmarkStart w:id="1876" w:name="_1bea5d20_85ff_4123_9713_8bbb9c48fccd"/>
      <w:bookmarkEnd w:id="1875"/>
      <w:bookmarkEnd w:id="1876"/>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with respect to our exposure to market risk as disclosed in Part II, Item 7A., “Quantitative and Qualitative Disclosures About Market Risk” of our 2025 Annual Report.</w:t>
      </w:r>
    </w:p>
    <w:p>
      <w:pPr>
        <w:pStyle w:val="TextBody"/>
        <w:bidi w:val="0"/>
        <w:spacing w:before="0" w:after="240"/>
        <w:ind w:left="0" w:right="0" w:hanging="0"/>
        <w:jc w:val="left"/>
        <w:rPr>
          <w:rFonts w:ascii="Times New Roman;Times;serif" w:hAnsi="Times New Roman;Times;serif"/>
          <w:b/>
          <w:sz w:val="20"/>
        </w:rPr>
      </w:pPr>
      <w:bookmarkStart w:id="1877" w:name="Item4ControlsandProcedures_90549"/>
      <w:bookmarkStart w:id="1878" w:name="_3a1750e9_3d11_43b8_a336_b7e15216e4c1"/>
      <w:bookmarkEnd w:id="1877"/>
      <w:bookmarkEnd w:id="187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March 31, 2026, the end of the period covered by this Report. Based upon that evaluation, management concluded that, as of March 31, 2026,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79" w:name="PartIIOtherInformation_530350"/>
      <w:bookmarkStart w:id="1880" w:name="_60b7dc22_0690_4ff3_a6b4_be5555b493b1"/>
      <w:bookmarkEnd w:id="1879"/>
      <w:bookmarkEnd w:id="188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881" w:name="Item1LegalProceedings_288827"/>
      <w:bookmarkEnd w:id="1881"/>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fire safety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 description of our material pending legal contingencies, please see “Note 14 - Commitments and Contingencies”, to the unaudited condensed consolidated financial statements included elsewhere in this Report.</w:t>
      </w:r>
    </w:p>
    <w:p>
      <w:pPr>
        <w:pStyle w:val="TextBody"/>
        <w:bidi w:val="0"/>
        <w:spacing w:before="0" w:after="240"/>
        <w:ind w:left="0" w:right="0" w:hanging="0"/>
        <w:jc w:val="left"/>
        <w:rPr>
          <w:rFonts w:ascii="Times New Roman;Times;serif" w:hAnsi="Times New Roman;Times;serif"/>
          <w:b/>
          <w:sz w:val="20"/>
        </w:rPr>
      </w:pPr>
      <w:bookmarkStart w:id="1882" w:name="Item1ARiskFactors_407011"/>
      <w:bookmarkStart w:id="1883" w:name="_c1d21331_b9ff_479b_bbe7_b26042a947c1"/>
      <w:bookmarkEnd w:id="1882"/>
      <w:bookmarkEnd w:id="1883"/>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the risk factors previously disclosed in our 2025 Annual Report. You should carefully consider the risks described in Part I, Item 1A. “Risk Factors” of our 2025 Annual Report along with our unaudited condensed consolidated financial statements and the related notes, as well as our other public filings with the SEC, before making an investment decision. Our business, financial condition, and results of operations could be materially and adversely affected by any of these risks or uncertainties.</w:t>
      </w:r>
    </w:p>
    <w:p>
      <w:pPr>
        <w:pStyle w:val="TextBody"/>
        <w:bidi w:val="0"/>
        <w:spacing w:before="0" w:after="240"/>
        <w:ind w:left="0" w:right="0" w:hanging="0"/>
        <w:jc w:val="left"/>
        <w:rPr>
          <w:rFonts w:ascii="Times New Roman;Times;serif" w:hAnsi="Times New Roman;Times;serif"/>
          <w:b/>
          <w:sz w:val="20"/>
        </w:rPr>
      </w:pPr>
      <w:bookmarkStart w:id="1884" w:name="Item2UnregisteredSalesofEquitySecurities"/>
      <w:bookmarkStart w:id="1885" w:name="_46d365e5_cf75_4d80_9c52_03d6ae8bbfe8"/>
      <w:bookmarkEnd w:id="1884"/>
      <w:bookmarkEnd w:id="1885"/>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unregistered sales of our equity securities during the quarter ended March 31, 2026 that were not otherwise disclosed in a Current Report on Form 8-K.</w:t>
      </w:r>
    </w:p>
    <w:p>
      <w:pPr>
        <w:pStyle w:val="TextBody"/>
        <w:bidi w:val="0"/>
        <w:spacing w:before="0" w:after="240"/>
        <w:ind w:left="0" w:right="0" w:hanging="0"/>
        <w:jc w:val="left"/>
        <w:rPr>
          <w:rFonts w:ascii="Times New Roman;Times;serif" w:hAnsi="Times New Roman;Times;serif"/>
          <w:b/>
          <w:sz w:val="20"/>
        </w:rPr>
      </w:pPr>
      <w:bookmarkStart w:id="1886" w:name="Item3DefaultsUponSeniorSecurities_882195"/>
      <w:bookmarkStart w:id="1887" w:name="_3be42354_81fb_4ad0_99e0_cccf5ad5b783"/>
      <w:bookmarkEnd w:id="1886"/>
      <w:bookmarkEnd w:id="1887"/>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888" w:name="Item4MineSafetyDisclosures_442048"/>
      <w:bookmarkStart w:id="1889" w:name="_373a9198_1cbd_4305_aeb9_c889c8b41f62"/>
      <w:bookmarkEnd w:id="1888"/>
      <w:bookmarkEnd w:id="1889"/>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890" w:name="Item5OtherInformation_261025"/>
      <w:bookmarkStart w:id="1891" w:name="_2c9d5ecc_1706_4b41_8f08_63d686142ace"/>
      <w:bookmarkEnd w:id="1890"/>
      <w:bookmarkEnd w:id="1891"/>
      <w:r>
        <w:rPr>
          <w:rFonts w:ascii="Times New Roman;Times;serif" w:hAnsi="Times New Roman;Times;serif"/>
          <w:b/>
          <w:sz w:val="20"/>
        </w:rPr>
        <w:t>Item 5. Other Information</w:t>
      </w:r>
    </w:p>
    <w:tbl>
      <w:tblPr>
        <w:tblW w:w="1071" w:type="dxa"/>
        <w:jc w:val="left"/>
        <w:tblInd w:w="0" w:type="dxa"/>
        <w:tblLayout w:type="fixed"/>
        <w:tblCellMar>
          <w:top w:w="28" w:type="dxa"/>
          <w:left w:w="28" w:type="dxa"/>
          <w:bottom w:w="28" w:type="dxa"/>
          <w:right w:w="28" w:type="dxa"/>
        </w:tblCellMar>
      </w:tblPr>
      <w:tblGrid>
        <w:gridCol w:w="124"/>
        <w:gridCol w:w="316"/>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86" w:type="dxa"/>
        <w:jc w:val="left"/>
        <w:tblInd w:w="0" w:type="dxa"/>
        <w:tblLayout w:type="fixed"/>
        <w:tblCellMar>
          <w:top w:w="28" w:type="dxa"/>
          <w:left w:w="28" w:type="dxa"/>
          <w:bottom w:w="28" w:type="dxa"/>
          <w:right w:w="28" w:type="dxa"/>
        </w:tblCellMar>
      </w:tblPr>
      <w:tblGrid>
        <w:gridCol w:w="124"/>
        <w:gridCol w:w="331"/>
        <w:gridCol w:w="63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5391" w:type="dxa"/>
        <w:jc w:val="left"/>
        <w:tblInd w:w="0" w:type="dxa"/>
        <w:tblLayout w:type="fixed"/>
        <w:tblCellMar>
          <w:top w:w="28" w:type="dxa"/>
          <w:left w:w="28" w:type="dxa"/>
          <w:bottom w:w="28" w:type="dxa"/>
          <w:right w:w="28" w:type="dxa"/>
        </w:tblCellMar>
      </w:tblPr>
      <w:tblGrid>
        <w:gridCol w:w="124"/>
        <w:gridCol w:w="31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and Officer Rule 10b5-1 Trading Arrangements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2026, the following directors or “officers” (as defined in Rule 16a-1(f) under the Exchange Act) of the Company adopted, modified, or terminated “Rule 10b5-1 trading arrangements” and/or “non-Rule 10b5-1 trading arrangements” (each as defined in Item 408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Harald von Heynitz</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16, 2026, Harald von Heynitz adopted a Rule 10b5-1 sales plan that is intended to satisfy the affirmative defense of Rule 10b5-1(c) (the “Heynitz Plan”). The Heynitz Plan provides for the potential sale of an aggregate of 10,000 shares of Class A common stock. The Heynitz Plan terminates on the earlier of (i) April 1, 2027 or (ii) such date the Heynitz Plan is otherwise terminated according to its terms.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John Zahurancik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20, 2026, John Zahurancik adopted a Rule 10b5-1 sales plan that is intended to satisfy the affirmative defense of Rule 10b5-1(c) (the “Zahurancik Plan”). The Zahurancik Plan provides for the potential sale of an aggregate of 31,974 shares of Class A common stock. The Zahurancik Plan terminates on the earlier of (i) April 1, 2027 or (ii) such date the Zahurancik Plan is otherwise terminated according to its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left"/>
        <w:rPr>
          <w:rFonts w:ascii="Times New Roman;Times;serif" w:hAnsi="Times New Roman;Times;serif"/>
          <w:b/>
          <w:sz w:val="20"/>
        </w:rPr>
      </w:pPr>
      <w:bookmarkStart w:id="1892" w:name="Item6Exhibits_347063"/>
      <w:bookmarkStart w:id="1893" w:name="_b7bcc17b_a023_4eca_bc9a_15da886874e7"/>
      <w:bookmarkEnd w:id="1892"/>
      <w:bookmarkEnd w:id="1893"/>
      <w:r>
        <w:rPr>
          <w:rFonts w:ascii="Times New Roman;Times;serif" w:hAnsi="Times New Roman;Times;serif"/>
          <w:b/>
          <w:sz w:val="20"/>
        </w:rPr>
        <w:t>Item 6. Exhibits</w:t>
      </w:r>
    </w:p>
    <w:tbl>
      <w:tblPr>
        <w:tblW w:w="4926" w:type="dxa"/>
        <w:jc w:val="left"/>
        <w:tblInd w:w="0" w:type="dxa"/>
        <w:tblLayout w:type="fixed"/>
        <w:tblCellMar>
          <w:top w:w="28" w:type="dxa"/>
          <w:left w:w="28" w:type="dxa"/>
          <w:bottom w:w="28" w:type="dxa"/>
          <w:right w:w="28" w:type="dxa"/>
        </w:tblCellMar>
      </w:tblPr>
      <w:tblGrid>
        <w:gridCol w:w="124"/>
        <w:gridCol w:w="31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tc>
      </w:tr>
    </w:tbl>
    <w:tbl>
      <w:tblPr>
        <w:tblW w:w="10205" w:type="dxa"/>
        <w:jc w:val="left"/>
        <w:tblInd w:w="0" w:type="dxa"/>
        <w:tblLayout w:type="fixed"/>
        <w:tblCellMar>
          <w:top w:w="0" w:type="dxa"/>
          <w:left w:w="0" w:type="dxa"/>
          <w:bottom w:w="0" w:type="dxa"/>
          <w:right w:w="0" w:type="dxa"/>
        </w:tblCellMar>
      </w:tblPr>
      <w:tblGrid>
        <w:gridCol w:w="689"/>
        <w:gridCol w:w="346"/>
        <w:gridCol w:w="4730"/>
        <w:gridCol w:w="346"/>
        <w:gridCol w:w="511"/>
        <w:gridCol w:w="346"/>
        <w:gridCol w:w="785"/>
        <w:gridCol w:w="346"/>
        <w:gridCol w:w="670"/>
        <w:gridCol w:w="346"/>
        <w:gridCol w:w="1090"/>
      </w:tblGrid>
      <w:tr>
        <w:trPr/>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37515" cy="29210"/>
                      <wp:effectExtent l="0" t="0" r="0" b="0"/>
                      <wp:wrapNone/>
                      <wp:docPr id="667" name="Frame667"/>
                      <a:graphic xmlns:a="http://schemas.openxmlformats.org/drawingml/2006/main">
                        <a:graphicData uri="http://schemas.microsoft.com/office/word/2010/wordprocessingShape">
                          <wps:wsp>
                            <wps:cNvSpPr txBox="1"/>
                            <wps:spPr>
                              <a:xfrm>
                                <a:off x="0" y="0"/>
                                <a:ext cx="437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29210"/>
                      <wp:effectExtent l="0" t="0" r="0" b="0"/>
                      <wp:wrapNone/>
                      <wp:docPr id="668" name="Frame66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3003550" cy="29210"/>
                      <wp:effectExtent l="0" t="0" r="0" b="0"/>
                      <wp:wrapNone/>
                      <wp:docPr id="669" name="Frame669"/>
                      <a:graphic xmlns:a="http://schemas.openxmlformats.org/drawingml/2006/main">
                        <a:graphicData uri="http://schemas.microsoft.com/office/word/2010/wordprocessingShape">
                          <wps:wsp>
                            <wps:cNvSpPr txBox="1"/>
                            <wps:spPr>
                              <a:xfrm>
                                <a:off x="0" y="0"/>
                                <a:ext cx="30035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19710" cy="29210"/>
                      <wp:effectExtent l="0" t="0" r="0" b="0"/>
                      <wp:wrapNone/>
                      <wp:docPr id="670" name="Frame67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324485" cy="29210"/>
                      <wp:effectExtent l="0" t="0" r="0" b="0"/>
                      <wp:wrapNone/>
                      <wp:docPr id="671" name="Frame671"/>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19710" cy="29210"/>
                      <wp:effectExtent l="0" t="0" r="0" b="0"/>
                      <wp:wrapNone/>
                      <wp:docPr id="672" name="Frame67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498475" cy="29210"/>
                      <wp:effectExtent l="0" t="0" r="0" b="0"/>
                      <wp:wrapNone/>
                      <wp:docPr id="673" name="Frame673"/>
                      <a:graphic xmlns:a="http://schemas.openxmlformats.org/drawingml/2006/main">
                        <a:graphicData uri="http://schemas.microsoft.com/office/word/2010/wordprocessingShape">
                          <wps:wsp>
                            <wps:cNvSpPr txBox="1"/>
                            <wps:spPr>
                              <a:xfrm>
                                <a:off x="0" y="0"/>
                                <a:ext cx="4984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19710" cy="29210"/>
                      <wp:effectExtent l="0" t="0" r="0" b="0"/>
                      <wp:wrapNone/>
                      <wp:docPr id="674" name="Frame67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425450" cy="29210"/>
                      <wp:effectExtent l="0" t="0" r="0" b="0"/>
                      <wp:wrapNone/>
                      <wp:docPr id="675" name="Frame675"/>
                      <a:graphic xmlns:a="http://schemas.openxmlformats.org/drawingml/2006/main">
                        <a:graphicData uri="http://schemas.microsoft.com/office/word/2010/wordprocessingShape">
                          <wps:wsp>
                            <wps:cNvSpPr txBox="1"/>
                            <wps:spPr>
                              <a:xfrm>
                                <a:off x="0" y="0"/>
                                <a:ext cx="4254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29210"/>
                      <wp:effectExtent l="0" t="0" r="0" b="0"/>
                      <wp:wrapNone/>
                      <wp:docPr id="676" name="Frame67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92150" cy="29210"/>
                      <wp:effectExtent l="0" t="0" r="0" b="0"/>
                      <wp:wrapNone/>
                      <wp:docPr id="677" name="Frame677"/>
                      <a:graphic xmlns:a="http://schemas.openxmlformats.org/drawingml/2006/main">
                        <a:graphicData uri="http://schemas.microsoft.com/office/word/2010/wordprocessingShape">
                          <wps:wsp>
                            <wps:cNvSpPr txBox="1"/>
                            <wps:spPr>
                              <a:xfrm>
                                <a:off x="0" y="0"/>
                                <a:ext cx="6921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9"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9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689"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r>
            <w:r>
              <w:rPr>
                <w:rFonts w:ascii="Times New Roman;Times;serif" w:hAnsi="Times New Roman;Times;serif"/>
                <w:b/>
                <w:sz w:val="16"/>
              </w:rP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78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67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 ​ ​</w:t>
            </w:r>
          </w:p>
        </w:tc>
        <w:tc>
          <w:tcPr>
            <w:tcW w:w="109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689" w:type="dxa"/>
            <w:tcBorders>
              <w:top w:val="single" w:sz="2" w:space="0" w:color="000000"/>
            </w:tcBorders>
            <w:shd w:fill="CCEE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Fluence Energy, Inc.</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001-40978</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3, 2021</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Certificate of Amendment to the Amended and Restated Certificate of Incorporation of Fluence Energy,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001-40978</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22, 2022</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Retirement of 65,674,195 shares of Class B-1 Common Stock Fluence Energy, Inc.</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001-40978</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11, 2024</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Fluence Energy,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001-40978</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3, 2021</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pPr>
            <w:hyperlink w:anchor="flnc-20260331xex10d1.htm">
              <w:r>
                <w:rPr>
                  <w:rStyle w:val="InternetLink"/>
                  <w:rFonts w:ascii="Times New Roman;Times;serif" w:hAnsi="Times New Roman;Times;serif"/>
                  <w:b w:val="false"/>
                  <w:i w:val="false"/>
                  <w:caps w:val="false"/>
                  <w:smallCaps w:val="false"/>
                  <w:sz w:val="20"/>
                </w:rPr>
                <w:t>Amendment Number Four to Syndicated Facility Agreement, dated as of March 31, 2026, by and among Fluence Energy, Inc., Fluence Energy, LLC, Fluence Energy Global Production Operation, LLC, the other guarantors party thereto, the lenders party thereto, and Citibank, N.A., in its capacity as successor administrative agent.</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Fluence Energy, Inc. 2021 Incentive Award Plan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333-294240</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12, 2026</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pPr>
            <w:hyperlink w:anchor="flnc-20260331xex31d1.htm">
              <w:r>
                <w:rPr>
                  <w:rStyle w:val="InternetLink"/>
                  <w:rFonts w:ascii="Times New Roman;Times;serif" w:hAnsi="Times New Roman;Times;serif"/>
                  <w:b w:val="false"/>
                  <w:i w:val="false"/>
                  <w:caps w:val="false"/>
                  <w:smallCaps w:val="false"/>
                  <w:sz w:val="20"/>
                </w:rPr>
                <w:t>Certification of the Company’s Chief Executive Officer pursuant to Rule 13a-14(a) and Rule 15d-14(a) of the Securities Exchange Act of 1934, as amended, pursuant to Section 302 of the Sarbanes-Oxley Act of 2002.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flnc-20260331xex31d2.htm">
              <w:r>
                <w:rPr>
                  <w:rStyle w:val="InternetLink"/>
                  <w:rFonts w:ascii="Times New Roman;Times;serif" w:hAnsi="Times New Roman;Times;serif"/>
                  <w:b w:val="false"/>
                  <w:i w:val="false"/>
                  <w:caps w:val="false"/>
                  <w:smallCaps w:val="false"/>
                  <w:sz w:val="20"/>
                </w:rPr>
                <w:t>Certification of the Company’s Chief Financial Officer pursuant to Rule 13a-14(a) and Rule 15d-14(a) of the Securities Exchange Act of 1934, as amended, pursuant to Section 302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pPr>
            <w:hyperlink w:anchor="flnc-20260331xex32d1.htm">
              <w:r>
                <w:rPr>
                  <w:rStyle w:val="InternetLink"/>
                  <w:rFonts w:ascii="Times New Roman;Times;serif" w:hAnsi="Times New Roman;Times;serif"/>
                  <w:b w:val="false"/>
                  <w:i w:val="false"/>
                  <w:caps w:val="false"/>
                  <w:smallCaps w:val="false"/>
                  <w:sz w:val="20"/>
                </w:rPr>
                <w:t>Certification of the Company’s Chief Executive Officer pursuant to 18 U.S.C. Section 1350, as adopted pursuant to Section 906 of the Sarbanes-Oxley Act of 2002.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pPr>
            <w:hyperlink w:anchor="flnc-20260331xex32d2.htm">
              <w:r>
                <w:rPr>
                  <w:rStyle w:val="InternetLink"/>
                  <w:rFonts w:ascii="Times New Roman;Times;serif" w:hAnsi="Times New Roman;Times;serif"/>
                  <w:b w:val="false"/>
                  <w:i w:val="false"/>
                  <w:caps w:val="false"/>
                  <w:smallCaps w:val="false"/>
                  <w:sz w:val="20"/>
                </w:rPr>
                <w:t>Certification of the Company’s Chief Financial Officer pursuant to 18 U.S.C.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r>
        <w:trPr/>
        <w:tc>
          <w:tcPr>
            <w:tcW w:w="689"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4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7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0" w:type="dxa"/>
            <w:tcBorders/>
            <w:vAlign w:val="center"/>
          </w:tcPr>
          <w:p>
            <w:pPr>
              <w:pStyle w:val="TableContents"/>
              <w:bidi w:val="0"/>
              <w:spacing w:before="0" w:after="0"/>
              <w:ind w:left="0" w:right="0" w:hanging="0"/>
              <w:jc w:val="center"/>
              <w:rPr/>
            </w:pPr>
            <w:r>
              <w:rPr/>
              <w:t>​</w:t>
            </w:r>
          </w:p>
        </w:tc>
      </w:tr>
      <w:tr>
        <w:trPr/>
        <w:tc>
          <w:tcPr>
            <w:tcW w:w="689"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4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67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0" w:type="dxa"/>
            <w:tcBorders/>
            <w:shd w:fill="CCEEFF" w:val="clear"/>
            <w:vAlign w:val="center"/>
          </w:tcPr>
          <w:p>
            <w:pPr>
              <w:pStyle w:val="TableContents"/>
              <w:bidi w:val="0"/>
              <w:spacing w:before="0" w:after="0"/>
              <w:ind w:left="0" w:right="0" w:hanging="0"/>
              <w:jc w:val="center"/>
              <w:rPr/>
            </w:pPr>
            <w:r>
              <w:rPr/>
              <w:t>​</w:t>
            </w:r>
          </w:p>
        </w:tc>
      </w:tr>
    </w:tbl>
    <w:tbl>
      <w:tblPr>
        <w:tblW w:w="5447" w:type="dxa"/>
        <w:jc w:val="left"/>
        <w:tblInd w:w="0" w:type="dxa"/>
        <w:tblLayout w:type="fixed"/>
        <w:tblCellMar>
          <w:top w:w="0" w:type="dxa"/>
          <w:left w:w="0" w:type="dxa"/>
          <w:bottom w:w="0" w:type="dxa"/>
          <w:right w:w="0" w:type="dxa"/>
        </w:tblCellMar>
      </w:tblPr>
      <w:tblGrid>
        <w:gridCol w:w="241"/>
        <w:gridCol w:w="5206"/>
      </w:tblGrid>
      <w:tr>
        <w:trPr/>
        <w:tc>
          <w:tcPr>
            <w:tcW w:w="241" w:type="dxa"/>
            <w:tcBorders/>
            <w:vAlign w:val="center"/>
          </w:tcPr>
          <w:p>
            <w:pPr>
              <w:pStyle w:val="TableContents"/>
              <w:bidi w:val="0"/>
              <w:spacing w:before="0" w:after="180"/>
              <w:jc w:val="left"/>
              <w:rPr/>
            </w:pPr>
            <w:r>
              <w:rPr/>
              <w:t>†</w:t>
            </w:r>
          </w:p>
        </w:tc>
        <w:tc>
          <w:tcPr>
            <w:tcW w:w="520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Indicates a management or compensatory plan or arrangement.</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w:t>
            </w:r>
          </w:p>
        </w:tc>
        <w:tc>
          <w:tcPr>
            <w:tcW w:w="9957" w:type="dxa"/>
            <w:tcBorders/>
            <w:vAlign w:val="center"/>
          </w:tcPr>
          <w:p>
            <w:pPr>
              <w:pStyle w:val="TableContents"/>
              <w:bidi w:val="0"/>
              <w:spacing w:before="0" w:after="180"/>
              <w:jc w:val="left"/>
              <w:rPr>
                <w:rFonts w:ascii="Times New Roman;Times;serif" w:hAnsi="Times New Roman;Times;serif"/>
                <w:sz w:val="20"/>
              </w:rPr>
            </w:pPr>
            <w:r>
              <w:rPr>
                <w:rFonts w:ascii="Times New Roman;Times;serif" w:hAnsi="Times New Roman;Times;serif"/>
                <w:sz w:val="20"/>
              </w:rPr>
              <w:t>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94" w:name="SIGNATURES_813084"/>
      <w:bookmarkStart w:id="1895" w:name="_85c572a9_4d45_45cb_91af_38287062bc28"/>
      <w:bookmarkEnd w:id="1894"/>
      <w:bookmarkEnd w:id="1895"/>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288" w:type="dxa"/>
        <w:jc w:val="left"/>
        <w:tblInd w:w="0" w:type="dxa"/>
        <w:tblLayout w:type="fixed"/>
        <w:tblCellMar>
          <w:top w:w="0" w:type="dxa"/>
          <w:left w:w="0" w:type="dxa"/>
          <w:bottom w:w="0" w:type="dxa"/>
          <w:right w:w="0" w:type="dxa"/>
        </w:tblCellMar>
      </w:tblPr>
      <w:tblGrid>
        <w:gridCol w:w="1636"/>
        <w:gridCol w:w="406"/>
        <w:gridCol w:w="4246"/>
      </w:tblGrid>
      <w:tr>
        <w:trPr/>
        <w:tc>
          <w:tcPr>
            <w:tcW w:w="163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Fluence Energy, Inc.</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Julian Nebreda</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Julian Nebreda</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Ahmed Pasha</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Ahmed Pasha</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left"/>
        <w:rPr/>
      </w:pPr>
      <w:bookmarkStart w:id="1896" w:name="flnc-20260331xex10d1.htm"/>
      <w:bookmarkStart w:id="1897" w:name="ksflnc20260331xex10d1"/>
      <w:bookmarkEnd w:id="1896"/>
      <w:bookmarkEnd w:id="1897"/>
      <w:r>
        <w:rPr/>
        <w:t>​</w:t>
      </w:r>
      <w:r>
        <w:br w:type="page"/>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bidi w:val="0"/>
        <w:spacing w:before="0" w:after="24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AMENDMENT NUMBER FOUR</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TO SYNDICATED FACILITY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4"/>
        </w:rPr>
        <w:t xml:space="preserve">THIS AMENDMENT NUMBER FOUR TO SYNDICATED FACILITY AGREEMENT </w:t>
      </w:r>
      <w:r>
        <w:rPr>
          <w:rFonts w:ascii="Times New Roman;Times;serif" w:hAnsi="Times New Roman;Times;serif"/>
          <w:sz w:val="24"/>
        </w:rPr>
        <w:t>(this “</w:t>
      </w:r>
      <w:r>
        <w:rPr>
          <w:rFonts w:ascii="Times New Roman;Times;serif" w:hAnsi="Times New Roman;Times;serif"/>
          <w:sz w:val="24"/>
          <w:u w:val="single"/>
        </w:rPr>
        <w:t>Amendment</w:t>
      </w:r>
      <w:r>
        <w:rPr>
          <w:rFonts w:ascii="Times New Roman;Times;serif" w:hAnsi="Times New Roman;Times;serif"/>
          <w:sz w:val="20"/>
        </w:rPr>
        <w:t>”</w:t>
      </w:r>
      <w:r>
        <w:rPr>
          <w:rFonts w:ascii="Times New Roman;Times;serif" w:hAnsi="Times New Roman;Times;serif"/>
          <w:sz w:val="24"/>
        </w:rPr>
        <w:t xml:space="preserve">), dated as of March 31, 2026, is entered into by and among </w:t>
      </w:r>
      <w:r>
        <w:rPr>
          <w:rFonts w:ascii="Times New Roman;Times;serif" w:hAnsi="Times New Roman;Times;serif"/>
          <w:b/>
          <w:caps/>
          <w:sz w:val="24"/>
        </w:rPr>
        <w:t>Fluence Energy, Inc</w:t>
      </w:r>
      <w:r>
        <w:rPr>
          <w:rFonts w:ascii="Times New Roman;Times;serif" w:hAnsi="Times New Roman;Times;serif"/>
          <w:b/>
          <w:sz w:val="24"/>
        </w:rPr>
        <w:t>.</w:t>
      </w:r>
      <w:r>
        <w:rPr>
          <w:rFonts w:ascii="Times New Roman;Times;serif" w:hAnsi="Times New Roman;Times;serif"/>
          <w:sz w:val="24"/>
        </w:rPr>
        <w:t>, a Delaware corporation (“</w:t>
      </w:r>
      <w:r>
        <w:rPr>
          <w:rFonts w:ascii="Times New Roman;Times;serif" w:hAnsi="Times New Roman;Times;serif"/>
          <w:sz w:val="24"/>
          <w:u w:val="single"/>
        </w:rPr>
        <w:t>Parent</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b/>
          <w:caps/>
          <w:sz w:val="24"/>
        </w:rPr>
        <w:t>Fluence Energy, LLC</w:t>
      </w:r>
      <w:r>
        <w:rPr>
          <w:rFonts w:ascii="Times New Roman;Times;serif" w:hAnsi="Times New Roman;Times;serif"/>
          <w:sz w:val="24"/>
        </w:rPr>
        <w:t>, a Delaware limited liability company (the “</w:t>
      </w:r>
      <w:r>
        <w:rPr>
          <w:rFonts w:ascii="Times New Roman;Times;serif" w:hAnsi="Times New Roman;Times;serif"/>
          <w:sz w:val="24"/>
          <w:u w:val="single"/>
        </w:rPr>
        <w:t>Parent Borrower</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b/>
          <w:sz w:val="24"/>
        </w:rPr>
        <w:t>FLUENCE ENERGY GLOBAL PRODUCTION OPERATION, LLC</w:t>
      </w:r>
      <w:r>
        <w:rPr>
          <w:rFonts w:ascii="Times New Roman;Times;serif" w:hAnsi="Times New Roman;Times;serif"/>
          <w:sz w:val="24"/>
        </w:rPr>
        <w:t>, a Delaware limited liability company (together with the Parent Borrower, each a “</w:t>
      </w:r>
      <w:r>
        <w:rPr>
          <w:rFonts w:ascii="Times New Roman;Times;serif" w:hAnsi="Times New Roman;Times;serif"/>
          <w:sz w:val="24"/>
          <w:u w:val="single"/>
        </w:rPr>
        <w:t>Borrower</w:t>
      </w:r>
      <w:r>
        <w:rPr>
          <w:rFonts w:ascii="Times New Roman;Times;serif" w:hAnsi="Times New Roman;Times;serif"/>
          <w:sz w:val="20"/>
        </w:rPr>
        <w:t xml:space="preserve">” </w:t>
      </w:r>
      <w:r>
        <w:rPr>
          <w:rFonts w:ascii="Times New Roman;Times;serif" w:hAnsi="Times New Roman;Times;serif"/>
          <w:sz w:val="24"/>
        </w:rPr>
        <w:t>and collectively, jointly and severally, the “</w:t>
      </w:r>
      <w:r>
        <w:rPr>
          <w:rFonts w:ascii="Times New Roman;Times;serif" w:hAnsi="Times New Roman;Times;serif"/>
          <w:sz w:val="24"/>
          <w:u w:val="single"/>
        </w:rPr>
        <w:t>Borrowers</w:t>
      </w:r>
      <w:r>
        <w:rPr>
          <w:rFonts w:ascii="Times New Roman;Times;serif" w:hAnsi="Times New Roman;Times;serif"/>
          <w:sz w:val="20"/>
        </w:rPr>
        <w:t>”</w:t>
      </w:r>
      <w:r>
        <w:rPr>
          <w:rFonts w:ascii="Times New Roman;Times;serif" w:hAnsi="Times New Roman;Times;serif"/>
          <w:sz w:val="24"/>
        </w:rPr>
        <w:t>), the Guarantors party hereto (together with Parent and the Borrowers, each a “</w:t>
      </w:r>
      <w:r>
        <w:rPr>
          <w:rFonts w:ascii="Times New Roman;Times;serif" w:hAnsi="Times New Roman;Times;serif"/>
          <w:sz w:val="24"/>
          <w:u w:val="single"/>
        </w:rPr>
        <w:t>Loan Party</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sz w:val="24"/>
          <w:u w:val="single"/>
        </w:rPr>
        <w:t>Loan Parties</w:t>
      </w:r>
      <w:r>
        <w:rPr>
          <w:rFonts w:ascii="Times New Roman;Times;serif" w:hAnsi="Times New Roman;Times;serif"/>
          <w:sz w:val="20"/>
        </w:rPr>
        <w:t>”</w:t>
      </w:r>
      <w:r>
        <w:rPr>
          <w:rFonts w:ascii="Times New Roman;Times;serif" w:hAnsi="Times New Roman;Times;serif"/>
          <w:sz w:val="24"/>
        </w:rPr>
        <w:t>), the parties hereto identified as “Lenders” on the signature pages hereto (each, a “</w:t>
      </w:r>
      <w:r>
        <w:rPr>
          <w:rFonts w:ascii="Times New Roman;Times;serif" w:hAnsi="Times New Roman;Times;serif"/>
          <w:sz w:val="24"/>
          <w:u w:val="single"/>
        </w:rPr>
        <w:t>Lender</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sz w:val="24"/>
          <w:u w:val="single"/>
        </w:rPr>
        <w:t>Lenders</w:t>
      </w:r>
      <w:r>
        <w:rPr>
          <w:rFonts w:ascii="Times New Roman;Times;serif" w:hAnsi="Times New Roman;Times;serif"/>
          <w:sz w:val="20"/>
        </w:rPr>
        <w:t>”</w:t>
      </w:r>
      <w:r>
        <w:rPr>
          <w:rFonts w:ascii="Times New Roman;Times;serif" w:hAnsi="Times New Roman;Times;serif"/>
          <w:sz w:val="24"/>
        </w:rPr>
        <w:t xml:space="preserve">), and </w:t>
      </w:r>
      <w:r>
        <w:rPr>
          <w:rFonts w:ascii="Times New Roman;Times;serif" w:hAnsi="Times New Roman;Times;serif"/>
          <w:b/>
          <w:caps/>
          <w:sz w:val="24"/>
        </w:rPr>
        <w:t>CITIBANK, N.A.</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sz w:val="24"/>
          <w:u w:val="single"/>
        </w:rPr>
        <w:t>Citi</w:t>
      </w:r>
      <w:r>
        <w:rPr>
          <w:rFonts w:ascii="Times New Roman;Times;serif" w:hAnsi="Times New Roman;Times;serif"/>
          <w:sz w:val="20"/>
        </w:rPr>
        <w:t>”</w:t>
      </w:r>
      <w:r>
        <w:rPr>
          <w:rFonts w:ascii="Times New Roman;Times;serif" w:hAnsi="Times New Roman;Times;serif"/>
          <w:sz w:val="24"/>
        </w:rPr>
        <w:t>), in its capacity as administrative agent (in such capacity, the “</w:t>
      </w:r>
      <w:r>
        <w:rPr>
          <w:rFonts w:ascii="Times New Roman;Times;serif" w:hAnsi="Times New Roman;Times;serif"/>
          <w:sz w:val="24"/>
          <w:u w:val="single"/>
        </w:rPr>
        <w:t>Agent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W I T N E S S E T H</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Parent, the Borrowers, the Lenders and the Agent are parties to that certain Syndicated Facility Agreement, dated as of November 22, 2023 (as amended by that certain Amendment Number One to Syndicated Facility Agreement, dated as of April 8, 2024, as amended by that certain Amendment Number Two to Syndicated Facility Agreement, dated as of May 8, 2024, as amended by that certain Amendment Number Three to Syndicated Facility Agreement, dated as of August 6, 2024, and as further amended, restated, supplemented, or otherwise modified from time to time prior to the date hereof, the “</w:t>
      </w:r>
      <w:r>
        <w:rPr>
          <w:rFonts w:ascii="Times New Roman;Times;serif" w:hAnsi="Times New Roman;Times;serif"/>
          <w:sz w:val="24"/>
          <w:u w:val="single"/>
        </w:rPr>
        <w:t>Existing Credit Agreement</w:t>
      </w:r>
      <w:r>
        <w:rPr>
          <w:rFonts w:ascii="Times New Roman;Times;serif" w:hAnsi="Times New Roman;Times;serif"/>
          <w:sz w:val="20"/>
        </w:rPr>
        <w:t>”</w:t>
      </w:r>
      <w:r>
        <w:rPr>
          <w:rFonts w:ascii="Times New Roman;Times;serif" w:hAnsi="Times New Roman;Times;serif"/>
          <w:sz w:val="24"/>
        </w:rPr>
        <w:t>; the Existing Credit Agreement as amended by this Amendment, the “</w:t>
      </w:r>
      <w:r>
        <w:rPr>
          <w:rFonts w:ascii="Times New Roman;Times;serif" w:hAnsi="Times New Roman;Times;serif"/>
          <w:sz w:val="24"/>
          <w:u w:val="single"/>
        </w:rPr>
        <w:t>Credit Agreement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Borrowers have requested that the Agent and the Lenders make certain amendments to the Existing Credit Agreement; and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0"/>
        </w:rPr>
        <w:t xml:space="preserve"> </w:t>
      </w:r>
      <w:r>
        <w:rPr>
          <w:rFonts w:ascii="Times New Roman;Times;serif" w:hAnsi="Times New Roman;Times;serif"/>
          <w:sz w:val="24"/>
        </w:rPr>
        <w:t>upon the terms and conditions set forth herein, the Agent and the Lenders are willing to accommodate the Borrowers’ requests.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foregoing and the mutual covenants herein contained, and for other good and valuable consideration, the receipt and sufficiency of which are hereby acknowledged, the parties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Defined Terms</w:t>
      </w:r>
      <w:r>
        <w:rPr>
          <w:rFonts w:ascii="Times New Roman;Times;serif" w:hAnsi="Times New Roman;Times;serif"/>
          <w:sz w:val="24"/>
        </w:rPr>
        <w:t>.  All initially capitalized terms used herein (including the preamble and recitals hereof) without definition shall have the meanings ascribed thereto in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Amendments to Existing Credit Agreement</w:t>
      </w:r>
      <w:r>
        <w:rPr>
          <w:rFonts w:ascii="Times New Roman;Times;serif" w:hAnsi="Times New Roman;Times;serif"/>
          <w:sz w:val="24"/>
        </w:rPr>
        <w:t xml:space="preserve">.  Subject to the satisfaction (or waiver by the Required Lenders) of the conditions precedent set forth in </w:t>
      </w:r>
      <w:r>
        <w:rPr>
          <w:rFonts w:ascii="Times New Roman;Times;serif" w:hAnsi="Times New Roman;Times;serif"/>
          <w:sz w:val="24"/>
          <w:u w:val="single"/>
        </w:rPr>
        <w:t>Section 3</w:t>
      </w:r>
      <w:r>
        <w:rPr>
          <w:rFonts w:ascii="Times New Roman;Times;serif" w:hAnsi="Times New Roman;Times;serif"/>
          <w:sz w:val="20"/>
        </w:rPr>
        <w:t xml:space="preserve"> </w:t>
      </w:r>
      <w:r>
        <w:rPr>
          <w:rFonts w:ascii="Times New Roman;Times;serif" w:hAnsi="Times New Roman;Times;serif"/>
          <w:sz w:val="24"/>
        </w:rPr>
        <w:t>hereof, the Existing Credit Agreement shall hereby be amended to delete the stricken text (indicated textually in the same manner as the following example:  </w:t>
      </w:r>
      <w:r>
        <w:rPr>
          <w:rFonts w:ascii="Times New Roman;Times;serif" w:hAnsi="Times New Roman;Times;serif"/>
          <w:color w:val="FF0000"/>
          <w:sz w:val="24"/>
        </w:rPr>
        <w:t>stricken text</w:t>
      </w:r>
      <w:r>
        <w:rPr>
          <w:rFonts w:ascii="Times New Roman;Times;serif" w:hAnsi="Times New Roman;Times;serif"/>
          <w:sz w:val="24"/>
        </w:rPr>
        <w:t>) and to add the double-underlined text (indicated textually in the same manner as the following example:  </w:t>
      </w:r>
      <w:r>
        <w:rPr>
          <w:rFonts w:ascii="Times New Roman;Times;serif" w:hAnsi="Times New Roman;Times;serif"/>
          <w:color w:val="0070C0"/>
          <w:sz w:val="24"/>
          <w:u w:val="single"/>
        </w:rPr>
        <w:t>double-underlined text</w:t>
      </w:r>
      <w:r>
        <w:rPr>
          <w:rFonts w:ascii="Times New Roman;Times;serif" w:hAnsi="Times New Roman;Times;serif"/>
          <w:sz w:val="24"/>
        </w:rPr>
        <w:t xml:space="preserve">) as set forth in the pages of the Credit Agreement set forth as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Conditions Precedent to Amendment</w:t>
      </w:r>
      <w:r>
        <w:rPr>
          <w:rFonts w:ascii="Times New Roman;Times;serif" w:hAnsi="Times New Roman;Times;serif"/>
          <w:sz w:val="24"/>
        </w:rPr>
        <w:t>. The satisfaction (or waiver by the Required Lenders) of each of the following shall constitute conditions precedent to the effectiveness of this Amendment (the date of such satisfaction (or waiver) being the “</w:t>
      </w:r>
      <w:r>
        <w:rPr>
          <w:rFonts w:ascii="Times New Roman;Times;serif" w:hAnsi="Times New Roman;Times;serif"/>
          <w:sz w:val="24"/>
          <w:u w:val="single"/>
        </w:rPr>
        <w:t>Amendment No. 4 Effective Date</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Agent (or its counsel) shall have received a duly executed counterpart of this Amendment, duly executed by the Loan Parties, the Agent and the Required Lenders, and the same shall be in full force and effect.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Agent shall have received a certificate, dated the Amendment No. 4 Effective Date and signed on behalf of the Parent Borrower by the President, a Vice President or a Financial Officer of the Parent Borrower, confirming compliance with the conditions precedent set forth in </w:t>
      </w:r>
      <w:r>
        <w:rPr>
          <w:rFonts w:ascii="Times New Roman;Times;serif" w:hAnsi="Times New Roman;Times;serif"/>
          <w:sz w:val="24"/>
          <w:u w:val="single"/>
        </w:rPr>
        <w:t>Sections 3(d)</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3(e)</w:t>
      </w:r>
      <w:r>
        <w:rPr>
          <w:rFonts w:ascii="Times New Roman;Times;serif" w:hAnsi="Times New Roman;Times;serif"/>
          <w:sz w:val="20"/>
        </w:rPr>
        <w:t xml:space="preserve"> </w:t>
      </w:r>
      <w:r>
        <w:rPr>
          <w:rFonts w:ascii="Times New Roman;Times;serif" w:hAnsi="Times New Roman;Times;serif"/>
          <w:sz w:val="24"/>
        </w:rPr>
        <w:t>of this Amendment, and (ii) a certificate, dated the Amendment No. 4 Effective Date and signed on behalf of the Parent Borrower by the chief financial officer of the Parent Borrower, certifying that, as of the Amendment No. 4 Effective Date, the Parent and its Subsidiaries, on a consolidated basis, are and, immediately after giving effect to this Amendment will be, Solvent.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Lenders and the Agent shall have received, on or before the Amendment No. 4 Effective Date, all fees required to be paid by the Borrowers on the Amendment No. 4 Effective Date, and all expenses required to be reimbursed by the Borrowers for which invoices have been presented at least one (1) Business Day prior to the Amendment No. 4 Effective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After giving effect to this Amendment, the representations and warranties contained herein, in the Credit Agreement, and in the other Loan Documents, shall be true and correct in all material respects on and as of the date hereof, except that (i) for purposes of this Section, the representations and warranties contained in </w:t>
      </w:r>
      <w:r>
        <w:rPr>
          <w:rFonts w:ascii="Times New Roman;Times;serif" w:hAnsi="Times New Roman;Times;serif"/>
          <w:sz w:val="24"/>
          <w:u w:val="single"/>
        </w:rPr>
        <w:t>Section 3.04(a)</w:t>
      </w:r>
      <w:r>
        <w:rPr>
          <w:rFonts w:ascii="Times New Roman;Times;serif" w:hAnsi="Times New Roman;Times;serif"/>
          <w:sz w:val="20"/>
        </w:rPr>
        <w:t xml:space="preserve"> </w:t>
      </w:r>
      <w:r>
        <w:rPr>
          <w:rFonts w:ascii="Times New Roman;Times;serif" w:hAnsi="Times New Roman;Times;serif"/>
          <w:sz w:val="24"/>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Times;serif" w:hAnsi="Times New Roman;Times;serif"/>
          <w:sz w:val="24"/>
          <w:u w:val="single"/>
        </w:rPr>
        <w:t>Section 5.01</w:t>
      </w:r>
      <w:r>
        <w:rPr>
          <w:rFonts w:ascii="Times New Roman;Times;serif" w:hAnsi="Times New Roman;Times;serif"/>
          <w:sz w:val="20"/>
        </w:rPr>
        <w:t xml:space="preserve"> </w:t>
      </w:r>
      <w:r>
        <w:rPr>
          <w:rFonts w:ascii="Times New Roman;Times;serif" w:hAnsi="Times New Roman;Times;serif"/>
          <w:sz w:val="24"/>
        </w:rPr>
        <w:t>of the Credit Agreement,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After giving effect to this Amendment, no Default or Event of Default shall have occurred and be continuing as of the Amendment No. 4 Effective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Additional Agreements</w:t>
      </w:r>
      <w:r>
        <w:rPr>
          <w:rFonts w:ascii="Times New Roman;Times;serif" w:hAnsi="Times New Roman;Times;serif"/>
          <w:sz w:val="24"/>
        </w:rPr>
        <w:t>.  In addition to the amendments to the Existing Credit Agreement pursuant to Section 2 above, the Loan Parties and the Agent agree to enter into, and the Lenders party hereto consent to and authorize the Agent to enter into, such further revisions to certain of the Loan Documents, in each case, on terms to be reasonably agreed by the Loan Parties and the Agent in order to (i) amend Part D, Section 1.03 of that certain Omnibus Security Agreement, dated as of January 17, 2025, by and among Fluence Energy, LLC, Fluence Energy Inc. and the Agent, to delete the requirement to provide security supplements within sixty (60) days from the acquisition or creation of additional charged assets and instead require that such supplements be delivered on a semi-annual basis or at such other times as the Agent may reasonably request (which shall be not more than once per quarter unless an Event of Default has occurred and is continuing, in which case such limit shall not apply), (ii) amend Section 8.1 of that certain Dutch Omnibus Pledge, dated as of February 18, 2025, by and among Fluence Energy B.V. and the Agent, to require “commercially reasonable efforts” to deliver updates to Schedule 5 set forth therein, and (iii) amend Section 5.2 of that certain Accounts Pledge Agreement, dated as of February 24, 2025, by and between Fluence Energy Taiwan Ltd. and the Agent, to delete the obligation to send notices to the Agent upon any remittance and/or withdrawal from the pledged accounts and instead require that such notices be delivered from time to time upon request by the Agent (which shall be not more than once per quarter unless an Event of Default has occurred and is continuing, in which case such limit shall not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Extension and Waiver of Certain Post-Closing Obligations</w:t>
      </w:r>
      <w:r>
        <w:rPr>
          <w:rFonts w:ascii="Times New Roman;Times;serif" w:hAnsi="Times New Roman;Times;serif"/>
          <w:sz w:val="24"/>
        </w:rPr>
        <w:t>.  The Loan Parties, the Lenders party hereto and the Agent hereby agree that the deadlines to complete each of the perfection requirements</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set forth on </w:t>
      </w:r>
      <w:r>
        <w:rPr>
          <w:rFonts w:ascii="Times New Roman;Times;serif" w:hAnsi="Times New Roman;Times;serif"/>
          <w:sz w:val="24"/>
          <w:u w:val="single"/>
        </w:rPr>
        <w:t>Schedule I</w:t>
      </w:r>
      <w:r>
        <w:rPr>
          <w:rFonts w:ascii="Times New Roman;Times;serif" w:hAnsi="Times New Roman;Times;serif"/>
          <w:sz w:val="20"/>
        </w:rPr>
        <w:t xml:space="preserve"> </w:t>
      </w:r>
      <w:r>
        <w:rPr>
          <w:rFonts w:ascii="Times New Roman;Times;serif" w:hAnsi="Times New Roman;Times;serif"/>
          <w:sz w:val="24"/>
        </w:rPr>
        <w:t xml:space="preserve">hereto set forth in </w:t>
      </w:r>
      <w:r>
        <w:rPr>
          <w:rFonts w:ascii="Times New Roman;Times;serif" w:hAnsi="Times New Roman;Times;serif"/>
          <w:sz w:val="24"/>
          <w:u w:val="single"/>
        </w:rPr>
        <w:t>Sections 5.11(g)</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5.16</w:t>
      </w:r>
      <w:r>
        <w:rPr>
          <w:rFonts w:ascii="Times New Roman;Times;serif" w:hAnsi="Times New Roman;Times;serif"/>
          <w:sz w:val="20"/>
        </w:rPr>
        <w:t xml:space="preserve"> </w:t>
      </w:r>
      <w:r>
        <w:rPr>
          <w:rFonts w:ascii="Times New Roman;Times;serif" w:hAnsi="Times New Roman;Times;serif"/>
          <w:sz w:val="24"/>
        </w:rPr>
        <w:t xml:space="preserve">of the Credit Agreement or otherwise in the Loan Documents are each extended to the date that is 120 days from the Amendment No. 4 Effective Date.  The Loan Parties, the Lenders party hereto and the Agent hereby agree that the extension set forth herein shall be given retroactive effect such that no Default or Event of Default shall have arisen at any time as a result of any Loan Party’s failure to satisfy the original deadlines set forth in </w:t>
      </w:r>
      <w:r>
        <w:rPr>
          <w:rFonts w:ascii="Times New Roman;Times;serif" w:hAnsi="Times New Roman;Times;serif"/>
          <w:sz w:val="24"/>
          <w:u w:val="single"/>
        </w:rPr>
        <w:t>Sections 5.11(g)</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5.16</w:t>
      </w:r>
      <w:r>
        <w:rPr>
          <w:rFonts w:ascii="Times New Roman;Times;serif" w:hAnsi="Times New Roman;Times;serif"/>
          <w:sz w:val="20"/>
        </w:rPr>
        <w:t xml:space="preserve"> </w:t>
      </w:r>
      <w:r>
        <w:rPr>
          <w:rFonts w:ascii="Times New Roman;Times;serif" w:hAnsi="Times New Roman;Times;serif"/>
          <w:sz w:val="24"/>
        </w:rPr>
        <w:t xml:space="preserve">of the Credit Agreement with respect to the perfection requirements set forth on </w:t>
      </w:r>
      <w:r>
        <w:rPr>
          <w:rFonts w:ascii="Times New Roman;Times;serif" w:hAnsi="Times New Roman;Times;serif"/>
          <w:sz w:val="24"/>
          <w:u w:val="single"/>
        </w:rPr>
        <w:t>Schedule I</w:t>
      </w:r>
      <w:r>
        <w:rPr>
          <w:rFonts w:ascii="Times New Roman;Times;serif" w:hAnsi="Times New Roman;Times;serif"/>
          <w:sz w:val="20"/>
        </w:rPr>
        <w:t xml:space="preserve"> </w:t>
      </w:r>
      <w:r>
        <w:rPr>
          <w:rFonts w:ascii="Times New Roman;Times;serif" w:hAnsi="Times New Roman;Times;serif"/>
          <w:sz w:val="24"/>
        </w:rPr>
        <w:t xml:space="preserve">hereto.  The Agent and the Lenders party hereto hereby further agree to waive the requirement set forth in </w:t>
      </w:r>
      <w:r>
        <w:rPr>
          <w:rFonts w:ascii="Times New Roman;Times;serif" w:hAnsi="Times New Roman;Times;serif"/>
          <w:sz w:val="24"/>
          <w:u w:val="single"/>
        </w:rPr>
        <w:t>Section 6(f)(iv)</w:t>
      </w:r>
      <w:r>
        <w:rPr>
          <w:rFonts w:ascii="Times New Roman;Times;serif" w:hAnsi="Times New Roman;Times;serif"/>
          <w:sz w:val="20"/>
        </w:rPr>
        <w:t xml:space="preserve"> </w:t>
      </w:r>
      <w:r>
        <w:rPr>
          <w:rFonts w:ascii="Times New Roman;Times;serif" w:hAnsi="Times New Roman;Times;serif"/>
          <w:sz w:val="24"/>
        </w:rPr>
        <w:t xml:space="preserve">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to the Credit Agreement that a transfer of moveable assets (inventory and equipment) be entered into between Fluence Energy GmbH as transferor and the Administrative Agent as transferee.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Representations and Warranties</w:t>
      </w:r>
      <w:r>
        <w:rPr>
          <w:rFonts w:ascii="Times New Roman;Times;serif" w:hAnsi="Times New Roman;Times;serif"/>
          <w:sz w:val="24"/>
        </w:rPr>
        <w:t>. Each Loan Party hereby represents and warrants to Administrative Agent and each other Secured Party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of the Parent and its Subsidiaries is duly organized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execution, delivery and performance by the Loan Parties of this Amendment and each of the Loan Documents to which it is party are within each Borrower’s and each Guarantor’s corporate or other organizational powers and have been duly authorized by all necessary corporate or other organizational and, if required, equity holder action.  Each of the Borrowers and the Guarantors has duly executed and delivered this Amendment and each of the Loan Documents to which it is party, and each of such Loan Documents constitute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execution, delivery and performance by the Loan Parties of this Amendment and each of the Loan Documents to which it is party (A) do not require any consent or approval of, registration or filing with, or any other action by, any Governmental Authority, except (i) such as have been obtained or made and are in full force and effect and (ii)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of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or Event of Default has occurred and is continuing.</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The representations and warranties set forth in this Amendment, the Credit Agreement, as amended by this Amendment and after giving effect to this Amendment, and the other Loan Documents are true and correct in all material respects on and as of the date hereof, except that (i) for purposes of this Section, the representations and warranties contained in </w:t>
      </w:r>
      <w:r>
        <w:rPr>
          <w:rFonts w:ascii="Times New Roman;Times;serif" w:hAnsi="Times New Roman;Times;serif"/>
          <w:sz w:val="24"/>
          <w:u w:val="single"/>
        </w:rPr>
        <w:t>Section 3.04(a)</w:t>
      </w:r>
      <w:r>
        <w:rPr>
          <w:rFonts w:ascii="Times New Roman;Times;serif" w:hAnsi="Times New Roman;Times;serif"/>
          <w:sz w:val="20"/>
        </w:rPr>
        <w:t xml:space="preserve"> </w:t>
      </w:r>
      <w:r>
        <w:rPr>
          <w:rFonts w:ascii="Times New Roman;Times;serif" w:hAnsi="Times New Roman;Times;serif"/>
          <w:sz w:val="24"/>
        </w:rPr>
        <w:t xml:space="preserve">of the Credit Agreement 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Times;serif" w:hAnsi="Times New Roman;Times;serif"/>
          <w:sz w:val="24"/>
          <w:u w:val="single"/>
        </w:rPr>
        <w:t>Section 5.01</w:t>
      </w:r>
      <w:r>
        <w:rPr>
          <w:rFonts w:ascii="Times New Roman;Times;serif" w:hAnsi="Times New Roman;Times;serif"/>
          <w:sz w:val="20"/>
        </w:rPr>
        <w:t xml:space="preserve"> </w:t>
      </w:r>
      <w:r>
        <w:rPr>
          <w:rFonts w:ascii="Times New Roman;Times;serif" w:hAnsi="Times New Roman;Times;serif"/>
          <w:sz w:val="24"/>
        </w:rPr>
        <w:t>of the Credit Agreement, (ii) to the extent that such representations and warranties specifically refer to an earlier date, they are true and correct in all material respects as of such earlier date and (iii) to the extent that such representations and warranties are already qualified or modified by materiality in the text thereof, they are true and correct in all respects.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Payment of Costs and Fees</w:t>
      </w:r>
      <w:r>
        <w:rPr>
          <w:rFonts w:ascii="Times New Roman;Times;serif" w:hAnsi="Times New Roman;Times;serif"/>
          <w:sz w:val="24"/>
        </w:rPr>
        <w:t xml:space="preserve">.  The Borrowers shall pay to Administrative Agent and each Lender all expenses contemplated under </w:t>
      </w:r>
      <w:r>
        <w:rPr>
          <w:rFonts w:ascii="Times New Roman;Times;serif" w:hAnsi="Times New Roman;Times;serif"/>
          <w:sz w:val="24"/>
          <w:u w:val="single"/>
        </w:rPr>
        <w:t>Section 10.03</w:t>
      </w:r>
      <w:r>
        <w:rPr>
          <w:rFonts w:ascii="Times New Roman;Times;serif" w:hAnsi="Times New Roman;Times;serif"/>
          <w:sz w:val="20"/>
        </w:rPr>
        <w:t xml:space="preserve"> </w:t>
      </w:r>
      <w:r>
        <w:rPr>
          <w:rFonts w:ascii="Times New Roman;Times;serif" w:hAnsi="Times New Roman;Times;serif"/>
          <w:sz w:val="24"/>
        </w:rPr>
        <w:t>of the Credit Agreement (including, without limitation, the reasonable fees and expenses of any attorneys retained by Administrative Agent or any Lender) in connection with the preparation, negotiation, execution and delivery of this Amendment and any documents and instruments relating hereto.</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8.</w:t>
      </w:r>
      <w:r>
        <w:rPr>
          <w:rFonts w:ascii="Times New Roman;Times;serif" w:hAnsi="Times New Roman;Times;serif"/>
          <w:b/>
          <w:sz w:val="24"/>
        </w:rPr>
        <w:t>GOVERNING LAW; JURISDICTION; CONSENT TO SERVICE OF PROCESS AND WAIVER OF JURY TRIAL PROVISION. THIS AMENDMENT SHALL BE SUBJECT TO THE PROVISIONS REGARDING GOVERNING LAW; JURISDICTION; CONSENT TO SERVICE OF PROCESS AND WAIVER OF JURY TRIAL PROVISION SET FORTH IN SECTIONS 10.09 AND 10.10</w:t>
      </w:r>
      <w:r>
        <w:rPr>
          <w:rFonts w:ascii="Times New Roman;Times;serif" w:hAnsi="Times New Roman;Times;serif"/>
          <w:sz w:val="20"/>
        </w:rPr>
        <w:t xml:space="preserve"> </w:t>
      </w:r>
      <w:r>
        <w:rPr>
          <w:rFonts w:ascii="Times New Roman;Times;serif" w:hAnsi="Times New Roman;Times;serif"/>
          <w:b/>
          <w:sz w:val="24"/>
        </w:rPr>
        <w:t xml:space="preserve">OF THE CREDIT AGREEMENT, AND SUCH PROVISIONS ARE INCORPORATED HEREIN BY THIS REFERENCE, </w:t>
      </w:r>
      <w:r>
        <w:rPr>
          <w:rFonts w:ascii="Times New Roman;Times;serif" w:hAnsi="Times New Roman;Times;serif"/>
          <w:b/>
          <w:i/>
          <w:sz w:val="24"/>
        </w:rPr>
        <w:t>MUTATIS MUTANDIS</w:t>
      </w:r>
      <w:r>
        <w:rPr>
          <w:rFonts w:ascii="Times New Roman;Times;serif" w:hAnsi="Times New Roman;Times;serif"/>
          <w:b/>
          <w:sz w:val="24"/>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Amendments</w:t>
      </w:r>
      <w:r>
        <w:rPr>
          <w:rFonts w:ascii="Times New Roman;Times;serif" w:hAnsi="Times New Roman;Times;serif"/>
          <w:sz w:val="24"/>
        </w:rPr>
        <w:t xml:space="preserve">.   This Amendment cannot be altered, amended, changed or modified in any respect except in accordance with </w:t>
      </w:r>
      <w:r>
        <w:rPr>
          <w:rFonts w:ascii="Times New Roman;Times;serif" w:hAnsi="Times New Roman;Times;serif"/>
          <w:sz w:val="24"/>
          <w:u w:val="single"/>
        </w:rPr>
        <w:t>Section 10.02</w:t>
      </w:r>
      <w:r>
        <w:rPr>
          <w:rFonts w:ascii="Times New Roman;Times;serif" w:hAnsi="Times New Roman;Times;serif"/>
          <w:sz w:val="20"/>
        </w:rPr>
        <w:t xml:space="preserve"> </w:t>
      </w:r>
      <w:r>
        <w:rPr>
          <w:rFonts w:ascii="Times New Roman;Times;serif" w:hAnsi="Times New Roman;Times;serif"/>
          <w:sz w:val="24"/>
        </w:rPr>
        <w:t>of the Credit Agreement.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rPr>
        <w:t>Counterpart Execution</w:t>
      </w:r>
      <w:r>
        <w:rPr>
          <w:rFonts w:ascii="Times New Roman;Times;serif" w:hAnsi="Times New Roman;Times;serif"/>
          <w:sz w:val="24"/>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The words “execution,” “signed,” “signature,” “delivery,” and words of like import in or relating to this Amendment 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Effect on Loan Documents</w:t>
      </w:r>
      <w:r>
        <w:rPr>
          <w:rFonts w:ascii="Times New Roman;Times;serif" w:hAnsi="Times New Roman;Times;serif"/>
          <w:sz w:val="24"/>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Administrative Agent or any Lender under the Credit Agreement or any other Loan Document.  Except for the amendments to the Credit Agreement expressly set forth herein, the Credit Agreement and the other Loan Documents shall remain unchanged and in full force and effect.  The waivers, consents and modifications set forth herein are limited to the specifics hereof (including facts or occurrences on which the same are based), shall not apply with respect to any facts or occurrences other than those on which the</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any Borrower remains in the sole and absolute discretion of Administrative Agent and Lenders.  To the extent that any terms or provisions of this Amendment conflict with those of the Credit Agreement or the other Loan Documents, the terms and provisions of this Amendment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modified and amended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To the extent that any of the terms and conditions in any of the Loan Documents shall contradict or be in conflict with any of the terms or conditions of the Credit Agreement, after giving effect to this Amendment, such terms and conditions are hereby deemed modified or amended accordingly to reflect the terms and conditions of the Credit Agreement as modified or amended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This Amendment is a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The provisions of </w:t>
      </w:r>
      <w:r>
        <w:rPr>
          <w:rFonts w:ascii="Times New Roman;Times;serif" w:hAnsi="Times New Roman;Times;serif"/>
          <w:sz w:val="24"/>
          <w:u w:val="single"/>
        </w:rPr>
        <w:t>Section 1.03</w:t>
      </w:r>
      <w:r>
        <w:rPr>
          <w:rFonts w:ascii="Times New Roman;Times;serif" w:hAnsi="Times New Roman;Times;serif"/>
          <w:sz w:val="20"/>
        </w:rPr>
        <w:t xml:space="preserve"> </w:t>
      </w:r>
      <w:r>
        <w:rPr>
          <w:rFonts w:ascii="Times New Roman;Times;serif" w:hAnsi="Times New Roman;Times;serif"/>
          <w:sz w:val="24"/>
        </w:rPr>
        <w:t xml:space="preserve">of the Credit Agreement are hereby incorporated </w:t>
      </w:r>
      <w:r>
        <w:rPr>
          <w:rFonts w:ascii="Times New Roman;Times;serif" w:hAnsi="Times New Roman;Times;serif"/>
          <w:i/>
          <w:sz w:val="24"/>
        </w:rPr>
        <w:t>mutatis mutandis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Entire Agreement</w:t>
      </w:r>
      <w:r>
        <w:rPr>
          <w:rFonts w:ascii="Times New Roman;Times;serif" w:hAnsi="Times New Roman;Times;serif"/>
          <w:sz w:val="24"/>
        </w:rPr>
        <w:t>.  This Amendment, and the terms and provisions hereof, the Credit Agreement and the other Loan Documents constitute the entire understanding and agreement between the parties hereto with respect to the subject matter hereof and supersede any and all prior or contemporaneous amendments or understandings with respect to the subject matter hereof, whether express or implied, oral or written.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13.</w:t>
      </w:r>
      <w:r>
        <w:rPr>
          <w:rFonts w:ascii="Times New Roman;Times;serif" w:hAnsi="Times New Roman;Times;serif"/>
          <w:sz w:val="24"/>
          <w:u w:val="single"/>
        </w:rPr>
        <w:t>Integration</w:t>
      </w:r>
      <w:r>
        <w:rPr>
          <w:rFonts w:ascii="Times New Roman;Times;serif" w:hAnsi="Times New Roman;Times;serif"/>
          <w:sz w:val="24"/>
        </w:rPr>
        <w:t>.  This Amendment, together with the other Loan Documents, incorporates all negotiations of the parties hereto with respect to the subject matter hereof and is the final expression and agreement of the parties hereto with respect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14.</w:t>
      </w:r>
      <w:r>
        <w:rPr>
          <w:rFonts w:ascii="Times New Roman;Times;serif" w:hAnsi="Times New Roman;Times;serif"/>
          <w:sz w:val="24"/>
          <w:u w:val="single"/>
        </w:rPr>
        <w:t>Reaffirmation of Obligations</w:t>
      </w:r>
      <w:r>
        <w:rPr>
          <w:rFonts w:ascii="Times New Roman;Times;serif" w:hAnsi="Times New Roman;Times;serif"/>
          <w:sz w:val="24"/>
        </w:rPr>
        <w:t>.  Each Loan Party hereby (a) acknowledges and reaffirms its obligations owing to Administrative Agent, each Lender and each other Secured Party under each Loan Document to which it is a party, and (b) agrees that each of the Loan Documents to which it is a party is and shall remain in full force and effect.  Each Loan Party hereby (i) further ratifies and reaffirms the validity and enforceability of all of the Liens and security interests heretofore granted, pursuant to and in connection with the U.S. Security Agreement or any other Loan Document to Administrative Agent, on behalf and for the benefit of each Lender and each other Secured Party, as collateral security for the obligations under the Loan Documents in accordance with their respective terms, and (ii) acknowledges that all of such Liens and security interests, and all Collateral heretofore pledged as security for such obligations, continue to be and remain collateral for such obligations from and after the date hereof (including, without limitation, from after giving effect 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15.</w:t>
      </w:r>
      <w:r>
        <w:rPr>
          <w:rFonts w:ascii="Times New Roman;Times;serif" w:hAnsi="Times New Roman;Times;serif"/>
          <w:sz w:val="24"/>
          <w:u w:val="single"/>
        </w:rPr>
        <w:t>Ratification</w:t>
      </w:r>
      <w:r>
        <w:rPr>
          <w:rFonts w:ascii="Times New Roman;Times;serif" w:hAnsi="Times New Roman;Times;serif"/>
          <w:sz w:val="24"/>
        </w:rPr>
        <w:t>.  Each Loan Party hereby restates, ratifies and reaffirms each and every term and condition set forth in the Credit Agreement and the Loan Documents effective as of the date hereof and as modified hereby.</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16.</w:t>
      </w:r>
      <w:r>
        <w:rPr>
          <w:rFonts w:ascii="Times New Roman;Times;serif" w:hAnsi="Times New Roman;Times;serif"/>
          <w:sz w:val="24"/>
          <w:u w:val="single"/>
        </w:rPr>
        <w:t>Severability</w:t>
      </w:r>
      <w:r>
        <w:rPr>
          <w:rFonts w:ascii="Times New Roman;Times;serif" w:hAnsi="Times New Roman;Times;serif"/>
          <w:sz w:val="24"/>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IN WITNESS WHEREOF, the parties have entered into this Amendment as of the date first above written.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FLUENCE ENERGY, LLC, a Delaware limited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liability company, as Parent Borrower</w:t>
      </w:r>
    </w:p>
    <w:tbl>
      <w:tblPr>
        <w:tblW w:w="7879" w:type="dxa"/>
        <w:jc w:val="left"/>
        <w:tblInd w:w="0" w:type="dxa"/>
        <w:tblLayout w:type="fixed"/>
        <w:tblCellMar>
          <w:top w:w="0" w:type="dxa"/>
          <w:left w:w="0" w:type="dxa"/>
          <w:bottom w:w="0" w:type="dxa"/>
          <w:right w:w="0" w:type="dxa"/>
        </w:tblCellMar>
      </w:tblPr>
      <w:tblGrid>
        <w:gridCol w:w="1503"/>
        <w:gridCol w:w="6222"/>
        <w:gridCol w:w="154"/>
      </w:tblGrid>
      <w:tr>
        <w:trPr/>
        <w:tc>
          <w:tcPr>
            <w:tcW w:w="150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By: </w:t>
            </w:r>
          </w:p>
        </w:tc>
        <w:tc>
          <w:tcPr>
            <w:tcW w:w="6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Ahmed Pasha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Ahmed Pasha</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50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By: </w:t>
            </w:r>
          </w:p>
        </w:tc>
        <w:tc>
          <w:tcPr>
            <w:tcW w:w="6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Vincent W. Mathis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Vincent W. Mathis</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Chief Legal and Compliance Officer, and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FLUENCE ENERGY GLOBAL PRODUCTION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OPERATION, LLC, a Delaware limited liability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as a Borrower</w:t>
      </w:r>
    </w:p>
    <w:p>
      <w:pPr>
        <w:pStyle w:val="TextBody"/>
        <w:bidi w:val="0"/>
        <w:spacing w:before="0" w:after="0"/>
        <w:ind w:left="0" w:right="0" w:hanging="0"/>
        <w:jc w:val="left"/>
        <w:rPr/>
      </w:pPr>
      <w:r>
        <w:rPr/>
        <w:t>​</w:t>
      </w:r>
    </w:p>
    <w:tbl>
      <w:tblPr>
        <w:tblW w:w="5539" w:type="dxa"/>
        <w:jc w:val="left"/>
        <w:tblInd w:w="0" w:type="dxa"/>
        <w:tblLayout w:type="fixed"/>
        <w:tblCellMar>
          <w:top w:w="0" w:type="dxa"/>
          <w:left w:w="0" w:type="dxa"/>
          <w:bottom w:w="0" w:type="dxa"/>
          <w:right w:w="0" w:type="dxa"/>
        </w:tblCellMar>
      </w:tblPr>
      <w:tblGrid>
        <w:gridCol w:w="949"/>
        <w:gridCol w:w="4436"/>
        <w:gridCol w:w="154"/>
      </w:tblGrid>
      <w:tr>
        <w:trPr/>
        <w:tc>
          <w:tcPr>
            <w:tcW w:w="94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Ahmed Pasha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3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Ahmed Pasha</w:t>
            </w:r>
          </w:p>
        </w:tc>
        <w:tc>
          <w:tcPr>
            <w:tcW w:w="154" w:type="dxa"/>
            <w:tcBorders/>
            <w:vAlign w:val="center"/>
          </w:tcPr>
          <w:p>
            <w:pPr>
              <w:pStyle w:val="TableContents"/>
              <w:bidi w:val="0"/>
              <w:spacing w:before="0" w:after="0"/>
              <w:ind w:left="0" w:right="0" w:hanging="0"/>
              <w:jc w:val="left"/>
              <w:rPr/>
            </w:pPr>
            <w:r>
              <w:rPr/>
              <w:t>​</w:t>
            </w:r>
          </w:p>
        </w:tc>
      </w:tr>
      <w:tr>
        <w:trPr/>
        <w:tc>
          <w:tcPr>
            <w:tcW w:w="53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538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4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Vincent W. Mathis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3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Vincent W. Mathis</w:t>
            </w:r>
          </w:p>
        </w:tc>
        <w:tc>
          <w:tcPr>
            <w:tcW w:w="154" w:type="dxa"/>
            <w:tcBorders/>
            <w:vAlign w:val="center"/>
          </w:tcPr>
          <w:p>
            <w:pPr>
              <w:pStyle w:val="TableContents"/>
              <w:bidi w:val="0"/>
              <w:spacing w:before="0" w:after="0"/>
              <w:ind w:left="0" w:right="0" w:hanging="0"/>
              <w:jc w:val="left"/>
              <w:rPr/>
            </w:pPr>
            <w:r>
              <w:rPr/>
              <w:t>​</w:t>
            </w:r>
          </w:p>
        </w:tc>
      </w:tr>
      <w:tr>
        <w:trPr/>
        <w:tc>
          <w:tcPr>
            <w:tcW w:w="538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and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FLUENCE ENERGY, INC., a Delaware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corporation, as the Parent and a Guarantor</w:t>
      </w:r>
    </w:p>
    <w:p>
      <w:pPr>
        <w:pStyle w:val="TextBody"/>
        <w:bidi w:val="0"/>
        <w:spacing w:before="0" w:after="0"/>
        <w:ind w:left="0" w:right="0" w:hanging="0"/>
        <w:jc w:val="left"/>
        <w:rPr/>
      </w:pPr>
      <w:r>
        <w:rPr/>
        <w:t>​</w:t>
      </w:r>
    </w:p>
    <w:tbl>
      <w:tblPr>
        <w:tblW w:w="7879" w:type="dxa"/>
        <w:jc w:val="left"/>
        <w:tblInd w:w="0" w:type="dxa"/>
        <w:tblLayout w:type="fixed"/>
        <w:tblCellMar>
          <w:top w:w="0" w:type="dxa"/>
          <w:left w:w="0" w:type="dxa"/>
          <w:bottom w:w="0" w:type="dxa"/>
          <w:right w:w="0" w:type="dxa"/>
        </w:tblCellMar>
      </w:tblPr>
      <w:tblGrid>
        <w:gridCol w:w="1361"/>
        <w:gridCol w:w="6364"/>
        <w:gridCol w:w="154"/>
      </w:tblGrid>
      <w:tr>
        <w:trPr/>
        <w:tc>
          <w:tcPr>
            <w:tcW w:w="13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6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Ahmed Pasha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Ahmed Pasha</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3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6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Vincent W. Mathis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Vincent W. Mathis</w:t>
            </w:r>
          </w:p>
        </w:tc>
        <w:tc>
          <w:tcPr>
            <w:tcW w:w="154" w:type="dxa"/>
            <w:tcBorders/>
            <w:vAlign w:val="center"/>
          </w:tcPr>
          <w:p>
            <w:pPr>
              <w:pStyle w:val="TableContents"/>
              <w:bidi w:val="0"/>
              <w:spacing w:before="0" w:after="0"/>
              <w:ind w:left="0" w:right="0" w:hanging="0"/>
              <w:jc w:val="left"/>
              <w:rPr/>
            </w:pPr>
            <w:r>
              <w:rPr/>
              <w:t>​</w:t>
            </w:r>
          </w:p>
        </w:tc>
      </w:tr>
      <w:tr>
        <w:trPr/>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Senior Vice President, Chief Legal and Compliance Officer, and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aps/>
          <w:sz w:val="24"/>
        </w:rPr>
        <w:t>Fluence Energy Canada Inc</w:t>
      </w:r>
      <w:r>
        <w:rPr>
          <w:rFonts w:ascii="Times New Roman;Times;serif" w:hAnsi="Times New Roman;Times;serif"/>
          <w:sz w:val="24"/>
        </w:rPr>
        <w:t xml:space="preserve">., as a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Guarantor</w:t>
      </w:r>
    </w:p>
    <w:tbl>
      <w:tblPr>
        <w:tblW w:w="2796" w:type="dxa"/>
        <w:jc w:val="left"/>
        <w:tblInd w:w="0" w:type="dxa"/>
        <w:tblLayout w:type="fixed"/>
        <w:tblCellMar>
          <w:top w:w="0" w:type="dxa"/>
          <w:left w:w="0" w:type="dxa"/>
          <w:bottom w:w="0" w:type="dxa"/>
          <w:right w:w="0" w:type="dxa"/>
        </w:tblCellMar>
      </w:tblPr>
      <w:tblGrid>
        <w:gridCol w:w="466"/>
        <w:gridCol w:w="2176"/>
        <w:gridCol w:w="154"/>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95910" cy="175260"/>
                      <wp:effectExtent l="0" t="0" r="0" b="0"/>
                      <wp:wrapNone/>
                      <wp:docPr id="678" name="Frame67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381760" cy="175260"/>
                      <wp:effectExtent l="0" t="0" r="0" b="0"/>
                      <wp:wrapNone/>
                      <wp:docPr id="679" name="Frame679"/>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97790" cy="175260"/>
                      <wp:effectExtent l="0" t="0" r="0" b="0"/>
                      <wp:wrapNone/>
                      <wp:docPr id="680" name="Frame6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Sean Powers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Sean Powers</w:t>
            </w:r>
          </w:p>
        </w:tc>
        <w:tc>
          <w:tcPr>
            <w:tcW w:w="154" w:type="dxa"/>
            <w:tcBorders/>
            <w:vAlign w:val="center"/>
          </w:tcPr>
          <w:p>
            <w:pPr>
              <w:pStyle w:val="TableContents"/>
              <w:bidi w:val="0"/>
              <w:spacing w:before="0" w:after="0"/>
              <w:ind w:left="0" w:right="0" w:hanging="0"/>
              <w:jc w:val="left"/>
              <w:rPr/>
            </w:pPr>
            <w:r>
              <w:rPr/>
              <w:t>​</w:t>
            </w:r>
          </w:p>
        </w:tc>
      </w:tr>
      <w:tr>
        <w:trPr/>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President &amp; Director</w:t>
            </w:r>
          </w:p>
        </w:tc>
        <w:tc>
          <w:tcPr>
            <w:tcW w:w="154" w:type="dxa"/>
            <w:tcBorders/>
            <w:vAlign w:val="center"/>
          </w:tcPr>
          <w:p>
            <w:pPr>
              <w:pStyle w:val="TableContents"/>
              <w:bidi w:val="0"/>
              <w:spacing w:before="0" w:after="0"/>
              <w:ind w:left="0" w:right="0" w:hanging="0"/>
              <w:jc w:val="left"/>
              <w:rPr/>
            </w:pPr>
            <w:r>
              <w:rPr/>
              <w:t>​</w:t>
            </w:r>
          </w:p>
        </w:tc>
      </w:tr>
      <w:tr>
        <w:trPr/>
        <w:tc>
          <w:tcPr>
            <w:tcW w:w="26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Vincent W. Mathis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Vincent W. Mathis</w:t>
            </w:r>
          </w:p>
        </w:tc>
        <w:tc>
          <w:tcPr>
            <w:tcW w:w="154" w:type="dxa"/>
            <w:tcBorders/>
            <w:vAlign w:val="center"/>
          </w:tcPr>
          <w:p>
            <w:pPr>
              <w:pStyle w:val="TableContents"/>
              <w:bidi w:val="0"/>
              <w:spacing w:before="0" w:after="0"/>
              <w:ind w:left="0" w:right="0" w:hanging="0"/>
              <w:jc w:val="left"/>
              <w:rPr/>
            </w:pPr>
            <w:r>
              <w:rPr/>
              <w:t>​</w:t>
            </w:r>
          </w:p>
        </w:tc>
      </w:tr>
      <w:tr>
        <w:trPr/>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Secretary &amp;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4"/>
        </w:rPr>
        <w:t>Executed</w:t>
      </w:r>
      <w:r>
        <w:rPr>
          <w:rFonts w:ascii="Times New Roman;Times;serif" w:hAnsi="Times New Roman;Times;serif"/>
          <w:sz w:val="20"/>
        </w:rPr>
        <w:t xml:space="preserve"> </w:t>
      </w:r>
      <w:r>
        <w:rPr>
          <w:rFonts w:ascii="Times New Roman;Times;serif" w:hAnsi="Times New Roman;Times;serif"/>
          <w:sz w:val="24"/>
        </w:rPr>
        <w:t xml:space="preserve">by </w:t>
      </w:r>
      <w:r>
        <w:rPr>
          <w:rFonts w:ascii="Times New Roman;Times;serif" w:hAnsi="Times New Roman;Times;serif"/>
          <w:b/>
          <w:sz w:val="24"/>
        </w:rPr>
        <w:t>Fluence Energy Pty Ltd ACN 627 071 461</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in accordance with section 127(1) of the </w:t>
      </w:r>
      <w:r>
        <w:rPr>
          <w:rFonts w:ascii="Times New Roman;Times;serif" w:hAnsi="Times New Roman;Times;serif"/>
          <w:i/>
          <w:sz w:val="24"/>
        </w:rPr>
        <w:t>Corporations Act 2001</w:t>
      </w:r>
      <w:r>
        <w:rPr>
          <w:rFonts w:ascii="Times New Roman;Times;serif" w:hAnsi="Times New Roman;Times;serif"/>
          <w:sz w:val="20"/>
        </w:rPr>
        <w:t xml:space="preserve"> </w:t>
      </w:r>
      <w:r>
        <w:rPr>
          <w:rFonts w:ascii="Times New Roman;Times;serif" w:hAnsi="Times New Roman;Times;serif"/>
          <w:sz w:val="24"/>
        </w:rPr>
        <w:t>(Cth)</w:t>
      </w:r>
      <w:r>
        <w:rPr>
          <w:rFonts w:ascii="Times New Roman;Times;serif" w:hAnsi="Times New Roman;Times;serif"/>
          <w:caps/>
          <w:sz w:val="24"/>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as a Guarantor</w:t>
      </w:r>
    </w:p>
    <w:tbl>
      <w:tblPr>
        <w:tblW w:w="3664" w:type="dxa"/>
        <w:jc w:val="left"/>
        <w:tblInd w:w="0" w:type="dxa"/>
        <w:tblLayout w:type="fixed"/>
        <w:tblCellMar>
          <w:top w:w="0" w:type="dxa"/>
          <w:left w:w="0" w:type="dxa"/>
          <w:bottom w:w="0" w:type="dxa"/>
          <w:right w:w="0" w:type="dxa"/>
        </w:tblCellMar>
      </w:tblPr>
      <w:tblGrid>
        <w:gridCol w:w="668"/>
        <w:gridCol w:w="2842"/>
        <w:gridCol w:w="154"/>
      </w:tblGrid>
      <w:tr>
        <w:trPr/>
        <w:tc>
          <w:tcPr>
            <w:tcW w:w="66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8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Jason Beer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Jason Beer</w:t>
            </w:r>
          </w:p>
        </w:tc>
        <w:tc>
          <w:tcPr>
            <w:tcW w:w="154" w:type="dxa"/>
            <w:tcBorders/>
            <w:vAlign w:val="center"/>
          </w:tcPr>
          <w:p>
            <w:pPr>
              <w:pStyle w:val="TableContents"/>
              <w:bidi w:val="0"/>
              <w:spacing w:before="0" w:after="0"/>
              <w:ind w:left="0" w:right="0" w:hanging="0"/>
              <w:jc w:val="left"/>
              <w:rPr/>
            </w:pPr>
            <w:r>
              <w:rPr/>
              <w:t>​</w:t>
            </w:r>
          </w:p>
        </w:tc>
      </w:tr>
      <w:tr>
        <w:trPr/>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351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8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Peter John Smith</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Peter John Smith</w:t>
            </w:r>
          </w:p>
        </w:tc>
        <w:tc>
          <w:tcPr>
            <w:tcW w:w="154" w:type="dxa"/>
            <w:tcBorders/>
            <w:vAlign w:val="center"/>
          </w:tcPr>
          <w:p>
            <w:pPr>
              <w:pStyle w:val="TableContents"/>
              <w:bidi w:val="0"/>
              <w:spacing w:before="0" w:after="0"/>
              <w:ind w:left="0" w:right="0" w:hanging="0"/>
              <w:jc w:val="left"/>
              <w:rPr/>
            </w:pPr>
            <w:r>
              <w:rPr/>
              <w:t>​</w:t>
            </w:r>
          </w:p>
        </w:tc>
      </w:tr>
      <w:tr>
        <w:trPr/>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 / Company Secretary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INC.</w:t>
      </w:r>
      <w:r>
        <w:rPr>
          <w:rFonts w:ascii="Times New Roman;Times;serif" w:hAnsi="Times New Roman;Times;serif"/>
          <w:sz w:val="24"/>
        </w:rPr>
        <w:t>, a Philippine company</w:t>
      </w:r>
    </w:p>
    <w:tbl>
      <w:tblPr>
        <w:tblW w:w="3426" w:type="dxa"/>
        <w:jc w:val="left"/>
        <w:tblInd w:w="0" w:type="dxa"/>
        <w:tblLayout w:type="fixed"/>
        <w:tblCellMar>
          <w:top w:w="0" w:type="dxa"/>
          <w:left w:w="0" w:type="dxa"/>
          <w:bottom w:w="0" w:type="dxa"/>
          <w:right w:w="0" w:type="dxa"/>
        </w:tblCellMar>
      </w:tblPr>
      <w:tblGrid>
        <w:gridCol w:w="466"/>
        <w:gridCol w:w="2806"/>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Maria Isabel Rodriguez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Maria Isabel Rodriguez</w:t>
            </w:r>
          </w:p>
        </w:tc>
        <w:tc>
          <w:tcPr>
            <w:tcW w:w="154" w:type="dxa"/>
            <w:tcBorders/>
            <w:vAlign w:val="center"/>
          </w:tcPr>
          <w:p>
            <w:pPr>
              <w:pStyle w:val="TableContents"/>
              <w:bidi w:val="0"/>
              <w:spacing w:before="0" w:after="0"/>
              <w:ind w:left="0" w:right="0" w:hanging="0"/>
              <w:jc w:val="left"/>
              <w:rPr/>
            </w:pPr>
            <w:r>
              <w:rPr/>
              <w:t>​</w:t>
            </w:r>
          </w:p>
        </w:tc>
      </w:tr>
      <w:tr>
        <w:trPr/>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Vice President, Director</w:t>
            </w:r>
          </w:p>
        </w:tc>
        <w:tc>
          <w:tcPr>
            <w:tcW w:w="154" w:type="dxa"/>
            <w:tcBorders/>
            <w:vAlign w:val="center"/>
          </w:tcPr>
          <w:p>
            <w:pPr>
              <w:pStyle w:val="TableContents"/>
              <w:bidi w:val="0"/>
              <w:spacing w:before="0" w:after="0"/>
              <w:ind w:left="0" w:right="0" w:hanging="0"/>
              <w:jc w:val="left"/>
              <w:rPr/>
            </w:pPr>
            <w:r>
              <w:rPr/>
              <w:t>​</w:t>
            </w:r>
          </w:p>
        </w:tc>
      </w:tr>
      <w:tr>
        <w:trPr/>
        <w:tc>
          <w:tcPr>
            <w:tcW w:w="32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Shanie Crystal Rodriguez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Shanie Crystal Rodriguez</w:t>
            </w:r>
          </w:p>
        </w:tc>
        <w:tc>
          <w:tcPr>
            <w:tcW w:w="154" w:type="dxa"/>
            <w:tcBorders/>
            <w:vAlign w:val="center"/>
          </w:tcPr>
          <w:p>
            <w:pPr>
              <w:pStyle w:val="TableContents"/>
              <w:bidi w:val="0"/>
              <w:spacing w:before="0" w:after="0"/>
              <w:ind w:left="0" w:right="0" w:hanging="0"/>
              <w:jc w:val="left"/>
              <w:rPr/>
            </w:pPr>
            <w:r>
              <w:rPr/>
              <w:t>​</w:t>
            </w:r>
          </w:p>
        </w:tc>
      </w:tr>
      <w:tr>
        <w:trPr/>
        <w:tc>
          <w:tcPr>
            <w:tcW w:w="32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SINGAPORE PtE Ltd.</w:t>
      </w:r>
      <w:r>
        <w:rPr>
          <w:rFonts w:ascii="Times New Roman;Times;serif" w:hAnsi="Times New Roman;Times;serif"/>
          <w:sz w:val="24"/>
        </w:rPr>
        <w:t>, as a Guarantor</w:t>
      </w:r>
    </w:p>
    <w:tbl>
      <w:tblPr>
        <w:tblW w:w="2841" w:type="dxa"/>
        <w:jc w:val="left"/>
        <w:tblInd w:w="0" w:type="dxa"/>
        <w:tblLayout w:type="fixed"/>
        <w:tblCellMar>
          <w:top w:w="0" w:type="dxa"/>
          <w:left w:w="0" w:type="dxa"/>
          <w:bottom w:w="0" w:type="dxa"/>
          <w:right w:w="0" w:type="dxa"/>
        </w:tblCellMar>
      </w:tblPr>
      <w:tblGrid>
        <w:gridCol w:w="466"/>
        <w:gridCol w:w="222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Kai Yen Chen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Kai Yen Chen</w:t>
            </w:r>
          </w:p>
        </w:tc>
        <w:tc>
          <w:tcPr>
            <w:tcW w:w="154" w:type="dxa"/>
            <w:tcBorders/>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Sarah Marie Symes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Sarah Marie Symes</w:t>
            </w:r>
          </w:p>
        </w:tc>
        <w:tc>
          <w:tcPr>
            <w:tcW w:w="154" w:type="dxa"/>
            <w:tcBorders/>
            <w:vAlign w:val="center"/>
          </w:tcPr>
          <w:p>
            <w:pPr>
              <w:pStyle w:val="TableContents"/>
              <w:bidi w:val="0"/>
              <w:spacing w:before="0" w:after="0"/>
              <w:ind w:left="0" w:right="0" w:hanging="0"/>
              <w:jc w:val="left"/>
              <w:rPr/>
            </w:pPr>
            <w:r>
              <w:rPr/>
              <w:t>​</w:t>
            </w:r>
          </w:p>
        </w:tc>
      </w:tr>
      <w:tr>
        <w:trPr/>
        <w:tc>
          <w:tcPr>
            <w:tcW w:w="26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Taiwan Ltd.</w:t>
      </w:r>
      <w:r>
        <w:rPr>
          <w:rFonts w:ascii="Times New Roman;Times;serif" w:hAnsi="Times New Roman;Times;serif"/>
          <w:sz w:val="24"/>
        </w:rPr>
        <w:t>, as a Guarantor</w:t>
      </w:r>
    </w:p>
    <w:tbl>
      <w:tblPr>
        <w:tblW w:w="4594" w:type="dxa"/>
        <w:jc w:val="left"/>
        <w:tblInd w:w="0" w:type="dxa"/>
        <w:tblLayout w:type="fixed"/>
        <w:tblCellMar>
          <w:top w:w="0" w:type="dxa"/>
          <w:left w:w="0" w:type="dxa"/>
          <w:bottom w:w="0" w:type="dxa"/>
          <w:right w:w="0" w:type="dxa"/>
        </w:tblCellMar>
      </w:tblPr>
      <w:tblGrid>
        <w:gridCol w:w="675"/>
        <w:gridCol w:w="3765"/>
        <w:gridCol w:w="154"/>
      </w:tblGrid>
      <w:tr>
        <w:trPr/>
        <w:tc>
          <w:tcPr>
            <w:tcW w:w="67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Roger Chuang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Roger Chuang (Chuang, Chih-Hsuan)</w:t>
            </w:r>
          </w:p>
        </w:tc>
        <w:tc>
          <w:tcPr>
            <w:tcW w:w="154" w:type="dxa"/>
            <w:tcBorders/>
            <w:vAlign w:val="center"/>
          </w:tcPr>
          <w:p>
            <w:pPr>
              <w:pStyle w:val="TableContents"/>
              <w:bidi w:val="0"/>
              <w:spacing w:before="0" w:after="0"/>
              <w:ind w:left="0" w:right="0" w:hanging="0"/>
              <w:jc w:val="left"/>
              <w:rPr/>
            </w:pPr>
            <w:r>
              <w:rPr/>
              <w:t>​</w:t>
            </w:r>
          </w:p>
        </w:tc>
      </w:tr>
      <w:tr>
        <w:trPr/>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Chairman</w:t>
            </w:r>
          </w:p>
        </w:tc>
        <w:tc>
          <w:tcPr>
            <w:tcW w:w="154" w:type="dxa"/>
            <w:tcBorders/>
            <w:vAlign w:val="center"/>
          </w:tcPr>
          <w:p>
            <w:pPr>
              <w:pStyle w:val="TableContents"/>
              <w:bidi w:val="0"/>
              <w:spacing w:before="0" w:after="0"/>
              <w:ind w:left="0" w:right="0" w:hanging="0"/>
              <w:jc w:val="left"/>
              <w:rPr/>
            </w:pPr>
            <w:r>
              <w:rPr/>
              <w:t>​</w:t>
            </w:r>
          </w:p>
        </w:tc>
      </w:tr>
      <w:tr>
        <w:trPr/>
        <w:tc>
          <w:tcPr>
            <w:tcW w:w="444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7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Maria Isabel Rodriguez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Maria Isabel Rodriguez</w:t>
            </w:r>
          </w:p>
        </w:tc>
        <w:tc>
          <w:tcPr>
            <w:tcW w:w="154" w:type="dxa"/>
            <w:tcBorders/>
            <w:vAlign w:val="center"/>
          </w:tcPr>
          <w:p>
            <w:pPr>
              <w:pStyle w:val="TableContents"/>
              <w:bidi w:val="0"/>
              <w:spacing w:before="0" w:after="0"/>
              <w:ind w:left="0" w:right="0" w:hanging="0"/>
              <w:jc w:val="left"/>
              <w:rPr/>
            </w:pPr>
            <w:r>
              <w:rPr/>
              <w:t>​</w:t>
            </w:r>
          </w:p>
        </w:tc>
      </w:tr>
      <w:tr>
        <w:trPr/>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GmbH</w:t>
      </w:r>
      <w:r>
        <w:rPr>
          <w:rFonts w:ascii="Times New Roman;Times;serif" w:hAnsi="Times New Roman;Times;serif"/>
          <w:sz w:val="24"/>
        </w:rPr>
        <w:t>, as a Guarantor</w:t>
      </w:r>
    </w:p>
    <w:tbl>
      <w:tblPr>
        <w:tblW w:w="2629" w:type="dxa"/>
        <w:jc w:val="left"/>
        <w:tblInd w:w="0" w:type="dxa"/>
        <w:tblLayout w:type="fixed"/>
        <w:tblCellMar>
          <w:top w:w="0" w:type="dxa"/>
          <w:left w:w="0" w:type="dxa"/>
          <w:bottom w:w="0" w:type="dxa"/>
          <w:right w:w="0" w:type="dxa"/>
        </w:tblCellMar>
      </w:tblPr>
      <w:tblGrid>
        <w:gridCol w:w="515"/>
        <w:gridCol w:w="1960"/>
        <w:gridCol w:w="154"/>
      </w:tblGrid>
      <w:tr>
        <w:trPr/>
        <w:tc>
          <w:tcPr>
            <w:tcW w:w="51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Jens Kistner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Jens Kistner</w:t>
            </w:r>
          </w:p>
        </w:tc>
        <w:tc>
          <w:tcPr>
            <w:tcW w:w="154" w:type="dxa"/>
            <w:tcBorders/>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Director</w:t>
            </w:r>
          </w:p>
        </w:tc>
        <w:tc>
          <w:tcPr>
            <w:tcW w:w="154" w:type="dxa"/>
            <w:tcBorders/>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1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Markus Meyer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Markus Meyer</w:t>
            </w:r>
          </w:p>
        </w:tc>
        <w:tc>
          <w:tcPr>
            <w:tcW w:w="154" w:type="dxa"/>
            <w:tcBorders/>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B.V.</w:t>
      </w:r>
      <w:r>
        <w:rPr>
          <w:rFonts w:ascii="Times New Roman;Times;serif" w:hAnsi="Times New Roman;Times;serif"/>
          <w:sz w:val="24"/>
        </w:rPr>
        <w:t>, as a Guarantor</w:t>
      </w:r>
    </w:p>
    <w:tbl>
      <w:tblPr>
        <w:tblW w:w="2826" w:type="dxa"/>
        <w:jc w:val="left"/>
        <w:tblInd w:w="0" w:type="dxa"/>
        <w:tblLayout w:type="fixed"/>
        <w:tblCellMar>
          <w:top w:w="0" w:type="dxa"/>
          <w:left w:w="0" w:type="dxa"/>
          <w:bottom w:w="0" w:type="dxa"/>
          <w:right w:w="0" w:type="dxa"/>
        </w:tblCellMar>
      </w:tblPr>
      <w:tblGrid>
        <w:gridCol w:w="466"/>
        <w:gridCol w:w="2206"/>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Marjolijn Vergouw</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Marjolijn Vergouw</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Hugo Smith</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Hugo Smith</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AG</w:t>
      </w:r>
      <w:r>
        <w:rPr>
          <w:rFonts w:ascii="Times New Roman;Times;serif" w:hAnsi="Times New Roman;Times;serif"/>
          <w:sz w:val="24"/>
        </w:rPr>
        <w:t>, as a Guarantor</w:t>
      </w:r>
    </w:p>
    <w:tbl>
      <w:tblPr>
        <w:tblW w:w="4054" w:type="dxa"/>
        <w:jc w:val="left"/>
        <w:tblInd w:w="0" w:type="dxa"/>
        <w:tblLayout w:type="fixed"/>
        <w:tblCellMar>
          <w:top w:w="0" w:type="dxa"/>
          <w:left w:w="0" w:type="dxa"/>
          <w:bottom w:w="0" w:type="dxa"/>
          <w:right w:w="0" w:type="dxa"/>
        </w:tblCellMar>
      </w:tblPr>
      <w:tblGrid>
        <w:gridCol w:w="672"/>
        <w:gridCol w:w="3228"/>
        <w:gridCol w:w="154"/>
      </w:tblGrid>
      <w:tr>
        <w:trPr/>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26720" cy="175260"/>
                      <wp:effectExtent l="0" t="0" r="0" b="0"/>
                      <wp:wrapNone/>
                      <wp:docPr id="681" name="Frame681"/>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49780" cy="175260"/>
                      <wp:effectExtent l="0" t="0" r="0" b="0"/>
                      <wp:wrapNone/>
                      <wp:docPr id="682" name="Frame682"/>
                      <a:graphic xmlns:a="http://schemas.openxmlformats.org/drawingml/2006/main">
                        <a:graphicData uri="http://schemas.microsoft.com/office/word/2010/wordprocessingShape">
                          <wps:wsp>
                            <wps:cNvSpPr txBox="1"/>
                            <wps:spPr>
                              <a:xfrm>
                                <a:off x="0" y="0"/>
                                <a:ext cx="204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97790" cy="175260"/>
                      <wp:effectExtent l="0" t="0" r="0" b="0"/>
                      <wp:wrapNone/>
                      <wp:docPr id="683" name="Frame68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Michele Acquaviva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Michele Acquaviva</w:t>
            </w:r>
          </w:p>
        </w:tc>
        <w:tc>
          <w:tcPr>
            <w:tcW w:w="154" w:type="dxa"/>
            <w:tcBorders/>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Chairman</w:t>
            </w:r>
          </w:p>
        </w:tc>
        <w:tc>
          <w:tcPr>
            <w:tcW w:w="154" w:type="dxa"/>
            <w:tcBorders/>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7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Evangelos Vrettos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Evangelos Vrettos</w:t>
            </w:r>
          </w:p>
        </w:tc>
        <w:tc>
          <w:tcPr>
            <w:tcW w:w="154" w:type="dxa"/>
            <w:tcBorders/>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Member of the Board of Directors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UK Limited</w:t>
      </w:r>
      <w:r>
        <w:rPr>
          <w:rFonts w:ascii="Times New Roman;Times;serif" w:hAnsi="Times New Roman;Times;serif"/>
          <w:sz w:val="24"/>
        </w:rPr>
        <w:t>, as a Guarantor</w:t>
      </w:r>
    </w:p>
    <w:tbl>
      <w:tblPr>
        <w:tblW w:w="2781" w:type="dxa"/>
        <w:jc w:val="left"/>
        <w:tblInd w:w="0" w:type="dxa"/>
        <w:tblLayout w:type="fixed"/>
        <w:tblCellMar>
          <w:top w:w="0" w:type="dxa"/>
          <w:left w:w="0" w:type="dxa"/>
          <w:bottom w:w="0" w:type="dxa"/>
          <w:right w:w="0" w:type="dxa"/>
        </w:tblCellMar>
      </w:tblPr>
      <w:tblGrid>
        <w:gridCol w:w="466"/>
        <w:gridCol w:w="216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Julian Felix Jansen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Julian Felix Jansen</w:t>
            </w:r>
          </w:p>
        </w:tc>
        <w:tc>
          <w:tcPr>
            <w:tcW w:w="154" w:type="dxa"/>
            <w:tcBorders/>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Brian Perusse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Brian Perusse</w:t>
            </w:r>
          </w:p>
        </w:tc>
        <w:tc>
          <w:tcPr>
            <w:tcW w:w="154" w:type="dxa"/>
            <w:tcBorders/>
            <w:vAlign w:val="center"/>
          </w:tcPr>
          <w:p>
            <w:pPr>
              <w:pStyle w:val="TableContents"/>
              <w:bidi w:val="0"/>
              <w:spacing w:before="0" w:after="0"/>
              <w:ind w:left="0" w:right="0" w:hanging="0"/>
              <w:jc w:val="left"/>
              <w:rPr/>
            </w:pPr>
            <w:r>
              <w:rPr/>
              <w:t>​</w:t>
            </w:r>
          </w:p>
        </w:tc>
      </w:tr>
      <w:tr>
        <w:trPr/>
        <w:tc>
          <w:tcPr>
            <w:tcW w:w="262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aps/>
          <w:sz w:val="24"/>
        </w:rPr>
        <w:t>Fluence Energy Ireland Limited</w:t>
      </w:r>
      <w:r>
        <w:rPr>
          <w:rFonts w:ascii="Times New Roman;Times;serif" w:hAnsi="Times New Roman;Times;serif"/>
          <w:sz w:val="24"/>
        </w:rPr>
        <w:t>, as a Guarantor</w:t>
      </w:r>
    </w:p>
    <w:tbl>
      <w:tblPr>
        <w:tblW w:w="2406" w:type="dxa"/>
        <w:jc w:val="left"/>
        <w:tblInd w:w="0" w:type="dxa"/>
        <w:tblLayout w:type="fixed"/>
        <w:tblCellMar>
          <w:top w:w="0" w:type="dxa"/>
          <w:left w:w="0" w:type="dxa"/>
          <w:bottom w:w="0" w:type="dxa"/>
          <w:right w:w="0" w:type="dxa"/>
        </w:tblCellMar>
      </w:tblPr>
      <w:tblGrid>
        <w:gridCol w:w="466"/>
        <w:gridCol w:w="1786"/>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Brian Perusse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Brian Perusse</w:t>
            </w:r>
          </w:p>
        </w:tc>
        <w:tc>
          <w:tcPr>
            <w:tcW w:w="154" w:type="dxa"/>
            <w:tcBorders/>
            <w:vAlign w:val="center"/>
          </w:tcPr>
          <w:p>
            <w:pPr>
              <w:pStyle w:val="TableContents"/>
              <w:bidi w:val="0"/>
              <w:spacing w:before="0" w:after="0"/>
              <w:ind w:left="0" w:right="0" w:hanging="0"/>
              <w:jc w:val="left"/>
              <w:rPr/>
            </w:pPr>
            <w:r>
              <w:rPr/>
              <w:t>​</w:t>
            </w:r>
          </w:p>
        </w:tc>
      </w:tr>
      <w:tr>
        <w:trPr/>
        <w:tc>
          <w:tcPr>
            <w:tcW w:w="22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225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Derek Browne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Derek Browne</w:t>
            </w:r>
          </w:p>
        </w:tc>
        <w:tc>
          <w:tcPr>
            <w:tcW w:w="154" w:type="dxa"/>
            <w:tcBorders/>
            <w:vAlign w:val="center"/>
          </w:tcPr>
          <w:p>
            <w:pPr>
              <w:pStyle w:val="TableContents"/>
              <w:bidi w:val="0"/>
              <w:spacing w:before="0" w:after="0"/>
              <w:ind w:left="0" w:right="0" w:hanging="0"/>
              <w:jc w:val="left"/>
              <w:rPr/>
            </w:pPr>
            <w:r>
              <w:rPr/>
              <w:t>​</w:t>
            </w:r>
          </w:p>
        </w:tc>
      </w:tr>
      <w:tr>
        <w:trPr/>
        <w:tc>
          <w:tcPr>
            <w:tcW w:w="22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CITIBANK, N.A., as Agent and a Lender</w:t>
      </w:r>
    </w:p>
    <w:tbl>
      <w:tblPr>
        <w:tblW w:w="4849" w:type="dxa"/>
        <w:jc w:val="left"/>
        <w:tblInd w:w="0" w:type="dxa"/>
        <w:tblLayout w:type="fixed"/>
        <w:tblCellMar>
          <w:top w:w="0" w:type="dxa"/>
          <w:left w:w="0" w:type="dxa"/>
          <w:bottom w:w="0" w:type="dxa"/>
          <w:right w:w="0" w:type="dxa"/>
        </w:tblCellMar>
      </w:tblPr>
      <w:tblGrid>
        <w:gridCol w:w="991"/>
        <w:gridCol w:w="3704"/>
        <w:gridCol w:w="154"/>
      </w:tblGrid>
      <w:tr>
        <w:trPr/>
        <w:tc>
          <w:tcPr>
            <w:tcW w:w="9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7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Agha Murtaza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Agha Murtaza</w:t>
            </w:r>
          </w:p>
        </w:tc>
        <w:tc>
          <w:tcPr>
            <w:tcW w:w="154" w:type="dxa"/>
            <w:tcBorders/>
            <w:vAlign w:val="center"/>
          </w:tcPr>
          <w:p>
            <w:pPr>
              <w:pStyle w:val="TableContents"/>
              <w:bidi w:val="0"/>
              <w:spacing w:before="0" w:after="0"/>
              <w:ind w:left="0" w:right="0" w:hanging="0"/>
              <w:jc w:val="left"/>
              <w:rPr/>
            </w:pPr>
            <w:r>
              <w:rPr/>
              <w:t>​</w:t>
            </w:r>
          </w:p>
        </w:tc>
      </w:tr>
      <w:tr>
        <w:trPr/>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Director / 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CITICORP NORTH AMERICA, INC., as a</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Lender</w:t>
      </w:r>
    </w:p>
    <w:tbl>
      <w:tblPr>
        <w:tblW w:w="4849" w:type="dxa"/>
        <w:jc w:val="left"/>
        <w:tblInd w:w="0" w:type="dxa"/>
        <w:tblLayout w:type="fixed"/>
        <w:tblCellMar>
          <w:top w:w="0" w:type="dxa"/>
          <w:left w:w="0" w:type="dxa"/>
          <w:bottom w:w="0" w:type="dxa"/>
          <w:right w:w="0" w:type="dxa"/>
        </w:tblCellMar>
      </w:tblPr>
      <w:tblGrid>
        <w:gridCol w:w="1138"/>
        <w:gridCol w:w="3557"/>
        <w:gridCol w:w="154"/>
      </w:tblGrid>
      <w:tr>
        <w:trPr/>
        <w:tc>
          <w:tcPr>
            <w:tcW w:w="113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5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Sandip Sen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Sandip Sen</w:t>
            </w:r>
          </w:p>
        </w:tc>
        <w:tc>
          <w:tcPr>
            <w:tcW w:w="154" w:type="dxa"/>
            <w:tcBorders/>
            <w:vAlign w:val="center"/>
          </w:tcPr>
          <w:p>
            <w:pPr>
              <w:pStyle w:val="TableContents"/>
              <w:bidi w:val="0"/>
              <w:spacing w:before="0" w:after="0"/>
              <w:ind w:left="0" w:right="0" w:hanging="0"/>
              <w:jc w:val="left"/>
              <w:rPr/>
            </w:pPr>
            <w:r>
              <w:rPr/>
              <w:t>​</w:t>
            </w:r>
          </w:p>
        </w:tc>
      </w:tr>
      <w:tr>
        <w:trPr/>
        <w:tc>
          <w:tcPr>
            <w:tcW w:w="46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Director / 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BARCLAYS BANK PLC, as a Lender</w:t>
      </w:r>
    </w:p>
    <w:tbl>
      <w:tblPr>
        <w:tblW w:w="2751" w:type="dxa"/>
        <w:jc w:val="left"/>
        <w:tblInd w:w="0" w:type="dxa"/>
        <w:tblLayout w:type="fixed"/>
        <w:tblCellMar>
          <w:top w:w="0" w:type="dxa"/>
          <w:left w:w="0" w:type="dxa"/>
          <w:bottom w:w="0" w:type="dxa"/>
          <w:right w:w="0" w:type="dxa"/>
        </w:tblCellMar>
      </w:tblPr>
      <w:tblGrid>
        <w:gridCol w:w="466"/>
        <w:gridCol w:w="213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Sydney G. Dennis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9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Sydney G. Dennis</w:t>
            </w:r>
          </w:p>
        </w:tc>
        <w:tc>
          <w:tcPr>
            <w:tcW w:w="154" w:type="dxa"/>
            <w:tcBorders/>
            <w:vAlign w:val="center"/>
          </w:tcPr>
          <w:p>
            <w:pPr>
              <w:pStyle w:val="TableContents"/>
              <w:bidi w:val="0"/>
              <w:spacing w:before="0" w:after="0"/>
              <w:ind w:left="0" w:right="0" w:hanging="0"/>
              <w:jc w:val="left"/>
              <w:rPr/>
            </w:pPr>
            <w:r>
              <w:rPr/>
              <w:t>​</w:t>
            </w:r>
          </w:p>
        </w:tc>
      </w:tr>
      <w:tr>
        <w:trPr/>
        <w:tc>
          <w:tcPr>
            <w:tcW w:w="259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Morgan Stanley Senior Funding, Inc., as a Lender</w:t>
      </w:r>
    </w:p>
    <w:tbl>
      <w:tblPr>
        <w:tblW w:w="2541" w:type="dxa"/>
        <w:jc w:val="left"/>
        <w:tblInd w:w="0" w:type="dxa"/>
        <w:tblLayout w:type="fixed"/>
        <w:tblCellMar>
          <w:top w:w="0" w:type="dxa"/>
          <w:left w:w="0" w:type="dxa"/>
          <w:bottom w:w="0" w:type="dxa"/>
          <w:right w:w="0" w:type="dxa"/>
        </w:tblCellMar>
      </w:tblPr>
      <w:tblGrid>
        <w:gridCol w:w="466"/>
        <w:gridCol w:w="1921"/>
        <w:gridCol w:w="154"/>
      </w:tblGrid>
      <w:tr>
        <w:trPr/>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95910" cy="175260"/>
                      <wp:effectExtent l="0" t="0" r="0" b="0"/>
                      <wp:wrapNone/>
                      <wp:docPr id="684" name="Frame68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219835" cy="175260"/>
                      <wp:effectExtent l="0" t="0" r="0" b="0"/>
                      <wp:wrapNone/>
                      <wp:docPr id="685" name="Frame68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97790" cy="175260"/>
                      <wp:effectExtent l="0" t="0" r="0" b="0"/>
                      <wp:wrapNone/>
                      <wp:docPr id="686" name="Frame68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Taylor Tripucka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Taylor Tripucka</w:t>
            </w:r>
          </w:p>
        </w:tc>
        <w:tc>
          <w:tcPr>
            <w:tcW w:w="154" w:type="dxa"/>
            <w:tcBorders/>
            <w:vAlign w:val="center"/>
          </w:tcPr>
          <w:p>
            <w:pPr>
              <w:pStyle w:val="TableContents"/>
              <w:bidi w:val="0"/>
              <w:spacing w:before="0" w:after="0"/>
              <w:ind w:left="0" w:right="0" w:hanging="0"/>
              <w:jc w:val="left"/>
              <w:rPr/>
            </w:pPr>
            <w:r>
              <w:rPr/>
              <w:t>​</w:t>
            </w:r>
          </w:p>
        </w:tc>
      </w:tr>
      <w:tr>
        <w:trPr/>
        <w:tc>
          <w:tcPr>
            <w:tcW w:w="23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Vice President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Royal Bank of Canada, as a Lender</w:t>
      </w:r>
    </w:p>
    <w:tbl>
      <w:tblPr>
        <w:tblW w:w="2869" w:type="dxa"/>
        <w:jc w:val="left"/>
        <w:tblInd w:w="0" w:type="dxa"/>
        <w:tblLayout w:type="fixed"/>
        <w:tblCellMar>
          <w:top w:w="0" w:type="dxa"/>
          <w:left w:w="0" w:type="dxa"/>
          <w:bottom w:w="0" w:type="dxa"/>
          <w:right w:w="0" w:type="dxa"/>
        </w:tblCellMar>
      </w:tblPr>
      <w:tblGrid>
        <w:gridCol w:w="610"/>
        <w:gridCol w:w="2105"/>
        <w:gridCol w:w="154"/>
      </w:tblGrid>
      <w:tr>
        <w:trPr/>
        <w:tc>
          <w:tcPr>
            <w:tcW w:w="61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Justin Martin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Justin Martin</w:t>
            </w:r>
          </w:p>
        </w:tc>
        <w:tc>
          <w:tcPr>
            <w:tcW w:w="154"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JP Morgan Chase Bank N.A., as a Lender</w:t>
      </w:r>
    </w:p>
    <w:tbl>
      <w:tblPr>
        <w:tblW w:w="2601" w:type="dxa"/>
        <w:jc w:val="left"/>
        <w:tblInd w:w="0" w:type="dxa"/>
        <w:tblLayout w:type="fixed"/>
        <w:tblCellMar>
          <w:top w:w="0" w:type="dxa"/>
          <w:left w:w="0" w:type="dxa"/>
          <w:bottom w:w="0" w:type="dxa"/>
          <w:right w:w="0" w:type="dxa"/>
        </w:tblCellMar>
      </w:tblPr>
      <w:tblGrid>
        <w:gridCol w:w="466"/>
        <w:gridCol w:w="198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Santiago Gascon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4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Santiago Gascon</w:t>
            </w:r>
          </w:p>
        </w:tc>
        <w:tc>
          <w:tcPr>
            <w:tcW w:w="154" w:type="dxa"/>
            <w:tcBorders/>
            <w:vAlign w:val="center"/>
          </w:tcPr>
          <w:p>
            <w:pPr>
              <w:pStyle w:val="TableContents"/>
              <w:bidi w:val="0"/>
              <w:spacing w:before="0" w:after="0"/>
              <w:ind w:left="0" w:right="0" w:hanging="0"/>
              <w:jc w:val="left"/>
              <w:rPr/>
            </w:pPr>
            <w:r>
              <w:rPr/>
              <w:t>​</w:t>
            </w:r>
          </w:p>
        </w:tc>
      </w:tr>
      <w:tr>
        <w:trPr/>
        <w:tc>
          <w:tcPr>
            <w:tcW w:w="244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Vice President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Wells Fargo Bank, National Association, as a Lender</w:t>
      </w:r>
    </w:p>
    <w:tbl>
      <w:tblPr>
        <w:tblW w:w="2241" w:type="dxa"/>
        <w:jc w:val="left"/>
        <w:tblInd w:w="0" w:type="dxa"/>
        <w:tblLayout w:type="fixed"/>
        <w:tblCellMar>
          <w:top w:w="0" w:type="dxa"/>
          <w:left w:w="0" w:type="dxa"/>
          <w:bottom w:w="0" w:type="dxa"/>
          <w:right w:w="0" w:type="dxa"/>
        </w:tblCellMar>
      </w:tblPr>
      <w:tblGrid>
        <w:gridCol w:w="466"/>
        <w:gridCol w:w="162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Alison Floyd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Alison Floyd</w:t>
            </w:r>
          </w:p>
        </w:tc>
        <w:tc>
          <w:tcPr>
            <w:tcW w:w="154" w:type="dxa"/>
            <w:tcBorders/>
            <w:vAlign w:val="center"/>
          </w:tcPr>
          <w:p>
            <w:pPr>
              <w:pStyle w:val="TableContents"/>
              <w:bidi w:val="0"/>
              <w:spacing w:before="0" w:after="0"/>
              <w:ind w:left="0" w:right="0" w:hanging="0"/>
              <w:jc w:val="left"/>
              <w:rPr/>
            </w:pPr>
            <w:r>
              <w:rPr/>
              <w:t>​</w:t>
            </w:r>
          </w:p>
        </w:tc>
      </w:tr>
      <w:tr>
        <w:trPr/>
        <w:tc>
          <w:tcPr>
            <w:tcW w:w="20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AVP</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BNP PARIBAS, as a Lender</w:t>
      </w:r>
    </w:p>
    <w:tbl>
      <w:tblPr>
        <w:tblW w:w="2706" w:type="dxa"/>
        <w:jc w:val="left"/>
        <w:tblInd w:w="0" w:type="dxa"/>
        <w:tblLayout w:type="fixed"/>
        <w:tblCellMar>
          <w:top w:w="0" w:type="dxa"/>
          <w:left w:w="0" w:type="dxa"/>
          <w:bottom w:w="0" w:type="dxa"/>
          <w:right w:w="0" w:type="dxa"/>
        </w:tblCellMar>
      </w:tblPr>
      <w:tblGrid>
        <w:gridCol w:w="466"/>
        <w:gridCol w:w="2086"/>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bookmarkStart w:id="1898" w:name="_Hlk228432614"/>
            <w:bookmarkEnd w:id="1898"/>
            <w:r>
              <w:rPr>
                <w:rFonts w:ascii="Times New Roman;Times;serif" w:hAnsi="Times New Roman;Times;serif"/>
                <w:sz w:val="24"/>
              </w:rPr>
              <w:t>By:</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Gabrielle Jacquier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Gabrielle Jacquier</w:t>
            </w:r>
          </w:p>
        </w:tc>
        <w:tc>
          <w:tcPr>
            <w:tcW w:w="154" w:type="dxa"/>
            <w:tcBorders/>
            <w:vAlign w:val="center"/>
          </w:tcPr>
          <w:p>
            <w:pPr>
              <w:pStyle w:val="TableContents"/>
              <w:bidi w:val="0"/>
              <w:spacing w:before="0" w:after="0"/>
              <w:ind w:left="0" w:right="0" w:hanging="0"/>
              <w:jc w:val="left"/>
              <w:rPr/>
            </w:pPr>
            <w:r>
              <w:rPr/>
              <w:t>​</w:t>
            </w:r>
          </w:p>
        </w:tc>
      </w:tr>
      <w:tr>
        <w:trPr/>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Vice President</w:t>
            </w:r>
          </w:p>
        </w:tc>
        <w:tc>
          <w:tcPr>
            <w:tcW w:w="154" w:type="dxa"/>
            <w:tcBorders/>
            <w:vAlign w:val="center"/>
          </w:tcPr>
          <w:p>
            <w:pPr>
              <w:pStyle w:val="TableContents"/>
              <w:bidi w:val="0"/>
              <w:spacing w:before="0" w:after="0"/>
              <w:ind w:left="0" w:right="0" w:hanging="0"/>
              <w:jc w:val="left"/>
              <w:rPr/>
            </w:pPr>
            <w:r>
              <w:rPr/>
              <w:t>​</w:t>
            </w:r>
          </w:p>
        </w:tc>
      </w:tr>
      <w:tr>
        <w:trPr/>
        <w:tc>
          <w:tcPr>
            <w:tcW w:w="255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Victor Padilla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Victor Padilla</w:t>
            </w:r>
          </w:p>
        </w:tc>
        <w:tc>
          <w:tcPr>
            <w:tcW w:w="154" w:type="dxa"/>
            <w:tcBorders/>
            <w:vAlign w:val="center"/>
          </w:tcPr>
          <w:p>
            <w:pPr>
              <w:pStyle w:val="TableContents"/>
              <w:bidi w:val="0"/>
              <w:spacing w:before="0" w:after="0"/>
              <w:ind w:left="0" w:right="0" w:hanging="0"/>
              <w:jc w:val="left"/>
              <w:rPr/>
            </w:pPr>
            <w:r>
              <w:rPr/>
              <w:t>​</w:t>
            </w:r>
          </w:p>
        </w:tc>
      </w:tr>
      <w:tr>
        <w:trPr/>
        <w:tc>
          <w:tcPr>
            <w:tcW w:w="255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HSBC Bank USA, National Association, as a Lender</w:t>
      </w:r>
    </w:p>
    <w:tbl>
      <w:tblPr>
        <w:tblW w:w="2421" w:type="dxa"/>
        <w:jc w:val="left"/>
        <w:tblInd w:w="0" w:type="dxa"/>
        <w:tblLayout w:type="fixed"/>
        <w:tblCellMar>
          <w:top w:w="0" w:type="dxa"/>
          <w:left w:w="0" w:type="dxa"/>
          <w:bottom w:w="0" w:type="dxa"/>
          <w:right w:w="0" w:type="dxa"/>
        </w:tblCellMar>
      </w:tblPr>
      <w:tblGrid>
        <w:gridCol w:w="466"/>
        <w:gridCol w:w="1801"/>
        <w:gridCol w:w="154"/>
      </w:tblGrid>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Gillian Hedges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6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Gillian Hedges</w:t>
            </w:r>
          </w:p>
        </w:tc>
        <w:tc>
          <w:tcPr>
            <w:tcW w:w="154" w:type="dxa"/>
            <w:tcBorders/>
            <w:vAlign w:val="center"/>
          </w:tcPr>
          <w:p>
            <w:pPr>
              <w:pStyle w:val="TableContents"/>
              <w:bidi w:val="0"/>
              <w:spacing w:before="0" w:after="0"/>
              <w:ind w:left="0" w:right="0" w:hanging="0"/>
              <w:jc w:val="left"/>
              <w:rPr/>
            </w:pPr>
            <w:r>
              <w:rPr/>
              <w:t>​</w:t>
            </w:r>
          </w:p>
        </w:tc>
      </w:tr>
      <w:tr>
        <w:trPr/>
        <w:tc>
          <w:tcPr>
            <w:tcW w:w="226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Director</w:t>
            </w:r>
          </w:p>
        </w:tc>
        <w:tc>
          <w:tcPr>
            <w:tcW w:w="154" w:type="dxa"/>
            <w:tcBorders/>
            <w:vAlign w:val="center"/>
          </w:tcPr>
          <w:p>
            <w:pPr>
              <w:pStyle w:val="TableContents"/>
              <w:bidi w:val="0"/>
              <w:spacing w:before="0" w:after="0"/>
              <w:ind w:left="0" w:right="0" w:hanging="0"/>
              <w:jc w:val="left"/>
              <w:rPr/>
            </w:pPr>
            <w:r>
              <w:rPr/>
              <w:t>​</w:t>
            </w:r>
          </w:p>
        </w:tc>
      </w:tr>
      <w:tr>
        <w:trPr/>
        <w:tc>
          <w:tcPr>
            <w:tcW w:w="226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MIZUHO BANK, LTD, as a Lender</w:t>
      </w:r>
    </w:p>
    <w:tbl>
      <w:tblPr>
        <w:tblW w:w="2629" w:type="dxa"/>
        <w:jc w:val="left"/>
        <w:tblInd w:w="0" w:type="dxa"/>
        <w:tblLayout w:type="fixed"/>
        <w:tblCellMar>
          <w:top w:w="0" w:type="dxa"/>
          <w:left w:w="0" w:type="dxa"/>
          <w:bottom w:w="0" w:type="dxa"/>
          <w:right w:w="0" w:type="dxa"/>
        </w:tblCellMar>
      </w:tblPr>
      <w:tblGrid>
        <w:gridCol w:w="522"/>
        <w:gridCol w:w="1953"/>
        <w:gridCol w:w="154"/>
      </w:tblGrid>
      <w:tr>
        <w:trPr/>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331470" cy="175260"/>
                      <wp:effectExtent l="0" t="0" r="0" b="0"/>
                      <wp:wrapNone/>
                      <wp:docPr id="687" name="Frame687"/>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240155" cy="175260"/>
                      <wp:effectExtent l="0" t="0" r="0" b="0"/>
                      <wp:wrapNone/>
                      <wp:docPr id="688" name="Frame688"/>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97790" cy="175260"/>
                      <wp:effectExtent l="0" t="0" r="0" b="0"/>
                      <wp:wrapNone/>
                      <wp:docPr id="689" name="Frame68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Edward Sacks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Edward Sacks</w:t>
            </w:r>
          </w:p>
        </w:tc>
        <w:tc>
          <w:tcPr>
            <w:tcW w:w="154" w:type="dxa"/>
            <w:tcBorders/>
            <w:vAlign w:val="center"/>
          </w:tcPr>
          <w:p>
            <w:pPr>
              <w:pStyle w:val="TableContents"/>
              <w:bidi w:val="0"/>
              <w:spacing w:before="0" w:after="0"/>
              <w:ind w:left="0" w:right="0" w:hanging="0"/>
              <w:jc w:val="left"/>
              <w:rPr/>
            </w:pPr>
            <w:r>
              <w:rPr/>
              <w:t>​</w:t>
            </w:r>
          </w:p>
        </w:tc>
      </w:tr>
      <w:tr>
        <w:trPr/>
        <w:tc>
          <w:tcPr>
            <w:tcW w:w="247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Goldman Sachs Lending Partners LLC, as a Lender</w:t>
      </w:r>
    </w:p>
    <w:tbl>
      <w:tblPr>
        <w:tblW w:w="2869" w:type="dxa"/>
        <w:jc w:val="left"/>
        <w:tblInd w:w="0" w:type="dxa"/>
        <w:tblLayout w:type="fixed"/>
        <w:tblCellMar>
          <w:top w:w="0" w:type="dxa"/>
          <w:left w:w="0" w:type="dxa"/>
          <w:bottom w:w="0" w:type="dxa"/>
          <w:right w:w="0" w:type="dxa"/>
        </w:tblCellMar>
      </w:tblPr>
      <w:tblGrid>
        <w:gridCol w:w="540"/>
        <w:gridCol w:w="2175"/>
        <w:gridCol w:w="154"/>
      </w:tblGrid>
      <w:tr>
        <w:trPr/>
        <w:tc>
          <w:tcPr>
            <w:tcW w:w="540"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1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Roopa Chandra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Roopa Chandra</w:t>
            </w:r>
          </w:p>
        </w:tc>
        <w:tc>
          <w:tcPr>
            <w:tcW w:w="154" w:type="dxa"/>
            <w:tcBorders/>
            <w:vAlign w:val="center"/>
          </w:tcPr>
          <w:p>
            <w:pPr>
              <w:pStyle w:val="TableContents"/>
              <w:bidi w:val="0"/>
              <w:spacing w:before="0" w:after="0"/>
              <w:ind w:left="0" w:right="0" w:hanging="0"/>
              <w:jc w:val="left"/>
              <w:rPr/>
            </w:pPr>
            <w:r>
              <w:rPr/>
              <w:t>​</w:t>
            </w:r>
          </w:p>
        </w:tc>
      </w:tr>
      <w:tr>
        <w:trPr/>
        <w:tc>
          <w:tcPr>
            <w:tcW w:w="271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Amendment Number Four to Syndicated Facility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SCHEDULE I</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Post-Closing Perfection Actions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Amended Credit Agreement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[see attached]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bookmarkStart w:id="1899" w:name="_cp_change_103"/>
      <w:bookmarkEnd w:id="1899"/>
      <w:r>
        <w:rPr>
          <w:rFonts w:ascii="Times New Roman;Times;serif" w:hAnsi="Times New Roman;Times;serif"/>
          <w:b/>
          <w:i/>
          <w:color w:val="FF0000"/>
          <w:sz w:val="24"/>
        </w:rPr>
        <w:t>Execution Version</w:t>
      </w:r>
      <w:bookmarkStart w:id="1900" w:name="_cp_change_104"/>
      <w:bookmarkEnd w:id="1900"/>
      <w:r>
        <w:rPr>
          <w:rFonts w:ascii="Times New Roman;Times;serif" w:hAnsi="Times New Roman;Times;serif"/>
          <w:b/>
          <w:i/>
          <w:color w:val="0000FF"/>
          <w:sz w:val="24"/>
          <w:u w:val="single"/>
        </w:rPr>
        <w:t>EXECUTION VERSION</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Exhibit A</w:t>
      </w:r>
    </w:p>
    <w:p>
      <w:pPr>
        <w:pStyle w:val="HorizontalLine"/>
        <w:pBdr>
          <w:bottom w:val="single" w:sz="12" w:space="0" w:color="000000"/>
        </w:pBdr>
        <w:bidi w:val="0"/>
        <w:spacing w:before="0" w:after="0"/>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SYNDICATED FACILITY AGREEMENT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dated as of</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November 22, 2023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4"/>
        </w:rPr>
        <w:t xml:space="preserve">(as amended by that certain Amendment Number One to Syndicated Facility Agreement, dated as of April 8, 2024, as amended by that certain Amendment Number Two to Syndicated Facility Agreement, dated as of May 8, 2024, </w:t>
      </w:r>
      <w:r>
        <w:rPr>
          <w:rFonts w:ascii="Times New Roman;Times;serif" w:hAnsi="Times New Roman;Times;serif"/>
          <w:b/>
          <w:color w:val="FF0000"/>
          <w:sz w:val="24"/>
        </w:rPr>
        <w:t>and</w:t>
      </w:r>
      <w:r>
        <w:rPr>
          <w:rFonts w:ascii="Times New Roman;Times;serif" w:hAnsi="Times New Roman;Times;serif"/>
          <w:color w:val="FF0000"/>
          <w:sz w:val="20"/>
        </w:rPr>
        <w:t xml:space="preserve"> </w:t>
      </w:r>
      <w:r>
        <w:rPr>
          <w:rFonts w:ascii="Times New Roman;Times;serif" w:hAnsi="Times New Roman;Times;serif"/>
          <w:sz w:val="24"/>
        </w:rPr>
        <w:t>as amended by that certain Amendment Number Three to Syndicated Facility Agreement, dated as of August 6, 2024</w:t>
      </w:r>
      <w:r>
        <w:rPr>
          <w:rFonts w:ascii="Times New Roman;Times;serif" w:hAnsi="Times New Roman;Times;serif"/>
          <w:b/>
          <w:color w:val="0000FF"/>
          <w:sz w:val="24"/>
        </w:rPr>
        <w:t>, and as amended by that certain Amendment Number Four to Syndicated Facility Agreement, dated as of March 31, 2026</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among</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FLUENCE ENERGY, LLC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FLUENCE ENERGY GLOBAL PRODUCTION OPERATION, LLC</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each as a Borrower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FLUENCE ENERGY,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as the Parent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THE OTHER GUARANTORS PARTY HERETO</w:t>
      </w:r>
    </w:p>
    <w:p>
      <w:pPr>
        <w:pStyle w:val="TextBody"/>
        <w:bidi w:val="0"/>
        <w:spacing w:before="0" w:after="0"/>
        <w:ind w:left="0" w:right="0" w:hanging="0"/>
        <w:jc w:val="center"/>
        <w:rPr>
          <w:rFonts w:ascii="Times New Roman;Times;serif" w:hAnsi="Times New Roman;Times;serif"/>
          <w:caps/>
          <w:sz w:val="24"/>
        </w:rPr>
      </w:pPr>
      <w:r>
        <w:rPr>
          <w:rFonts w:ascii="Times New Roman;Times;serif" w:hAnsi="Times New Roman;Times;serif"/>
          <w:caps/>
          <w:sz w:val="24"/>
        </w:rPr>
        <w:t>The Lenders Party Hereto</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CITIBANK, N.A.,</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as Administrative Agent</w:t>
      </w:r>
    </w:p>
    <w:p>
      <w:pPr>
        <w:pStyle w:val="HorizontalLine"/>
        <w:pBdr>
          <w:bottom w:val="single" w:sz="12" w:space="0" w:color="000000"/>
        </w:pBdr>
        <w:bidi w:val="0"/>
        <w:spacing w:before="0" w:after="0"/>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CITIGROUP GLOBAL MARKETS INC.,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BARCLAYS BANK PLC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JPMORGAN CHASE BANK N.A.,</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as Joint Lead Arrangers and Joint Bookrunners</w:t>
      </w:r>
    </w:p>
    <w:p>
      <w:pPr>
        <w:pStyle w:val="TextBody"/>
        <w:bidi w:val="0"/>
        <w:spacing w:before="0" w:after="0"/>
        <w:ind w:left="0" w:right="0" w:hanging="0"/>
        <w:jc w:val="center"/>
        <w:rPr/>
      </w:pPr>
      <w:r>
        <w:rPr/>
        <w:t>​</w:t>
      </w:r>
    </w:p>
    <w:p>
      <w:pPr>
        <w:pStyle w:val="HorizontalLine"/>
        <w:pBdr>
          <w:bottom w:val="single" w:sz="12" w:space="0" w:color="000000"/>
        </w:pBdr>
        <w:bidi w:val="0"/>
        <w:spacing w:before="0" w:after="0"/>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TABLE OF CONTENTS</w:t>
      </w:r>
    </w:p>
    <w:tbl>
      <w:tblPr>
        <w:tblW w:w="7833" w:type="dxa"/>
        <w:jc w:val="left"/>
        <w:tblInd w:w="0" w:type="dxa"/>
        <w:tblLayout w:type="fixed"/>
        <w:tblCellMar>
          <w:top w:w="0" w:type="dxa"/>
          <w:left w:w="0" w:type="dxa"/>
          <w:bottom w:w="0" w:type="dxa"/>
          <w:right w:w="0" w:type="dxa"/>
        </w:tblCellMar>
      </w:tblPr>
      <w:tblGrid>
        <w:gridCol w:w="1306"/>
        <w:gridCol w:w="5881"/>
        <w:gridCol w:w="646"/>
      </w:tblGrid>
      <w:tr>
        <w:trPr/>
        <w:tc>
          <w:tcPr>
            <w:tcW w:w="1306" w:type="dxa"/>
            <w:tcBorders/>
            <w:vAlign w:val="center"/>
          </w:tcPr>
          <w:p>
            <w:pPr>
              <w:pStyle w:val="TableContents"/>
              <w:bidi w:val="0"/>
              <w:spacing w:before="0" w:after="0"/>
              <w:ind w:left="0" w:right="0" w:hanging="0"/>
              <w:jc w:val="left"/>
              <w:rPr/>
            </w:pPr>
            <w:r>
              <w:rPr/>
              <w:t>​</w:t>
            </w:r>
          </w:p>
        </w:tc>
        <w:tc>
          <w:tcPr>
            <w:tcW w:w="5881"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1306" w:type="dxa"/>
            <w:tcBorders/>
            <w:vAlign w:val="center"/>
          </w:tcPr>
          <w:p>
            <w:pPr>
              <w:pStyle w:val="TableContents"/>
              <w:bidi w:val="0"/>
              <w:spacing w:before="0" w:after="0"/>
              <w:ind w:left="0" w:right="0" w:hanging="0"/>
              <w:jc w:val="left"/>
              <w:rPr/>
            </w:pPr>
            <w:r>
              <w:rPr/>
              <w:t>​</w:t>
            </w:r>
          </w:p>
        </w:tc>
        <w:tc>
          <w:tcPr>
            <w:tcW w:w="5881" w:type="dxa"/>
            <w:tcBorders/>
            <w:vAlign w:val="center"/>
          </w:tcPr>
          <w:p>
            <w:pPr>
              <w:pStyle w:val="TableContents"/>
              <w:bidi w:val="0"/>
              <w:spacing w:before="0" w:after="0"/>
              <w:ind w:left="0" w:right="0" w:hanging="0"/>
              <w:jc w:val="left"/>
              <w:rPr/>
            </w:pPr>
            <w:r>
              <w:rPr/>
              <w:t>​</w:t>
            </w:r>
          </w:p>
        </w:tc>
        <w:tc>
          <w:tcPr>
            <w:tcW w:w="6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1 DEFINITIONS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7187" w:type="dxa"/>
            <w:gridSpan w:val="2"/>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Defined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Classification of Loans and Borrowings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1.03</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Terms Generally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1.04</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Accounting Terms; GAAP</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1.05</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Rates; Benchmark Notification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1.06</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Divisions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1.07</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Letter of Credit Amounts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1.08</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Exchange Rates; Currency Equivalents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1.09</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Certain Calculations and Tests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1.10</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Borrower Representative</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1.11</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Australian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1.12</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Quebec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1.13</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German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1.14</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Irish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1.15</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UK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1.16</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Swiss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1.17</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Dutch Terms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67</w:t>
            </w:r>
          </w:p>
        </w:tc>
      </w:tr>
      <w:tr>
        <w:trPr/>
        <w:tc>
          <w:tcPr>
            <w:tcW w:w="1306" w:type="dxa"/>
            <w:tcBorders/>
            <w:vAlign w:val="center"/>
          </w:tcPr>
          <w:p>
            <w:pPr>
              <w:pStyle w:val="TableContents"/>
              <w:bidi w:val="0"/>
              <w:spacing w:before="0" w:after="0"/>
              <w:ind w:left="0" w:right="0" w:hanging="0"/>
              <w:jc w:val="left"/>
              <w:rPr/>
            </w:pPr>
            <w:r>
              <w:rPr/>
              <w:t>​</w:t>
            </w:r>
          </w:p>
        </w:tc>
        <w:tc>
          <w:tcPr>
            <w:tcW w:w="58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718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2 THE CREDITS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68</w:t>
            </w:r>
          </w:p>
        </w:tc>
      </w:tr>
      <w:tr>
        <w:trPr/>
        <w:tc>
          <w:tcPr>
            <w:tcW w:w="7187" w:type="dxa"/>
            <w:gridSpan w:val="2"/>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2.01</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Commitments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2.02</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Loans and Borrowings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2.03</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Requests for Borrowings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2.04</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Funding of Borrowings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2.05</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Elections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2.06</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Termination and Reduction of Commitments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2.07</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Repayment of Loans; Evidence of Debt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2.08</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Prepayment of Loans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2.09</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2.10</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2.11</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Alternate Rate of Interest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2.12</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Increased Costs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2.13</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Break Funding Payments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2.14</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2.15</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Payments Generally; Pro Rata Treatment; Sharing of Set-offs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2.16</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Mitigation Obligations; Replacement of Lenders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2.17</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Defaulting Lenders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2.18</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Incremental Facility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2.19</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Letters of Credit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2.20</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Judgment Currency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2.21</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Swap Agreements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2.22</w:t>
            </w:r>
          </w:p>
        </w:tc>
        <w:tc>
          <w:tcPr>
            <w:tcW w:w="588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Swiss Minimum Interest</w:t>
            </w:r>
          </w:p>
        </w:tc>
        <w:tc>
          <w:tcPr>
            <w:tcW w:w="646" w:type="dxa"/>
            <w:tcBorders/>
            <w:vAlign w:val="center"/>
          </w:tcPr>
          <w:p>
            <w:pPr>
              <w:pStyle w:val="TableContents"/>
              <w:bidi w:val="0"/>
              <w:spacing w:before="0" w:after="0"/>
              <w:ind w:left="0" w:right="29" w:hanging="0"/>
              <w:jc w:val="right"/>
              <w:rPr>
                <w:rFonts w:ascii="Times New Roman;Times;serif" w:hAnsi="Times New Roman;Times;serif"/>
                <w:sz w:val="24"/>
              </w:rPr>
            </w:pPr>
            <w:r>
              <w:rPr>
                <w:rFonts w:ascii="Times New Roman;Times;serif" w:hAnsi="Times New Roman;Times;serif"/>
                <w:sz w:val="24"/>
              </w:rPr>
              <w:t>101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762" w:type="dxa"/>
        <w:jc w:val="left"/>
        <w:tblInd w:w="0" w:type="dxa"/>
        <w:tblLayout w:type="fixed"/>
        <w:tblCellMar>
          <w:top w:w="0" w:type="dxa"/>
          <w:left w:w="0" w:type="dxa"/>
          <w:bottom w:w="0" w:type="dxa"/>
          <w:right w:w="0" w:type="dxa"/>
        </w:tblCellMar>
      </w:tblPr>
      <w:tblGrid>
        <w:gridCol w:w="1306"/>
        <w:gridCol w:w="6916"/>
        <w:gridCol w:w="540"/>
      </w:tblGrid>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2.23</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Joint and Several Liability of Borrowers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102</w:t>
            </w:r>
          </w:p>
        </w:tc>
      </w:tr>
      <w:tr>
        <w:trPr/>
        <w:tc>
          <w:tcPr>
            <w:tcW w:w="1306"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222" w:type="dxa"/>
            <w:gridSpan w:val="2"/>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Article 3 REPRESENTATIONS AND WARRANTIES</w:t>
            </w:r>
          </w:p>
        </w:tc>
        <w:tc>
          <w:tcPr>
            <w:tcW w:w="540" w:type="dxa"/>
            <w:tcBorders/>
            <w:vAlign w:val="center"/>
          </w:tcPr>
          <w:p>
            <w:pPr>
              <w:pStyle w:val="TableContents"/>
              <w:bidi w:val="0"/>
              <w:spacing w:before="0" w:after="0"/>
              <w:ind w:left="0" w:right="0" w:hanging="0"/>
              <w:jc w:val="right"/>
              <w:rPr>
                <w:rFonts w:ascii="Times New Roman;Times;serif" w:hAnsi="Times New Roman;Times;serif"/>
                <w:caps/>
                <w:sz w:val="24"/>
              </w:rPr>
            </w:pPr>
            <w:r>
              <w:rPr>
                <w:rFonts w:ascii="Times New Roman;Times;serif" w:hAnsi="Times New Roman;Times;serif"/>
                <w:caps/>
                <w:sz w:val="24"/>
              </w:rPr>
              <w:t>105</w:t>
            </w:r>
          </w:p>
        </w:tc>
      </w:tr>
      <w:tr>
        <w:trPr/>
        <w:tc>
          <w:tcPr>
            <w:tcW w:w="8222" w:type="dxa"/>
            <w:gridSpan w:val="2"/>
            <w:tcBorders/>
            <w:vAlign w:val="center"/>
          </w:tcPr>
          <w:p>
            <w:pPr>
              <w:pStyle w:val="TableContents"/>
              <w:bidi w:val="0"/>
              <w:spacing w:before="0" w:after="0"/>
              <w:ind w:left="0" w:right="0" w:hanging="0"/>
              <w:jc w:val="left"/>
              <w:rPr>
                <w:caps/>
              </w:rPr>
            </w:pPr>
            <w:r>
              <w:rPr>
                <w:caps/>
              </w:rPr>
              <w:t>​</w:t>
            </w:r>
          </w:p>
        </w:tc>
        <w:tc>
          <w:tcPr>
            <w:tcW w:w="540" w:type="dxa"/>
            <w:tcBorders/>
            <w:vAlign w:val="center"/>
          </w:tcPr>
          <w:p>
            <w:pPr>
              <w:pStyle w:val="TableContents"/>
              <w:bidi w:val="0"/>
              <w:spacing w:before="0" w:after="0"/>
              <w:ind w:left="0" w:right="0" w:hanging="0"/>
              <w:jc w:val="right"/>
              <w:rPr>
                <w:caps/>
              </w:rPr>
            </w:pPr>
            <w:r>
              <w:rPr>
                <w:caps/>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3.01</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Organization; Powers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Authorization; Enforceability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3.03</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Governmental Approvals; No Conflicts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3.04</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Condition; No Material Adverse Change</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3.05</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Properties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3.06</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Litigation and Environmental Matters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3.07</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with Laws and Agreements; No Default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3.08</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Investment Company Status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3.09</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Margin Stock</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3.10</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Taxes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3.11</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ERISA; Canadian Pension Plans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Disclosure</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3.13</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Subsidiaries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3.14</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Solvency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3.15</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Anti-Terrorism Law</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3.16</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Anti-Corruption Laws and Sanctions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3.17</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Security Documents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3.18</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Australian Representations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3.19</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Irish Security Documents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113</w:t>
            </w:r>
          </w:p>
        </w:tc>
      </w:tr>
      <w:tr>
        <w:trPr/>
        <w:tc>
          <w:tcPr>
            <w:tcW w:w="1306"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222" w:type="dxa"/>
            <w:gridSpan w:val="2"/>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Article 4 CONDITIONS</w:t>
            </w:r>
          </w:p>
        </w:tc>
        <w:tc>
          <w:tcPr>
            <w:tcW w:w="540" w:type="dxa"/>
            <w:tcBorders/>
            <w:vAlign w:val="center"/>
          </w:tcPr>
          <w:p>
            <w:pPr>
              <w:pStyle w:val="TableContents"/>
              <w:bidi w:val="0"/>
              <w:spacing w:before="0" w:after="0"/>
              <w:ind w:left="0" w:right="0" w:hanging="0"/>
              <w:jc w:val="right"/>
              <w:rPr>
                <w:rFonts w:ascii="Times New Roman;Times;serif" w:hAnsi="Times New Roman;Times;serif"/>
                <w:caps/>
                <w:sz w:val="24"/>
              </w:rPr>
            </w:pPr>
            <w:r>
              <w:rPr>
                <w:rFonts w:ascii="Times New Roman;Times;serif" w:hAnsi="Times New Roman;Times;serif"/>
                <w:caps/>
                <w:sz w:val="24"/>
              </w:rPr>
              <w:t>114</w:t>
            </w:r>
          </w:p>
        </w:tc>
      </w:tr>
      <w:tr>
        <w:trPr/>
        <w:tc>
          <w:tcPr>
            <w:tcW w:w="8222" w:type="dxa"/>
            <w:gridSpan w:val="2"/>
            <w:tcBorders/>
            <w:vAlign w:val="center"/>
          </w:tcPr>
          <w:p>
            <w:pPr>
              <w:pStyle w:val="TableContents"/>
              <w:bidi w:val="0"/>
              <w:spacing w:before="0" w:after="0"/>
              <w:ind w:left="0" w:right="0" w:hanging="0"/>
              <w:jc w:val="left"/>
              <w:rPr>
                <w:caps/>
              </w:rPr>
            </w:pPr>
            <w:r>
              <w:rPr>
                <w:caps/>
              </w:rPr>
              <w:t>​</w:t>
            </w:r>
          </w:p>
        </w:tc>
        <w:tc>
          <w:tcPr>
            <w:tcW w:w="540" w:type="dxa"/>
            <w:tcBorders/>
            <w:vAlign w:val="center"/>
          </w:tcPr>
          <w:p>
            <w:pPr>
              <w:pStyle w:val="TableContents"/>
              <w:bidi w:val="0"/>
              <w:spacing w:before="0" w:after="0"/>
              <w:ind w:left="0" w:right="0" w:hanging="0"/>
              <w:jc w:val="right"/>
              <w:rPr>
                <w:caps/>
              </w:rPr>
            </w:pPr>
            <w:r>
              <w:rPr>
                <w:caps/>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4.01</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4.02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Each Credit Event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114</w:t>
            </w:r>
          </w:p>
        </w:tc>
      </w:tr>
      <w:tr>
        <w:trPr/>
        <w:tc>
          <w:tcPr>
            <w:tcW w:w="1306"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222" w:type="dxa"/>
            <w:gridSpan w:val="2"/>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Article 5 AFFIRMATIVE COVENANTS</w:t>
            </w:r>
          </w:p>
        </w:tc>
        <w:tc>
          <w:tcPr>
            <w:tcW w:w="540" w:type="dxa"/>
            <w:tcBorders/>
            <w:vAlign w:val="center"/>
          </w:tcPr>
          <w:p>
            <w:pPr>
              <w:pStyle w:val="TableContents"/>
              <w:bidi w:val="0"/>
              <w:spacing w:before="0" w:after="0"/>
              <w:ind w:left="0" w:right="0" w:hanging="0"/>
              <w:jc w:val="right"/>
              <w:rPr>
                <w:rFonts w:ascii="Times New Roman;Times;serif" w:hAnsi="Times New Roman;Times;serif"/>
                <w:caps/>
                <w:sz w:val="24"/>
              </w:rPr>
            </w:pPr>
            <w:r>
              <w:rPr>
                <w:rFonts w:ascii="Times New Roman;Times;serif" w:hAnsi="Times New Roman;Times;serif"/>
                <w:caps/>
                <w:sz w:val="24"/>
              </w:rPr>
              <w:t>114</w:t>
            </w:r>
          </w:p>
        </w:tc>
      </w:tr>
      <w:tr>
        <w:trPr/>
        <w:tc>
          <w:tcPr>
            <w:tcW w:w="8222" w:type="dxa"/>
            <w:gridSpan w:val="2"/>
            <w:tcBorders/>
            <w:vAlign w:val="center"/>
          </w:tcPr>
          <w:p>
            <w:pPr>
              <w:pStyle w:val="TableContents"/>
              <w:bidi w:val="0"/>
              <w:spacing w:before="0" w:after="0"/>
              <w:ind w:left="0" w:right="0" w:hanging="0"/>
              <w:jc w:val="left"/>
              <w:rPr>
                <w:caps/>
              </w:rPr>
            </w:pPr>
            <w:r>
              <w:rPr>
                <w:caps/>
              </w:rPr>
              <w:t>​</w:t>
            </w:r>
          </w:p>
        </w:tc>
        <w:tc>
          <w:tcPr>
            <w:tcW w:w="540" w:type="dxa"/>
            <w:tcBorders/>
            <w:vAlign w:val="center"/>
          </w:tcPr>
          <w:p>
            <w:pPr>
              <w:pStyle w:val="TableContents"/>
              <w:bidi w:val="0"/>
              <w:spacing w:before="0" w:after="0"/>
              <w:ind w:left="0" w:right="0" w:hanging="0"/>
              <w:jc w:val="right"/>
              <w:rPr>
                <w:caps/>
              </w:rPr>
            </w:pPr>
            <w:r>
              <w:rPr>
                <w:caps/>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5.01</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Statements; Ratings Change and Other Information</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Notices of Material Events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5.03</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Existence; Conduct of Business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5.04</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Payment of Taxes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5.05</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of Properties; Protection of Intellectual Property; Insurance</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5.06</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Maintenance of Material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5.07</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Books and Records; Inspection Rights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5.08</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ERISA Events; Canadian Pension Events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5.09</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Compliance with Laws and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5.10</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Use of Proceeds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5.11</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Additional Loan Parties; Additional Collateral</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5.12</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Cash Management; Control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5.13</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Further Assurances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5.14</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Accuracy of Information</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5.15</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5.16</w:t>
            </w:r>
          </w:p>
        </w:tc>
        <w:tc>
          <w:tcPr>
            <w:tcW w:w="691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Post-Closing Covenants</w:t>
            </w:r>
          </w:p>
        </w:tc>
        <w:tc>
          <w:tcPr>
            <w:tcW w:w="540" w:type="dxa"/>
            <w:tcBorders/>
            <w:vAlign w:val="center"/>
          </w:tcPr>
          <w:p>
            <w:pPr>
              <w:pStyle w:val="TableContents"/>
              <w:bidi w:val="0"/>
              <w:spacing w:before="0" w:after="0"/>
              <w:ind w:left="0" w:right="29" w:hanging="0"/>
              <w:jc w:val="right"/>
              <w:rPr>
                <w:rFonts w:ascii="Times New Roman;Times;serif" w:hAnsi="Times New Roman;Times;serif"/>
                <w:sz w:val="24"/>
              </w:rPr>
            </w:pPr>
            <w:r>
              <w:rPr>
                <w:rFonts w:ascii="Times New Roman;Times;serif" w:hAnsi="Times New Roman;Times;serif"/>
                <w:sz w:val="24"/>
              </w:rPr>
              <w:t>127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212" w:type="dxa"/>
        <w:jc w:val="left"/>
        <w:tblInd w:w="0" w:type="dxa"/>
        <w:tblLayout w:type="fixed"/>
        <w:tblCellMar>
          <w:top w:w="0" w:type="dxa"/>
          <w:left w:w="0" w:type="dxa"/>
          <w:bottom w:w="0" w:type="dxa"/>
          <w:right w:w="0" w:type="dxa"/>
        </w:tblCellMar>
      </w:tblPr>
      <w:tblGrid>
        <w:gridCol w:w="1306"/>
        <w:gridCol w:w="7366"/>
        <w:gridCol w:w="540"/>
      </w:tblGrid>
      <w:tr>
        <w:trPr/>
        <w:tc>
          <w:tcPr>
            <w:tcW w:w="8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6 NEGATIVE COVENANTS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128</w:t>
            </w:r>
          </w:p>
        </w:tc>
      </w:tr>
      <w:tr>
        <w:trPr/>
        <w:tc>
          <w:tcPr>
            <w:tcW w:w="8672" w:type="dxa"/>
            <w:gridSpan w:val="2"/>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Indebtedness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Liens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Fundamental Changes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6.04</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Investments, Loans, Advances, Guarantees and Acquisitions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6.05</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Restricted Payments and Restricted Debt Payments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6.06</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Restrictive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6.07</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Transactions with Affiliates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6.08</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Use of Proceeds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6.09</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Disposition of Property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6.10</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Financial Covenants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Swap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Permitted Activities of Parent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Canadian Defined Benefit Plans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6.14</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Material Intellectual Property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6.15</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Flowback to Switzerland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149</w:t>
            </w:r>
          </w:p>
        </w:tc>
      </w:tr>
      <w:tr>
        <w:trPr/>
        <w:tc>
          <w:tcPr>
            <w:tcW w:w="130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7 EVENTS OF DEFAULT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149</w:t>
            </w:r>
          </w:p>
        </w:tc>
      </w:tr>
      <w:tr>
        <w:trPr/>
        <w:tc>
          <w:tcPr>
            <w:tcW w:w="8672" w:type="dxa"/>
            <w:gridSpan w:val="2"/>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7.01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Events of Default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7.02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 to Cure</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7.03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Application of Proceeds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154</w:t>
            </w:r>
          </w:p>
        </w:tc>
      </w:tr>
      <w:tr>
        <w:trPr/>
        <w:tc>
          <w:tcPr>
            <w:tcW w:w="130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8 THE AGENTS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155</w:t>
            </w:r>
          </w:p>
        </w:tc>
      </w:tr>
      <w:tr>
        <w:trPr/>
        <w:tc>
          <w:tcPr>
            <w:tcW w:w="8672" w:type="dxa"/>
            <w:gridSpan w:val="2"/>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Appointment of Administrative Agent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Powers and Duties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Immunity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8.04</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Administrative Agent Entitled to Act as Lender</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8.05</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Lenders’ Representations, Warranties and Acknowledgment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8.06</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 to Indemnity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8.07</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Successor Administrative Agent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8.08</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Guaranty and Security Documents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8.09</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Withholding Taxes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8.10</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Administrative Agent May File Bankruptcy Disclosure and Proofs of Claim</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Acknowledgment of Lenders and Issuing Banks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Authorization of the Administrative Agent under German Law</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Appointment of Australian Security Trustee; Australian Security Trust Deed.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8.14</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Rights and remedies of Australian Security Trustee.</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8.15</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Administrative Agent regarding Swiss Security Documents.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168</w:t>
            </w:r>
          </w:p>
        </w:tc>
      </w:tr>
      <w:tr>
        <w:trPr/>
        <w:tc>
          <w:tcPr>
            <w:tcW w:w="130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67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9 GUARANTY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170</w:t>
            </w:r>
          </w:p>
        </w:tc>
      </w:tr>
      <w:tr>
        <w:trPr/>
        <w:tc>
          <w:tcPr>
            <w:tcW w:w="8672" w:type="dxa"/>
            <w:gridSpan w:val="2"/>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9.01</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9.02</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Additional Agreements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9.03</w:t>
            </w:r>
          </w:p>
        </w:tc>
        <w:tc>
          <w:tcPr>
            <w:tcW w:w="7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Information</w:t>
            </w:r>
          </w:p>
        </w:tc>
        <w:tc>
          <w:tcPr>
            <w:tcW w:w="540" w:type="dxa"/>
            <w:tcBorders/>
            <w:vAlign w:val="center"/>
          </w:tcPr>
          <w:p>
            <w:pPr>
              <w:pStyle w:val="TableContents"/>
              <w:bidi w:val="0"/>
              <w:spacing w:before="0" w:after="0"/>
              <w:ind w:left="0" w:right="29" w:hanging="0"/>
              <w:jc w:val="right"/>
              <w:rPr>
                <w:rFonts w:ascii="Times New Roman;Times;serif" w:hAnsi="Times New Roman;Times;serif"/>
                <w:sz w:val="24"/>
              </w:rPr>
            </w:pPr>
            <w:r>
              <w:rPr>
                <w:rFonts w:ascii="Times New Roman;Times;serif" w:hAnsi="Times New Roman;Times;serif"/>
                <w:sz w:val="24"/>
              </w:rPr>
              <w:t>173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242" w:type="dxa"/>
        <w:jc w:val="left"/>
        <w:tblInd w:w="0" w:type="dxa"/>
        <w:tblLayout w:type="fixed"/>
        <w:tblCellMar>
          <w:top w:w="0" w:type="dxa"/>
          <w:left w:w="0" w:type="dxa"/>
          <w:bottom w:w="0" w:type="dxa"/>
          <w:right w:w="0" w:type="dxa"/>
        </w:tblCellMar>
      </w:tblPr>
      <w:tblGrid>
        <w:gridCol w:w="1426"/>
        <w:gridCol w:w="7276"/>
        <w:gridCol w:w="540"/>
      </w:tblGrid>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9.04</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Guarantor Notices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9.05</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Termination</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9.06</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9.07</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Additional Guarantors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9.08</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Article 9 Severability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9.09</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Guaranty Limitation of the German Guarantors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174</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9.10</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Philippines Entities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177</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9.11</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Australian Ipso Facto provisions.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177</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9.12</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Limitations for Swiss Loan Parties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178</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9.13</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Irish Law Guarantee Limitations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180</w:t>
            </w:r>
          </w:p>
        </w:tc>
      </w:tr>
      <w:tr>
        <w:trPr/>
        <w:tc>
          <w:tcPr>
            <w:tcW w:w="1426" w:type="dxa"/>
            <w:tcBorders/>
            <w:vAlign w:val="center"/>
          </w:tcPr>
          <w:p>
            <w:pPr>
              <w:pStyle w:val="TableContents"/>
              <w:bidi w:val="0"/>
              <w:spacing w:before="0" w:after="0"/>
              <w:ind w:left="0" w:right="0" w:hanging="0"/>
              <w:jc w:val="left"/>
              <w:rPr/>
            </w:pPr>
            <w:r>
              <w:rPr/>
              <w:t>​</w:t>
            </w:r>
          </w:p>
        </w:tc>
        <w:tc>
          <w:tcPr>
            <w:tcW w:w="727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pPr>
            <w:r>
              <w:rPr/>
              <w:t>​</w:t>
            </w:r>
          </w:p>
        </w:tc>
      </w:tr>
      <w:tr>
        <w:trPr/>
        <w:tc>
          <w:tcPr>
            <w:tcW w:w="8702" w:type="dxa"/>
            <w:gridSpan w:val="2"/>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Article 10 MISCELLANEOUS</w:t>
            </w:r>
          </w:p>
        </w:tc>
        <w:tc>
          <w:tcPr>
            <w:tcW w:w="540" w:type="dxa"/>
            <w:tcBorders/>
            <w:vAlign w:val="center"/>
          </w:tcPr>
          <w:p>
            <w:pPr>
              <w:pStyle w:val="TableContents"/>
              <w:bidi w:val="0"/>
              <w:spacing w:before="0" w:after="0"/>
              <w:ind w:left="0" w:right="0" w:hanging="0"/>
              <w:jc w:val="right"/>
              <w:rPr>
                <w:rFonts w:ascii="Times New Roman;Times;serif" w:hAnsi="Times New Roman;Times;serif"/>
                <w:caps/>
                <w:sz w:val="24"/>
              </w:rPr>
            </w:pPr>
            <w:r>
              <w:rPr>
                <w:rFonts w:ascii="Times New Roman;Times;serif" w:hAnsi="Times New Roman;Times;serif"/>
                <w:caps/>
                <w:sz w:val="24"/>
              </w:rPr>
              <w:t>180</w:t>
            </w:r>
          </w:p>
        </w:tc>
      </w:tr>
      <w:tr>
        <w:trPr/>
        <w:tc>
          <w:tcPr>
            <w:tcW w:w="8702" w:type="dxa"/>
            <w:gridSpan w:val="2"/>
            <w:tcBorders/>
            <w:vAlign w:val="center"/>
          </w:tcPr>
          <w:p>
            <w:pPr>
              <w:pStyle w:val="TableContents"/>
              <w:bidi w:val="0"/>
              <w:spacing w:before="0" w:after="0"/>
              <w:ind w:left="0" w:right="0" w:hanging="0"/>
              <w:jc w:val="left"/>
              <w:rPr>
                <w:caps/>
              </w:rPr>
            </w:pPr>
            <w:r>
              <w:rPr>
                <w:caps/>
              </w:rPr>
              <w:t>​</w:t>
            </w:r>
          </w:p>
        </w:tc>
        <w:tc>
          <w:tcPr>
            <w:tcW w:w="540" w:type="dxa"/>
            <w:tcBorders/>
            <w:vAlign w:val="center"/>
          </w:tcPr>
          <w:p>
            <w:pPr>
              <w:pStyle w:val="TableContents"/>
              <w:bidi w:val="0"/>
              <w:spacing w:before="0" w:after="0"/>
              <w:ind w:left="0" w:right="0" w:hanging="0"/>
              <w:jc w:val="right"/>
              <w:rPr>
                <w:caps/>
              </w:rPr>
            </w:pPr>
            <w:r>
              <w:rPr>
                <w:caps/>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10.01</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Notices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10.02</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Waivers; Amendments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182</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10.03</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Expenses; Indemnity; Damage Waiver</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184</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10.04</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Successors and Assigns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186</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10.05</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Survival</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10.06</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Counterparts; Integration; Effectiveness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191</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10.07</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Severability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192</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10.08</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 of Setoff</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192</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10.09</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Governing Law; Jurisdiction; Consent to Service of Process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10.10</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Waiver Of Jury Trial</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10.11</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Headings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194</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10.12</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Confidentiality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194</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10.13</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Rate Limitation</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195</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10.14</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 Advisory or Fiduciary Responsibility</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196</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10.15</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Electronic Execution of Assignments and Certain Other Documents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196</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10.16</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USA Patriot Act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197</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10.17</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Releases of Guarantors and Liens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197</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10.18</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Acknowledgement Regarding Any Supported QFCs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198</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10.19</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Acknowledgement and Consent to Bail-In of Affected Financial Institutions</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199</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10.20</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Parallel Debt (Covenant to pay the Administrative Agent)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199</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10.21</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[Reserved]</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10.22</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Restricted Lender</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10.23</w:t>
            </w:r>
          </w:p>
        </w:tc>
        <w:tc>
          <w:tcPr>
            <w:tcW w:w="72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Canadian Anti-Money Laundering Legislation</w:t>
            </w:r>
          </w:p>
        </w:tc>
        <w:tc>
          <w:tcPr>
            <w:tcW w:w="540" w:type="dxa"/>
            <w:tcBorders/>
            <w:vAlign w:val="center"/>
          </w:tcPr>
          <w:p>
            <w:pPr>
              <w:pStyle w:val="TableContents"/>
              <w:bidi w:val="0"/>
              <w:spacing w:before="0" w:after="0"/>
              <w:ind w:left="0" w:right="29" w:hanging="0"/>
              <w:jc w:val="right"/>
              <w:rPr>
                <w:rFonts w:ascii="Times New Roman;Times;serif" w:hAnsi="Times New Roman;Times;serif"/>
                <w:sz w:val="24"/>
              </w:rPr>
            </w:pPr>
            <w:r>
              <w:rPr>
                <w:rFonts w:ascii="Times New Roman;Times;serif" w:hAnsi="Times New Roman;Times;serif"/>
                <w:sz w:val="24"/>
              </w:rPr>
              <w:t>201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32"/>
        <w:gridCol w:w="8073"/>
      </w:tblGrid>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1.01</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Permitted Third Party Banks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2.01</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Commitments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2.19</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Existing Letters of Credit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3.06</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Litigation or Environmental Matters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3.13</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Subsidiaries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5.06</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Material Agreements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5.16</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Post-Closing Covenants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6.01</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Indebtedness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6.02</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Permitted Liens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6.04(b)(ii)</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Existing Investments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6.06</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Permitted Restrictive Agreements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6.07</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Transactions with Affiliates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6.14</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Material Intellectual Property</w:t>
            </w:r>
          </w:p>
        </w:tc>
      </w:tr>
      <w:tr>
        <w:trPr/>
        <w:tc>
          <w:tcPr>
            <w:tcW w:w="2132" w:type="dxa"/>
            <w:tcBorders/>
            <w:vAlign w:val="center"/>
          </w:tcPr>
          <w:p>
            <w:pPr>
              <w:pStyle w:val="TableContents"/>
              <w:bidi w:val="0"/>
              <w:spacing w:before="0" w:after="0"/>
              <w:ind w:left="0" w:right="0" w:hanging="0"/>
              <w:jc w:val="left"/>
              <w:rPr/>
            </w:pPr>
            <w:r>
              <w:rPr/>
              <w:t>​</w:t>
            </w:r>
          </w:p>
        </w:tc>
        <w:tc>
          <w:tcPr>
            <w:tcW w:w="8073" w:type="dxa"/>
            <w:tcBorders/>
            <w:vAlign w:val="center"/>
          </w:tcPr>
          <w:p>
            <w:pPr>
              <w:pStyle w:val="TableContents"/>
              <w:bidi w:val="0"/>
              <w:spacing w:before="0" w:after="0"/>
              <w:ind w:left="0" w:right="0" w:hanging="0"/>
              <w:jc w:val="left"/>
              <w:rPr/>
            </w:pPr>
            <w:r>
              <w:rPr/>
              <w: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A</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Assignment and Assumption</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B-1</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Borrowing Request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B-2</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Letter of Credit Request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C</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Interest Election Request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D</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Revolving Note</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E</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Guaranty Supplement</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F</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Compliance Certificate</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G</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Agreed Security Principles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H-1</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 Tax Certificate (For Non-U.S. Lenders that are not Partnerships for U.S. Federal Income Tax Purposes)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H-2</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 Tax Certificate (For Non-U.S. Lenders that are Partnerships for U.S. Federal Income Tax Purposes)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H-3</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 Tax Certificate (For Non-U.S. Participants that are not Partnerships for U.S. Federal Income Tax Purposes)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H-4</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U.S. Tax Certificate (For Non-U.S. Participants that are Partnerships for U.S. Federal Income Tax Purposes)</w:t>
            </w:r>
          </w:p>
        </w:tc>
      </w:tr>
      <w:tr>
        <w:trPr/>
        <w:tc>
          <w:tcPr>
            <w:tcW w:w="2132"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EXHIBIT I</w:t>
            </w:r>
          </w:p>
        </w:tc>
        <w:tc>
          <w:tcPr>
            <w:tcW w:w="8073"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Form of Perfection Certificate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SYNDICATED FACILITY AGREEMENT, dated as of November 22, 2023, among FLUENCE ENERGY, LLC, a Delaware limited liability company (the “</w:t>
      </w:r>
      <w:r>
        <w:rPr>
          <w:rFonts w:ascii="Times New Roman;Times;serif" w:hAnsi="Times New Roman;Times;serif"/>
          <w:b/>
          <w:sz w:val="24"/>
        </w:rPr>
        <w:t>Parent Borrower</w:t>
      </w:r>
      <w:r>
        <w:rPr>
          <w:rFonts w:ascii="Times New Roman;Times;serif" w:hAnsi="Times New Roman;Times;serif"/>
          <w:sz w:val="20"/>
        </w:rPr>
        <w:t>”</w:t>
      </w:r>
      <w:r>
        <w:rPr>
          <w:rFonts w:ascii="Times New Roman;Times;serif" w:hAnsi="Times New Roman;Times;serif"/>
          <w:sz w:val="24"/>
        </w:rPr>
        <w:t>), FLUENCE ENERGY GLOBAL PRODUCTION OPERATION, LLC, a Delaware limited liability company (together with the Parent Borrower, collectively, jointly and severally, the “</w:t>
      </w:r>
      <w:r>
        <w:rPr>
          <w:rFonts w:ascii="Times New Roman;Times;serif" w:hAnsi="Times New Roman;Times;serif"/>
          <w:b/>
          <w:sz w:val="24"/>
        </w:rPr>
        <w:t>Borrowers</w:t>
      </w:r>
      <w:r>
        <w:rPr>
          <w:rFonts w:ascii="Times New Roman;Times;serif" w:hAnsi="Times New Roman;Times;serif"/>
          <w:sz w:val="20"/>
        </w:rPr>
        <w:t>”</w:t>
      </w:r>
      <w:r>
        <w:rPr>
          <w:rFonts w:ascii="Times New Roman;Times;serif" w:hAnsi="Times New Roman;Times;serif"/>
          <w:sz w:val="24"/>
        </w:rPr>
        <w:t>), FLUENCE ENERGY, INC., a Delaware corporation (the “</w:t>
      </w:r>
      <w:r>
        <w:rPr>
          <w:rFonts w:ascii="Times New Roman;Times;serif" w:hAnsi="Times New Roman;Times;serif"/>
          <w:b/>
          <w:sz w:val="24"/>
        </w:rPr>
        <w:t>Parent</w:t>
      </w:r>
      <w:r>
        <w:rPr>
          <w:rFonts w:ascii="Times New Roman;Times;serif" w:hAnsi="Times New Roman;Times;serif"/>
          <w:sz w:val="20"/>
        </w:rPr>
        <w:t>”</w:t>
      </w:r>
      <w:r>
        <w:rPr>
          <w:rFonts w:ascii="Times New Roman;Times;serif" w:hAnsi="Times New Roman;Times;serif"/>
          <w:sz w:val="24"/>
        </w:rPr>
        <w:t>), the other GUARANTORS from time to time party hereto, the LENDERS party hereto and CITIBANK, N.A., as Administrative Agent and as Australian Security Trustee.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parties hereto agree as follows:</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1</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w:t>
      </w:r>
      <w:r>
        <w:rPr>
          <w:rFonts w:ascii="Times New Roman;Times;serif" w:hAnsi="Times New Roman;Times;serif"/>
          <w:sz w:val="24"/>
          <w:u w:val="single"/>
        </w:rPr>
        <w:t>Defined Terms</w:t>
      </w:r>
      <w:r>
        <w:rPr>
          <w:rFonts w:ascii="Times New Roman;Times;serif" w:hAnsi="Times New Roman;Times;serif"/>
          <w:sz w:val="24"/>
        </w:rPr>
        <w:t>. As used in this Agreement, the following terms have the meanings specified below:</w:t>
      </w:r>
    </w:p>
    <w:p>
      <w:pPr>
        <w:pStyle w:val="TextBody"/>
        <w:bidi w:val="0"/>
        <w:spacing w:before="0" w:after="240"/>
        <w:ind w:left="0" w:right="0" w:firstLine="720"/>
        <w:jc w:val="both"/>
        <w:rPr/>
      </w:pPr>
      <w:r>
        <w:rPr/>
        <w:t>“</w:t>
      </w:r>
      <w:r>
        <w:rPr>
          <w:rFonts w:ascii="Times New Roman;Times;serif" w:hAnsi="Times New Roman;Times;serif"/>
          <w:b/>
          <w:sz w:val="24"/>
        </w:rPr>
        <w:t>ABR</w:t>
      </w:r>
      <w:r>
        <w:rPr>
          <w:rFonts w:ascii="Times New Roman;Times;serif" w:hAnsi="Times New Roman;Times;serif"/>
          <w:sz w:val="20"/>
        </w:rPr>
        <w:t>”</w:t>
      </w:r>
      <w:r>
        <w:rPr>
          <w:rFonts w:ascii="Times New Roman;Times;serif" w:hAnsi="Times New Roman;Times;serif"/>
          <w:sz w:val="24"/>
        </w:rPr>
        <w:t>, when used in reference to any Loan or Borrowing, refers to whether such Loan, or the Loans comprising such Borrowing, are bearing interest at a rate determined by reference to the Alternate Base Rate. All ABR Loans shall be denominated in Dollars.</w:t>
      </w:r>
    </w:p>
    <w:p>
      <w:pPr>
        <w:pStyle w:val="TextBody"/>
        <w:bidi w:val="0"/>
        <w:spacing w:before="0" w:after="240"/>
        <w:ind w:left="0" w:right="0" w:firstLine="720"/>
        <w:jc w:val="both"/>
        <w:rPr/>
      </w:pPr>
      <w:r>
        <w:rPr/>
        <w:t>“</w:t>
      </w:r>
      <w:r>
        <w:rPr>
          <w:rFonts w:ascii="Times New Roman;Times;serif" w:hAnsi="Times New Roman;Times;serif"/>
          <w:b/>
          <w:sz w:val="24"/>
        </w:rPr>
        <w:t>Account</w:t>
      </w:r>
      <w:r>
        <w:rPr>
          <w:rFonts w:ascii="Times New Roman;Times;serif" w:hAnsi="Times New Roman;Times;serif"/>
          <w:sz w:val="20"/>
        </w:rPr>
        <w:t xml:space="preserve">” </w:t>
      </w:r>
      <w:r>
        <w:rPr>
          <w:rFonts w:ascii="Times New Roman;Times;serif" w:hAnsi="Times New Roman;Times;serif"/>
          <w:sz w:val="24"/>
        </w:rPr>
        <w:t>has the meaning specified in the Security Documents, as applicable.</w:t>
      </w:r>
    </w:p>
    <w:p>
      <w:pPr>
        <w:pStyle w:val="TextBody"/>
        <w:bidi w:val="0"/>
        <w:spacing w:before="0" w:after="240"/>
        <w:ind w:left="0" w:right="0" w:firstLine="720"/>
        <w:jc w:val="both"/>
        <w:rPr/>
      </w:pPr>
      <w:r>
        <w:rPr/>
        <w:t>“</w:t>
      </w:r>
      <w:r>
        <w:rPr>
          <w:rFonts w:ascii="Times New Roman;Times;serif" w:hAnsi="Times New Roman;Times;serif"/>
          <w:b/>
          <w:sz w:val="24"/>
        </w:rPr>
        <w:t>Account Debtor</w:t>
      </w:r>
      <w:r>
        <w:rPr>
          <w:rFonts w:ascii="Times New Roman;Times;serif" w:hAnsi="Times New Roman;Times;serif"/>
          <w:sz w:val="20"/>
        </w:rPr>
        <w:t xml:space="preserve">” </w:t>
      </w:r>
      <w:r>
        <w:rPr>
          <w:rFonts w:ascii="Times New Roman;Times;serif" w:hAnsi="Times New Roman;Times;serif"/>
          <w:sz w:val="24"/>
        </w:rPr>
        <w:t>means any Person obligated on an Account.</w:t>
      </w:r>
    </w:p>
    <w:p>
      <w:pPr>
        <w:pStyle w:val="TextBody"/>
        <w:bidi w:val="0"/>
        <w:spacing w:before="0" w:after="240"/>
        <w:ind w:left="0" w:right="0" w:firstLine="720"/>
        <w:jc w:val="both"/>
        <w:rPr/>
      </w:pPr>
      <w:r>
        <w:rPr/>
        <w:t>“</w:t>
      </w:r>
      <w:r>
        <w:rPr>
          <w:rFonts w:ascii="Times New Roman;Times;serif" w:hAnsi="Times New Roman;Times;serif"/>
          <w:b/>
          <w:sz w:val="24"/>
        </w:rPr>
        <w:t>Acquired Indebtedness</w:t>
      </w:r>
      <w:r>
        <w:rPr>
          <w:rFonts w:ascii="Times New Roman;Times;serif" w:hAnsi="Times New Roman;Times;serif"/>
          <w:sz w:val="20"/>
        </w:rPr>
        <w:t xml:space="preserve">” </w:t>
      </w:r>
      <w:r>
        <w:rPr>
          <w:rFonts w:ascii="Times New Roman;Times;serif" w:hAnsi="Times New Roman;Times;serif"/>
          <w:sz w:val="24"/>
        </w:rPr>
        <w:t xml:space="preserve">means Indebtedness of a Person whose assets or Equity Interests are acquired by the Parent Borrower or its Subsidiaries in an acquisition or similar Investment permitted by </w:t>
      </w:r>
      <w:r>
        <w:rPr>
          <w:rFonts w:ascii="Times New Roman;Times;serif" w:hAnsi="Times New Roman;Times;serif"/>
          <w:sz w:val="24"/>
          <w:u w:val="single"/>
        </w:rPr>
        <w:t>Section 6.04</w:t>
      </w:r>
      <w:r>
        <w:rPr>
          <w:rFonts w:ascii="Times New Roman;Times;serif" w:hAnsi="Times New Roman;Times;serif"/>
          <w:sz w:val="24"/>
        </w:rPr>
        <w:t>; provided, that such Indebtedness (a) was in existence prior to the date of such acquisition or other similar Investment, (b) is not an asset-based credit facility, and (c) was not incurred in connection with, or in contemplation of, such acquisition or other similar Investment.</w:t>
      </w:r>
    </w:p>
    <w:p>
      <w:pPr>
        <w:pStyle w:val="TextBody"/>
        <w:bidi w:val="0"/>
        <w:spacing w:before="0" w:after="240"/>
        <w:ind w:left="0" w:right="0" w:firstLine="720"/>
        <w:jc w:val="both"/>
        <w:rPr/>
      </w:pPr>
      <w:r>
        <w:rPr/>
        <w:t>“</w:t>
      </w:r>
      <w:r>
        <w:rPr>
          <w:rFonts w:ascii="Times New Roman;Times;serif" w:hAnsi="Times New Roman;Times;serif"/>
          <w:b/>
          <w:sz w:val="24"/>
        </w:rPr>
        <w:t>Activation Instruction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5.12(b)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Adjusted EURIBOR Rate</w:t>
      </w:r>
      <w:r>
        <w:rPr>
          <w:rFonts w:ascii="Times New Roman;Times;serif" w:hAnsi="Times New Roman;Times;serif"/>
          <w:sz w:val="20"/>
        </w:rPr>
        <w:t xml:space="preserve">” </w:t>
      </w:r>
      <w:r>
        <w:rPr>
          <w:rFonts w:ascii="Times New Roman;Times;serif" w:hAnsi="Times New Roman;Times;serif"/>
          <w:sz w:val="24"/>
        </w:rPr>
        <w:t xml:space="preserve">means, with respect to any Term Benchmark Borrowing denominated in Euros for any Interest Period, an interest rate per annum equal to (a) the EURIBOR Rate for such Interest Period multiplied by (b) the Statutory Reserve Rate;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Adjusted EURIBOR Rate as so determined would be less than the Floor, such rate shall be deemed to be the Floor for the purposes of this Agreement.</w:t>
      </w:r>
    </w:p>
    <w:p>
      <w:pPr>
        <w:pStyle w:val="TextBody"/>
        <w:bidi w:val="0"/>
        <w:spacing w:before="0" w:after="240"/>
        <w:ind w:left="0" w:right="0" w:firstLine="720"/>
        <w:jc w:val="both"/>
        <w:rPr/>
      </w:pPr>
      <w:r>
        <w:rPr/>
        <w:t>“</w:t>
      </w:r>
      <w:r>
        <w:rPr>
          <w:rFonts w:ascii="Times New Roman;Times;serif" w:hAnsi="Times New Roman;Times;serif"/>
          <w:b/>
          <w:sz w:val="24"/>
        </w:rPr>
        <w:t>Administrative Agent</w:t>
      </w:r>
      <w:r>
        <w:rPr>
          <w:rFonts w:ascii="Times New Roman;Times;serif" w:hAnsi="Times New Roman;Times;serif"/>
          <w:sz w:val="20"/>
        </w:rPr>
        <w:t xml:space="preserve">” </w:t>
      </w:r>
      <w:r>
        <w:rPr>
          <w:rFonts w:ascii="Times New Roman;Times;serif" w:hAnsi="Times New Roman;Times;serif"/>
          <w:sz w:val="24"/>
        </w:rPr>
        <w:t>means Citibank, N.A. (or any of its designated branch offices or affiliates), in its capacity as administrative agent for the Lenders hereunder, or any successor administrative agent.</w:t>
      </w:r>
    </w:p>
    <w:p>
      <w:pPr>
        <w:pStyle w:val="TextBody"/>
        <w:bidi w:val="0"/>
        <w:spacing w:before="0" w:after="240"/>
        <w:ind w:left="0" w:right="0" w:firstLine="720"/>
        <w:jc w:val="both"/>
        <w:rPr/>
      </w:pPr>
      <w:r>
        <w:rPr/>
        <w:t>“</w:t>
      </w:r>
      <w:r>
        <w:rPr>
          <w:rFonts w:ascii="Times New Roman;Times;serif" w:hAnsi="Times New Roman;Times;serif"/>
          <w:b/>
          <w:sz w:val="24"/>
        </w:rPr>
        <w:t>Administrative Agent Fee Letter</w:t>
      </w:r>
      <w:r>
        <w:rPr>
          <w:rFonts w:ascii="Times New Roman;Times;serif" w:hAnsi="Times New Roman;Times;serif"/>
          <w:sz w:val="20"/>
        </w:rPr>
        <w:t xml:space="preserve">” </w:t>
      </w:r>
      <w:r>
        <w:rPr>
          <w:rFonts w:ascii="Times New Roman;Times;serif" w:hAnsi="Times New Roman;Times;serif"/>
          <w:sz w:val="24"/>
        </w:rPr>
        <w:t>means that certain Engagement Letter, dated as of July 9, 2024, by and between the Parent Borrower and Citigroup Global Markets Inc.</w:t>
      </w:r>
    </w:p>
    <w:p>
      <w:pPr>
        <w:pStyle w:val="TextBody"/>
        <w:bidi w:val="0"/>
        <w:spacing w:before="0" w:after="240"/>
        <w:ind w:left="0" w:right="0" w:firstLine="720"/>
        <w:jc w:val="both"/>
        <w:rPr/>
      </w:pPr>
      <w:r>
        <w:rPr/>
        <w:t>“</w:t>
      </w:r>
      <w:r>
        <w:rPr>
          <w:rFonts w:ascii="Times New Roman;Times;serif" w:hAnsi="Times New Roman;Times;serif"/>
          <w:b/>
          <w:sz w:val="24"/>
        </w:rPr>
        <w:t>Administrative Questionnaire</w:t>
      </w:r>
      <w:r>
        <w:rPr>
          <w:rFonts w:ascii="Times New Roman;Times;serif" w:hAnsi="Times New Roman;Times;serif"/>
          <w:sz w:val="20"/>
        </w:rPr>
        <w:t xml:space="preserve">” </w:t>
      </w:r>
      <w:r>
        <w:rPr>
          <w:rFonts w:ascii="Times New Roman;Times;serif" w:hAnsi="Times New Roman;Times;serif"/>
          <w:sz w:val="24"/>
        </w:rPr>
        <w:t>means an Administrative Questionnaire in a form supplied by the Administrative Agent.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AES</w:t>
      </w:r>
      <w:r>
        <w:rPr>
          <w:rFonts w:ascii="Times New Roman;Times;serif" w:hAnsi="Times New Roman;Times;serif"/>
          <w:sz w:val="20"/>
        </w:rPr>
        <w:t xml:space="preserve">” </w:t>
      </w:r>
      <w:r>
        <w:rPr>
          <w:rFonts w:ascii="Times New Roman;Times;serif" w:hAnsi="Times New Roman;Times;serif"/>
          <w:sz w:val="24"/>
        </w:rPr>
        <w:t>means The AES Corporation, a Delaware corporation, and its subsidiaries and affiliates, including AES Grid Stability, LLC, a Delaware limited liability company.</w:t>
      </w:r>
    </w:p>
    <w:p>
      <w:pPr>
        <w:pStyle w:val="TextBody"/>
        <w:bidi w:val="0"/>
        <w:spacing w:before="0" w:after="240"/>
        <w:ind w:left="0" w:right="0" w:firstLine="720"/>
        <w:jc w:val="both"/>
        <w:rPr/>
      </w:pPr>
      <w:r>
        <w:rPr/>
        <w:t>“</w:t>
      </w:r>
      <w:r>
        <w:rPr>
          <w:rFonts w:ascii="Times New Roman;Times;serif" w:hAnsi="Times New Roman;Times;serif"/>
          <w:b/>
          <w:sz w:val="24"/>
        </w:rPr>
        <w:t>Affected Financial Institution</w:t>
      </w:r>
      <w:r>
        <w:rPr>
          <w:rFonts w:ascii="Times New Roman;Times;serif" w:hAnsi="Times New Roman;Times;serif"/>
          <w:sz w:val="20"/>
        </w:rPr>
        <w:t xml:space="preserve">” </w:t>
      </w:r>
      <w:r>
        <w:rPr>
          <w:rFonts w:ascii="Times New Roman;Times;serif" w:hAnsi="Times New Roman;Times;serif"/>
          <w:sz w:val="24"/>
        </w:rPr>
        <w:t>means (a) any EEA Financial Institution or (b) any UK Financial Institution.</w:t>
      </w:r>
    </w:p>
    <w:p>
      <w:pPr>
        <w:pStyle w:val="TextBody"/>
        <w:bidi w:val="0"/>
        <w:spacing w:before="0" w:after="240"/>
        <w:ind w:left="0" w:right="0" w:firstLine="720"/>
        <w:jc w:val="both"/>
        <w:rPr/>
      </w:pPr>
      <w:r>
        <w:rPr/>
        <w:t>“</w:t>
      </w:r>
      <w:r>
        <w:rPr>
          <w:rFonts w:ascii="Times New Roman;Times;serif" w:hAnsi="Times New Roman;Times;serif"/>
          <w:b/>
          <w:sz w:val="24"/>
        </w:rPr>
        <w:t>Affiliate</w:t>
      </w:r>
      <w:r>
        <w:rPr>
          <w:rFonts w:ascii="Times New Roman;Times;serif" w:hAnsi="Times New Roman;Times;serif"/>
          <w:sz w:val="20"/>
        </w:rPr>
        <w:t xml:space="preserve">” </w:t>
      </w:r>
      <w:r>
        <w:rPr>
          <w:rFonts w:ascii="Times New Roman;Times;serif" w:hAnsi="Times New Roman;Times;serif"/>
          <w:sz w:val="24"/>
        </w:rPr>
        <w:t>means, with respect to a specified Person, another Person that directly, or indirectly through one or more intermediaries, Controls or is Controlled by or is under common Control with the Person specified. For greater certainty, any reference to an Affiliate of the Administrative Agent, a Lender or any other Secured Party shall include a domestic or foreign branch of such Person.</w:t>
      </w:r>
    </w:p>
    <w:p>
      <w:pPr>
        <w:pStyle w:val="TextBody"/>
        <w:bidi w:val="0"/>
        <w:spacing w:before="0" w:after="240"/>
        <w:ind w:left="0" w:right="0" w:firstLine="720"/>
        <w:jc w:val="both"/>
        <w:rPr/>
      </w:pPr>
      <w:r>
        <w:rPr/>
        <w:t>“</w:t>
      </w:r>
      <w:r>
        <w:rPr>
          <w:rFonts w:ascii="Times New Roman;Times;serif" w:hAnsi="Times New Roman;Times;serif"/>
          <w:b/>
          <w:sz w:val="24"/>
        </w:rPr>
        <w:t>Agent Parties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Agents</w:t>
      </w:r>
      <w:r>
        <w:rPr>
          <w:rFonts w:ascii="Times New Roman;Times;serif" w:hAnsi="Times New Roman;Times;serif"/>
          <w:sz w:val="20"/>
        </w:rPr>
        <w:t xml:space="preserve">” </w:t>
      </w:r>
      <w:r>
        <w:rPr>
          <w:rFonts w:ascii="Times New Roman;Times;serif" w:hAnsi="Times New Roman;Times;serif"/>
          <w:sz w:val="24"/>
        </w:rPr>
        <w:t>means the Administrative Agent, the Australian Security Trustee and the Arrangers.</w:t>
      </w:r>
    </w:p>
    <w:p>
      <w:pPr>
        <w:pStyle w:val="TextBody"/>
        <w:bidi w:val="0"/>
        <w:spacing w:before="0" w:after="240"/>
        <w:ind w:left="0" w:right="0" w:firstLine="720"/>
        <w:jc w:val="both"/>
        <w:rPr/>
      </w:pPr>
      <w:r>
        <w:rPr/>
        <w:t>“</w:t>
      </w:r>
      <w:r>
        <w:rPr>
          <w:rFonts w:ascii="Times New Roman;Times;serif" w:hAnsi="Times New Roman;Times;serif"/>
          <w:b/>
          <w:sz w:val="24"/>
        </w:rPr>
        <w:t>Agreed Currency</w:t>
      </w:r>
      <w:r>
        <w:rPr>
          <w:rFonts w:ascii="Times New Roman;Times;serif" w:hAnsi="Times New Roman;Times;serif"/>
          <w:sz w:val="20"/>
        </w:rPr>
        <w:t xml:space="preserve">” </w:t>
      </w:r>
      <w:r>
        <w:rPr>
          <w:rFonts w:ascii="Times New Roman;Times;serif" w:hAnsi="Times New Roman;Times;serif"/>
          <w:sz w:val="24"/>
        </w:rPr>
        <w:t>means Dollars and any Alternative Currency.</w:t>
      </w:r>
    </w:p>
    <w:p>
      <w:pPr>
        <w:pStyle w:val="TextBody"/>
        <w:bidi w:val="0"/>
        <w:spacing w:before="0" w:after="240"/>
        <w:ind w:left="0" w:right="0" w:firstLine="720"/>
        <w:jc w:val="both"/>
        <w:rPr/>
      </w:pPr>
      <w:r>
        <w:rPr/>
        <w:t>“</w:t>
      </w:r>
      <w:r>
        <w:rPr>
          <w:rFonts w:ascii="Times New Roman;Times;serif" w:hAnsi="Times New Roman;Times;serif"/>
          <w:b/>
          <w:sz w:val="24"/>
        </w:rPr>
        <w:t>Agreed Security Principles</w:t>
      </w:r>
      <w:r>
        <w:rPr>
          <w:rFonts w:ascii="Times New Roman;Times;serif" w:hAnsi="Times New Roman;Times;serif"/>
          <w:sz w:val="20"/>
        </w:rPr>
        <w:t xml:space="preserve">” </w:t>
      </w:r>
      <w:r>
        <w:rPr>
          <w:rFonts w:ascii="Times New Roman;Times;serif" w:hAnsi="Times New Roman;Times;serif"/>
          <w:sz w:val="24"/>
        </w:rPr>
        <w:t xml:space="preserve">has the meaning assignment to such term in </w:t>
      </w:r>
      <w:r>
        <w:rPr>
          <w:rFonts w:ascii="Times New Roman;Times;serif" w:hAnsi="Times New Roman;Times;serif"/>
          <w:sz w:val="24"/>
          <w:u w:val="single"/>
        </w:rPr>
        <w:t>Exhibit 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Agreement</w:t>
      </w:r>
      <w:r>
        <w:rPr>
          <w:rFonts w:ascii="Times New Roman;Times;serif" w:hAnsi="Times New Roman;Times;serif"/>
          <w:sz w:val="20"/>
        </w:rPr>
        <w:t xml:space="preserve">” </w:t>
      </w:r>
      <w:r>
        <w:rPr>
          <w:rFonts w:ascii="Times New Roman;Times;serif" w:hAnsi="Times New Roman;Times;serif"/>
          <w:sz w:val="24"/>
        </w:rPr>
        <w:t>means this Syndicated Facility Agreement, as the same may hereafter be modified, supplemented, extended, amended, restated or amended and restated from time to time.</w:t>
      </w:r>
    </w:p>
    <w:p>
      <w:pPr>
        <w:pStyle w:val="TextBody"/>
        <w:bidi w:val="0"/>
        <w:spacing w:before="0" w:after="240"/>
        <w:ind w:left="0" w:right="0" w:firstLine="720"/>
        <w:jc w:val="both"/>
        <w:rPr/>
      </w:pPr>
      <w:r>
        <w:rPr/>
        <w:t>“</w:t>
      </w:r>
      <w:r>
        <w:rPr>
          <w:rFonts w:ascii="Times New Roman;Times;serif" w:hAnsi="Times New Roman;Times;serif"/>
          <w:b/>
          <w:sz w:val="24"/>
        </w:rPr>
        <w:t>Alternate Base Rate</w:t>
      </w:r>
      <w:r>
        <w:rPr>
          <w:rFonts w:ascii="Times New Roman;Times;serif" w:hAnsi="Times New Roman;Times;serif"/>
          <w:sz w:val="20"/>
        </w:rPr>
        <w:t xml:space="preserve">” </w:t>
      </w:r>
      <w:r>
        <w:rPr>
          <w:rFonts w:ascii="Times New Roman;Times;serif" w:hAnsi="Times New Roman;Times;serif"/>
          <w:sz w:val="24"/>
        </w:rPr>
        <w:t xml:space="preserve">means, for any day, a rate </w:t>
      </w:r>
      <w:r>
        <w:rPr>
          <w:rFonts w:ascii="Times New Roman;Times;serif" w:hAnsi="Times New Roman;Times;serif"/>
          <w:i/>
          <w:sz w:val="24"/>
        </w:rPr>
        <w:t>per annum</w:t>
      </w:r>
      <w:r>
        <w:rPr>
          <w:rFonts w:ascii="Times New Roman;Times;serif" w:hAnsi="Times New Roman;Times;serif"/>
          <w:sz w:val="20"/>
        </w:rPr>
        <w:t xml:space="preserve"> </w:t>
      </w:r>
      <w:r>
        <w:rPr>
          <w:rFonts w:ascii="Times New Roman;Times;serif" w:hAnsi="Times New Roman;Times;serif"/>
          <w:sz w:val="24"/>
        </w:rPr>
        <w:t xml:space="preserve">equal to the greatest of (a) the Prime Rate in effect on such day, (b) the NYFRB Rate in effect on such day plus ½ of 1% and (c) the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for the purpose of this definition, the Term SOFR Rate for any day shall be based on the Term SOFR Reference Rate at approximately (8:00 a.m., New York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Times;serif" w:hAnsi="Times New Roman;Times;serif"/>
          <w:sz w:val="24"/>
          <w:u w:val="single"/>
        </w:rPr>
        <w:t>Section 2.11</w:t>
      </w:r>
      <w:r>
        <w:rPr>
          <w:rFonts w:ascii="Times New Roman;Times;serif" w:hAnsi="Times New Roman;Times;serif"/>
          <w:sz w:val="20"/>
        </w:rPr>
        <w:t xml:space="preserve"> </w:t>
      </w:r>
      <w:r>
        <w:rPr>
          <w:rFonts w:ascii="Times New Roman;Times;serif" w:hAnsi="Times New Roman;Times;serif"/>
          <w:sz w:val="24"/>
        </w:rPr>
        <w:t xml:space="preserve">hereof (for the avoidance of doubt, only until the Benchmark Replacement has been determined pursuant to </w:t>
      </w:r>
      <w:r>
        <w:rPr>
          <w:rFonts w:ascii="Times New Roman;Times;serif" w:hAnsi="Times New Roman;Times;serif"/>
          <w:sz w:val="24"/>
          <w:u w:val="single"/>
        </w:rPr>
        <w:t>Section 2.11(b)</w:t>
      </w:r>
      <w:r>
        <w:rPr>
          <w:rFonts w:ascii="Times New Roman;Times;serif" w:hAnsi="Times New Roman;Times;serif"/>
          <w:sz w:val="24"/>
        </w:rPr>
        <w:t>), then the Alternate Base Rate shall be the greater of clause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before="0" w:after="240"/>
        <w:ind w:left="0" w:right="0" w:firstLine="720"/>
        <w:jc w:val="both"/>
        <w:rPr/>
      </w:pPr>
      <w:r>
        <w:rPr/>
        <w:t>“</w:t>
      </w:r>
      <w:r>
        <w:rPr>
          <w:rFonts w:ascii="Times New Roman;Times;serif" w:hAnsi="Times New Roman;Times;serif"/>
          <w:b/>
          <w:sz w:val="24"/>
        </w:rPr>
        <w:t>Alternative Currency</w:t>
      </w:r>
      <w:r>
        <w:rPr>
          <w:rFonts w:ascii="Times New Roman;Times;serif" w:hAnsi="Times New Roman;Times;serif"/>
          <w:sz w:val="20"/>
        </w:rPr>
        <w:t xml:space="preserve">” </w:t>
      </w:r>
      <w:r>
        <w:rPr>
          <w:rFonts w:ascii="Times New Roman;Times;serif" w:hAnsi="Times New Roman;Times;serif"/>
          <w:sz w:val="24"/>
        </w:rPr>
        <w:t>means (a) Euros, (b) for purposes of Letters of Credit and cash and Cash Equivalents included in the determination of Total Liquidity only, Australian Dollars, (c) Pounds Sterling, and (d) any additional currencies determined after the Amendment No. 3 Effective Date by mutual agreement of the Borrowers, Lenders, Issuing Banks and Administrative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Agent;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each such currency is a lawful currency that is readily available, freely transferable and not restricted, and able to be converted into Dollars.</w:t>
      </w:r>
    </w:p>
    <w:p>
      <w:pPr>
        <w:pStyle w:val="TextBody"/>
        <w:bidi w:val="0"/>
        <w:spacing w:before="0" w:after="240"/>
        <w:ind w:left="0" w:right="0" w:firstLine="720"/>
        <w:jc w:val="both"/>
        <w:rPr/>
      </w:pPr>
      <w:r>
        <w:rPr/>
        <w:t>“</w:t>
      </w:r>
      <w:r>
        <w:rPr>
          <w:rFonts w:ascii="Times New Roman;Times;serif" w:hAnsi="Times New Roman;Times;serif"/>
          <w:b/>
          <w:sz w:val="24"/>
        </w:rPr>
        <w:t>Alternative Currency Payment Office</w:t>
      </w:r>
      <w:r>
        <w:rPr>
          <w:rFonts w:ascii="Times New Roman;Times;serif" w:hAnsi="Times New Roman;Times;serif"/>
          <w:sz w:val="20"/>
        </w:rPr>
        <w:t xml:space="preserve">” </w:t>
      </w:r>
      <w:r>
        <w:rPr>
          <w:rFonts w:ascii="Times New Roman;Times;serif" w:hAnsi="Times New Roman;Times;serif"/>
          <w:sz w:val="24"/>
        </w:rPr>
        <w:t>of the Administrative Agent means, for each Alternative Currency, the office, branch, affiliate or correspondent bank of the Administrative Agent for such currency as specified from time to time by notice to the Borrowers and each Lender.</w:t>
      </w:r>
    </w:p>
    <w:p>
      <w:pPr>
        <w:pStyle w:val="TextBody"/>
        <w:bidi w:val="0"/>
        <w:spacing w:before="0" w:after="240"/>
        <w:ind w:left="0" w:right="0" w:firstLine="720"/>
        <w:jc w:val="both"/>
        <w:rPr/>
      </w:pPr>
      <w:r>
        <w:rPr/>
        <w:t>“</w:t>
      </w:r>
      <w:r>
        <w:rPr>
          <w:rFonts w:ascii="Times New Roman;Times;serif" w:hAnsi="Times New Roman;Times;serif"/>
          <w:b/>
          <w:sz w:val="24"/>
        </w:rPr>
        <w:t>Amendment No. 3 Effective Date</w:t>
      </w:r>
      <w:r>
        <w:rPr>
          <w:rFonts w:ascii="Times New Roman;Times;serif" w:hAnsi="Times New Roman;Times;serif"/>
          <w:sz w:val="20"/>
        </w:rPr>
        <w:t xml:space="preserve">” </w:t>
      </w:r>
      <w:r>
        <w:rPr>
          <w:rFonts w:ascii="Times New Roman;Times;serif" w:hAnsi="Times New Roman;Times;serif"/>
          <w:sz w:val="24"/>
        </w:rPr>
        <w:t>means August 6, 2024.</w:t>
      </w:r>
    </w:p>
    <w:p>
      <w:pPr>
        <w:pStyle w:val="TextBody"/>
        <w:bidi w:val="0"/>
        <w:spacing w:before="0" w:after="240"/>
        <w:ind w:left="0" w:right="0" w:firstLine="720"/>
        <w:jc w:val="both"/>
        <w:rPr/>
      </w:pPr>
      <w:r>
        <w:rPr/>
        <w:t>“</w:t>
      </w:r>
      <w:r>
        <w:rPr>
          <w:rFonts w:ascii="Times New Roman;Times;serif" w:hAnsi="Times New Roman;Times;serif"/>
          <w:b/>
          <w:sz w:val="24"/>
        </w:rPr>
        <w:t>Ancillary Document</w:t>
      </w:r>
      <w:r>
        <w:rPr>
          <w:rFonts w:ascii="Times New Roman;Times;serif" w:hAnsi="Times New Roman;Times;serif"/>
          <w:sz w:val="20"/>
        </w:rPr>
        <w:t xml:space="preserve">” </w:t>
      </w:r>
      <w:r>
        <w:rPr>
          <w:rFonts w:ascii="Times New Roman;Times;serif" w:hAnsi="Times New Roman;Times;serif"/>
          <w:sz w:val="24"/>
        </w:rPr>
        <w:t>has the meaning specified</w:t>
      </w:r>
      <w:r>
        <w:rPr>
          <w:rFonts w:ascii="Times New Roman;Times;serif" w:hAnsi="Times New Roman;Times;serif"/>
          <w:sz w:val="20"/>
        </w:rPr>
        <w:t xml:space="preserve"> </w:t>
      </w:r>
      <w:r>
        <w:rPr>
          <w:rFonts w:ascii="Times New Roman;Times;serif" w:hAnsi="Times New Roman;Times;serif"/>
          <w:sz w:val="24"/>
        </w:rPr>
        <w:t xml:space="preserve">in </w:t>
      </w:r>
      <w:r>
        <w:rPr>
          <w:rFonts w:ascii="Times New Roman;Times;serif" w:hAnsi="Times New Roman;Times;serif"/>
          <w:sz w:val="24"/>
          <w:u w:val="single"/>
        </w:rPr>
        <w:t>Section 10.06(b)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Anti-Corruption Laws</w:t>
      </w:r>
      <w:r>
        <w:rPr>
          <w:rFonts w:ascii="Times New Roman;Times;serif" w:hAnsi="Times New Roman;Times;serif"/>
          <w:sz w:val="20"/>
        </w:rPr>
        <w:t xml:space="preserve">” </w:t>
      </w:r>
      <w:r>
        <w:rPr>
          <w:rFonts w:ascii="Times New Roman;Times;serif" w:hAnsi="Times New Roman;Times;serif"/>
          <w:sz w:val="24"/>
        </w:rPr>
        <w:t>means all laws, rules, and regulations of any jurisdiction applicable to the Parent, any Borrower or any of their Affiliates from time to time concerning or relating to bribery, corruption or money laundering, including the Prevention of Corruption Act 1960 of Singapore and the Corruption, Drug Trafficking and Other Serious Crimes (Confiscation of Benefits) Act 1992 of Singapore.</w:t>
      </w:r>
    </w:p>
    <w:p>
      <w:pPr>
        <w:pStyle w:val="TextBody"/>
        <w:bidi w:val="0"/>
        <w:spacing w:before="0" w:after="240"/>
        <w:ind w:left="0" w:right="0" w:firstLine="720"/>
        <w:jc w:val="both"/>
        <w:rPr/>
      </w:pPr>
      <w:r>
        <w:rPr/>
        <w:t>“</w:t>
      </w:r>
      <w:r>
        <w:rPr>
          <w:rFonts w:ascii="Times New Roman;Times;serif" w:hAnsi="Times New Roman;Times;serif"/>
          <w:b/>
          <w:sz w:val="24"/>
        </w:rPr>
        <w:t>Anti-Terrorism Laws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3.15(a)(ii)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Applicable Commitment Fee Rate</w:t>
      </w:r>
      <w:r>
        <w:rPr>
          <w:rFonts w:ascii="Times New Roman;Times;serif" w:hAnsi="Times New Roman;Times;serif"/>
          <w:sz w:val="20"/>
        </w:rPr>
        <w:t xml:space="preserve">” </w:t>
      </w:r>
      <w:r>
        <w:rPr>
          <w:rFonts w:ascii="Times New Roman;Times;serif" w:hAnsi="Times New Roman;Times;serif"/>
          <w:sz w:val="24"/>
        </w:rPr>
        <w:t xml:space="preserve">means, for any day, 0.50% </w:t>
      </w:r>
      <w:r>
        <w:rPr>
          <w:rFonts w:ascii="Times New Roman;Times;serif" w:hAnsi="Times New Roman;Times;serif"/>
          <w:i/>
          <w:sz w:val="24"/>
        </w:rPr>
        <w:t>per annum</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Applicable LC Fee Rate</w:t>
      </w:r>
      <w:r>
        <w:rPr>
          <w:rFonts w:ascii="Times New Roman;Times;serif" w:hAnsi="Times New Roman;Times;serif"/>
          <w:sz w:val="20"/>
        </w:rPr>
        <w:t xml:space="preserve">” </w:t>
      </w:r>
      <w:r>
        <w:rPr>
          <w:rFonts w:ascii="Times New Roman;Times;serif" w:hAnsi="Times New Roman;Times;serif"/>
          <w:sz w:val="24"/>
        </w:rPr>
        <w:t xml:space="preserve">means, for any day, a rate equal to the Applicable Rate then used to determine the interest rate on Term SOFR Loans;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at all times when an Event of Default has occurred hereunder and is continuing, the Applicable LC Fee Rate shall be a rate per annum equal to 2% plus the rate otherwise applicable as provided herein.</w:t>
      </w:r>
    </w:p>
    <w:p>
      <w:pPr>
        <w:pStyle w:val="TextBody"/>
        <w:bidi w:val="0"/>
        <w:spacing w:before="0" w:after="240"/>
        <w:ind w:left="0" w:right="0" w:firstLine="720"/>
        <w:jc w:val="both"/>
        <w:rPr/>
      </w:pPr>
      <w:r>
        <w:rPr/>
        <w:t>“</w:t>
      </w:r>
      <w:r>
        <w:rPr>
          <w:rFonts w:ascii="Times New Roman;Times;serif" w:hAnsi="Times New Roman;Times;serif"/>
          <w:b/>
          <w:sz w:val="24"/>
        </w:rPr>
        <w:t>Applicable Percentage</w:t>
      </w:r>
      <w:r>
        <w:rPr>
          <w:rFonts w:ascii="Times New Roman;Times;serif" w:hAnsi="Times New Roman;Times;serif"/>
          <w:sz w:val="20"/>
        </w:rPr>
        <w:t xml:space="preserve">” </w:t>
      </w:r>
      <w:r>
        <w:rPr>
          <w:rFonts w:ascii="Times New Roman;Times;serif" w:hAnsi="Times New Roman;Times;serif"/>
          <w:sz w:val="24"/>
        </w:rPr>
        <w:t>means, with respect to any Revolving Lender, the percentage of the total Commitments represented by such Revolving Lender’s Commitment. If the Commitments have terminated or expired, the Applicable Percentages shall be determined based upon the Commitments most recently in effect, giving effect to any assignments.</w:t>
      </w:r>
    </w:p>
    <w:p>
      <w:pPr>
        <w:pStyle w:val="TextBody"/>
        <w:bidi w:val="0"/>
        <w:spacing w:before="0" w:after="240"/>
        <w:ind w:left="0" w:right="0" w:firstLine="720"/>
        <w:jc w:val="both"/>
        <w:rPr/>
      </w:pPr>
      <w:r>
        <w:rPr/>
        <w:t>“</w:t>
      </w:r>
      <w:r>
        <w:rPr>
          <w:rFonts w:ascii="Times New Roman;Times;serif" w:hAnsi="Times New Roman;Times;serif"/>
          <w:b/>
          <w:sz w:val="24"/>
        </w:rPr>
        <w:t>Applicable Rate</w:t>
      </w:r>
      <w:r>
        <w:rPr>
          <w:rFonts w:ascii="Times New Roman;Times;serif" w:hAnsi="Times New Roman;Times;serif"/>
          <w:sz w:val="20"/>
        </w:rPr>
        <w:t xml:space="preserve">” </w:t>
      </w:r>
      <w:r>
        <w:rPr>
          <w:rFonts w:ascii="Times New Roman;Times;serif" w:hAnsi="Times New Roman;Times;serif"/>
          <w:sz w:val="24"/>
        </w:rPr>
        <w:t xml:space="preserve">means, for any day, (a) in the case of any Term Benchmark Loan or RFR Loan, 3.00% </w:t>
      </w:r>
      <w:r>
        <w:rPr>
          <w:rFonts w:ascii="Times New Roman;Times;serif" w:hAnsi="Times New Roman;Times;serif"/>
          <w:i/>
          <w:sz w:val="24"/>
        </w:rPr>
        <w:t>per annum</w:t>
      </w:r>
      <w:r>
        <w:rPr>
          <w:rFonts w:ascii="Times New Roman;Times;serif" w:hAnsi="Times New Roman;Times;serif"/>
          <w:sz w:val="24"/>
        </w:rPr>
        <w:t xml:space="preserve">, and (b) in the case of ABR Loan, 2.00% </w:t>
      </w:r>
      <w:r>
        <w:rPr>
          <w:rFonts w:ascii="Times New Roman;Times;serif" w:hAnsi="Times New Roman;Times;serif"/>
          <w:i/>
          <w:sz w:val="24"/>
        </w:rPr>
        <w:t>per annum</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Approved Fund</w:t>
      </w:r>
      <w:r>
        <w:rPr>
          <w:rFonts w:ascii="Times New Roman;Times;serif" w:hAnsi="Times New Roman;Times;serif"/>
          <w:sz w:val="20"/>
        </w:rPr>
        <w:t xml:space="preserve">” </w:t>
      </w:r>
      <w:r>
        <w:rPr>
          <w:rFonts w:ascii="Times New Roman;Times;serif" w:hAnsi="Times New Roman;Times;serif"/>
          <w:sz w:val="24"/>
        </w:rPr>
        <w:t>means any Person (other than a natural person) that is engaged in making, purchasing, holding or investing in bank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New Roman;Times;serif" w:hAnsi="Times New Roman;Times;serif"/>
          <w:b/>
          <w:sz w:val="24"/>
        </w:rPr>
        <w:t>Approved Counterparty</w:t>
      </w:r>
      <w:r>
        <w:rPr>
          <w:rFonts w:ascii="Times New Roman;Times;serif" w:hAnsi="Times New Roman;Times;serif"/>
          <w:sz w:val="20"/>
        </w:rPr>
        <w:t xml:space="preserve">” </w:t>
      </w:r>
      <w:r>
        <w:rPr>
          <w:rFonts w:ascii="Times New Roman;Times;serif" w:hAnsi="Times New Roman;Times;serif"/>
          <w:sz w:val="24"/>
        </w:rPr>
        <w:t>means, with respect to any Swap Agreement, (a) any Person that is a Lender or an Affiliate of a Lender at the time such Swap Agreement was entered into (regardless of whether such Person (or its Affiliate) subsequently ceases to be a Lender), and (b) in respect of commodity pricing risk, Macquarie Group Limited (“</w:t>
      </w:r>
      <w:r>
        <w:rPr>
          <w:rFonts w:ascii="Times New Roman;Times;serif" w:hAnsi="Times New Roman;Times;serif"/>
          <w:b/>
          <w:sz w:val="24"/>
        </w:rPr>
        <w:t>Macquarie</w:t>
      </w:r>
      <w:r>
        <w:rPr>
          <w:rFonts w:ascii="Times New Roman;Times;serif" w:hAnsi="Times New Roman;Times;serif"/>
          <w:sz w:val="20"/>
        </w:rPr>
        <w:t>”</w:t>
      </w:r>
      <w:r>
        <w:rPr>
          <w:rFonts w:ascii="Times New Roman;Times;serif" w:hAnsi="Times New Roman;Times;serif"/>
          <w:sz w:val="24"/>
        </w:rPr>
        <w:t>) to the extent that Macquarie has entered into an agreement, in form and substance reasonably satisfactory to the Administrative Agent, duly executed by Macquarie, the applicable Loan Party and the Administrative Agent with respect to such Swap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Arrangers</w:t>
      </w:r>
      <w:r>
        <w:rPr>
          <w:rFonts w:ascii="Times New Roman;Times;serif" w:hAnsi="Times New Roman;Times;serif"/>
          <w:sz w:val="20"/>
        </w:rPr>
        <w:t xml:space="preserve">” </w:t>
      </w:r>
      <w:r>
        <w:rPr>
          <w:rFonts w:ascii="Times New Roman;Times;serif" w:hAnsi="Times New Roman;Times;serif"/>
          <w:sz w:val="24"/>
        </w:rPr>
        <w:t>means each of Citigroup Global Markets Inc., Barclays Bank PLC and JPMorgan Chase Bank N.A., in their respective capacities as lead arrangers and bookrunners, and any successors thereto.</w:t>
      </w:r>
    </w:p>
    <w:p>
      <w:pPr>
        <w:pStyle w:val="TextBody"/>
        <w:bidi w:val="0"/>
        <w:spacing w:before="0" w:after="240"/>
        <w:ind w:left="0" w:right="0" w:firstLine="720"/>
        <w:jc w:val="both"/>
        <w:rPr/>
      </w:pPr>
      <w:r>
        <w:rPr/>
        <w:t>“</w:t>
      </w:r>
      <w:r>
        <w:rPr>
          <w:rFonts w:ascii="Times New Roman;Times;serif" w:hAnsi="Times New Roman;Times;serif"/>
          <w:b/>
          <w:sz w:val="24"/>
        </w:rPr>
        <w:t>ASR Agreement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6.05(a)(vi)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Assignment and Assumption</w:t>
      </w:r>
      <w:r>
        <w:rPr>
          <w:rFonts w:ascii="Times New Roman;Times;serif" w:hAnsi="Times New Roman;Times;serif"/>
          <w:sz w:val="20"/>
        </w:rPr>
        <w:t xml:space="preserve">” </w:t>
      </w:r>
      <w:r>
        <w:rPr>
          <w:rFonts w:ascii="Times New Roman;Times;serif" w:hAnsi="Times New Roman;Times;serif"/>
          <w:sz w:val="24"/>
        </w:rPr>
        <w:t xml:space="preserve">means an assignment and assumption entered into by a Lender and an assignee (with the consent of any party whose consent is required by </w:t>
      </w:r>
      <w:r>
        <w:rPr>
          <w:rFonts w:ascii="Times New Roman;Times;serif" w:hAnsi="Times New Roman;Times;serif"/>
          <w:sz w:val="24"/>
          <w:u w:val="single"/>
        </w:rPr>
        <w:t>Section 10.04</w:t>
      </w:r>
      <w:r>
        <w:rPr>
          <w:rFonts w:ascii="Times New Roman;Times;serif" w:hAnsi="Times New Roman;Times;serif"/>
          <w:sz w:val="24"/>
        </w:rPr>
        <w:t xml:space="preserve">), and accepted by the Administrative Agent, in the form of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or any other form (including electronic records generated by the use of an electronic platform) approved by the Administrative Agent.</w:t>
      </w:r>
    </w:p>
    <w:p>
      <w:pPr>
        <w:pStyle w:val="TextBody"/>
        <w:bidi w:val="0"/>
        <w:spacing w:before="0" w:after="240"/>
        <w:ind w:left="0" w:right="0" w:firstLine="720"/>
        <w:jc w:val="both"/>
        <w:rPr/>
      </w:pPr>
      <w:r>
        <w:rPr/>
        <w:t>“</w:t>
      </w:r>
      <w:r>
        <w:rPr>
          <w:rFonts w:ascii="Times New Roman;Times;serif" w:hAnsi="Times New Roman;Times;serif"/>
          <w:b/>
          <w:sz w:val="24"/>
        </w:rPr>
        <w:t>Auditors’ Determination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Australia</w:t>
      </w:r>
      <w:r>
        <w:rPr>
          <w:rFonts w:ascii="Times New Roman;Times;serif" w:hAnsi="Times New Roman;Times;serif"/>
          <w:sz w:val="20"/>
        </w:rPr>
        <w:t xml:space="preserve">” </w:t>
      </w:r>
      <w:r>
        <w:rPr>
          <w:rFonts w:ascii="Times New Roman;Times;serif" w:hAnsi="Times New Roman;Times;serif"/>
          <w:sz w:val="24"/>
        </w:rPr>
        <w:t>means the Commonwealth of Australia, including its states and territories (and “Australian” should be construed accordingly).</w:t>
      </w:r>
    </w:p>
    <w:p>
      <w:pPr>
        <w:pStyle w:val="TextBody"/>
        <w:bidi w:val="0"/>
        <w:spacing w:before="0" w:after="240"/>
        <w:ind w:left="0" w:right="0" w:firstLine="720"/>
        <w:jc w:val="both"/>
        <w:rPr/>
      </w:pPr>
      <w:r>
        <w:rPr/>
        <w:t>“</w:t>
      </w:r>
      <w:r>
        <w:rPr>
          <w:rFonts w:ascii="Times New Roman;Times;serif" w:hAnsi="Times New Roman;Times;serif"/>
          <w:b/>
          <w:sz w:val="24"/>
        </w:rPr>
        <w:t>Australian Banking Code of Practice</w:t>
      </w:r>
      <w:r>
        <w:rPr>
          <w:rFonts w:ascii="Times New Roman;Times;serif" w:hAnsi="Times New Roman;Times;serif"/>
          <w:sz w:val="20"/>
        </w:rPr>
        <w:t xml:space="preserve">” </w:t>
      </w:r>
      <w:r>
        <w:rPr>
          <w:rFonts w:ascii="Times New Roman;Times;serif" w:hAnsi="Times New Roman;Times;serif"/>
          <w:sz w:val="24"/>
        </w:rPr>
        <w:t>means the Banking Code of Practice published by the Australian Banking Association, as amended, revised or amended and restated from time to time.</w:t>
      </w:r>
    </w:p>
    <w:p>
      <w:pPr>
        <w:pStyle w:val="TextBody"/>
        <w:bidi w:val="0"/>
        <w:spacing w:before="0" w:after="240"/>
        <w:ind w:left="0" w:right="0" w:firstLine="720"/>
        <w:jc w:val="both"/>
        <w:rPr/>
      </w:pPr>
      <w:r>
        <w:rPr/>
        <w:t>“</w:t>
      </w:r>
      <w:r>
        <w:rPr>
          <w:rFonts w:ascii="Times New Roman;Times;serif" w:hAnsi="Times New Roman;Times;serif"/>
          <w:b/>
          <w:sz w:val="24"/>
        </w:rPr>
        <w:t>Australian Consolidated Tax Group</w:t>
      </w:r>
      <w:r>
        <w:rPr>
          <w:rFonts w:ascii="Times New Roman;Times;serif" w:hAnsi="Times New Roman;Times;serif"/>
          <w:sz w:val="20"/>
        </w:rPr>
        <w:t xml:space="preserve">” </w:t>
      </w:r>
      <w:r>
        <w:rPr>
          <w:rFonts w:ascii="Times New Roman;Times;serif" w:hAnsi="Times New Roman;Times;serif"/>
          <w:sz w:val="24"/>
        </w:rPr>
        <w:t>means a Consolidated Group or a MEC Group as defined in the Australian Tax Act.</w:t>
      </w:r>
    </w:p>
    <w:p>
      <w:pPr>
        <w:pStyle w:val="TextBody"/>
        <w:bidi w:val="0"/>
        <w:spacing w:before="0" w:after="240"/>
        <w:ind w:left="0" w:right="0" w:firstLine="720"/>
        <w:jc w:val="both"/>
        <w:rPr/>
      </w:pPr>
      <w:r>
        <w:rPr/>
        <w:t>“</w:t>
      </w:r>
      <w:r>
        <w:rPr>
          <w:rFonts w:ascii="Times New Roman;Times;serif" w:hAnsi="Times New Roman;Times;serif"/>
          <w:b/>
          <w:sz w:val="24"/>
        </w:rPr>
        <w:t>Australian Controller</w:t>
      </w:r>
      <w:r>
        <w:rPr>
          <w:rFonts w:ascii="Times New Roman;Times;serif" w:hAnsi="Times New Roman;Times;serif"/>
          <w:sz w:val="20"/>
        </w:rPr>
        <w:t xml:space="preserve">” </w:t>
      </w:r>
      <w:r>
        <w:rPr>
          <w:rFonts w:ascii="Times New Roman;Times;serif" w:hAnsi="Times New Roman;Times;serif"/>
          <w:sz w:val="24"/>
        </w:rPr>
        <w:t>has the meaning given to the term “controller” in section 9 of the Australian Corporations Act.</w:t>
      </w:r>
    </w:p>
    <w:p>
      <w:pPr>
        <w:pStyle w:val="TextBody"/>
        <w:bidi w:val="0"/>
        <w:spacing w:before="0" w:after="240"/>
        <w:ind w:left="0" w:right="0" w:firstLine="720"/>
        <w:jc w:val="both"/>
        <w:rPr/>
      </w:pPr>
      <w:r>
        <w:rPr/>
        <w:t>“</w:t>
      </w:r>
      <w:r>
        <w:rPr>
          <w:rFonts w:ascii="Times New Roman;Times;serif" w:hAnsi="Times New Roman;Times;serif"/>
          <w:b/>
          <w:sz w:val="24"/>
        </w:rPr>
        <w:t>Australian Corporations Act</w:t>
      </w:r>
      <w:r>
        <w:rPr>
          <w:rFonts w:ascii="Times New Roman;Times;serif" w:hAnsi="Times New Roman;Times;serif"/>
          <w:sz w:val="20"/>
        </w:rPr>
        <w:t xml:space="preserve">” </w:t>
      </w:r>
      <w:r>
        <w:rPr>
          <w:rFonts w:ascii="Times New Roman;Times;serif" w:hAnsi="Times New Roman;Times;serif"/>
          <w:sz w:val="24"/>
        </w:rPr>
        <w:t>means the Corporations Act 2001 (Cth) (Australia).</w:t>
      </w:r>
    </w:p>
    <w:p>
      <w:pPr>
        <w:pStyle w:val="TextBody"/>
        <w:bidi w:val="0"/>
        <w:spacing w:before="0" w:after="240"/>
        <w:ind w:left="0" w:right="0" w:firstLine="720"/>
        <w:jc w:val="both"/>
        <w:rPr/>
      </w:pPr>
      <w:r>
        <w:rPr/>
        <w:t>“</w:t>
      </w:r>
      <w:r>
        <w:rPr>
          <w:rFonts w:ascii="Times New Roman;Times;serif" w:hAnsi="Times New Roman;Times;serif"/>
          <w:b/>
          <w:sz w:val="24"/>
        </w:rPr>
        <w:t>Australian Dollars</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b/>
          <w:sz w:val="24"/>
        </w:rPr>
        <w:t>A$</w:t>
      </w:r>
      <w:r>
        <w:rPr>
          <w:rFonts w:ascii="Times New Roman;Times;serif" w:hAnsi="Times New Roman;Times;serif"/>
          <w:sz w:val="20"/>
        </w:rPr>
        <w:t xml:space="preserve">” </w:t>
      </w:r>
      <w:r>
        <w:rPr>
          <w:rFonts w:ascii="Times New Roman;Times;serif" w:hAnsi="Times New Roman;Times;serif"/>
          <w:sz w:val="24"/>
        </w:rPr>
        <w:t>means lawful money of the Commonwealth of Australia.</w:t>
      </w:r>
    </w:p>
    <w:p>
      <w:pPr>
        <w:pStyle w:val="TextBody"/>
        <w:bidi w:val="0"/>
        <w:spacing w:before="0" w:after="240"/>
        <w:ind w:left="0" w:right="0" w:firstLine="720"/>
        <w:jc w:val="both"/>
        <w:rPr/>
      </w:pPr>
      <w:r>
        <w:rPr/>
        <w:t>“</w:t>
      </w:r>
      <w:r>
        <w:rPr>
          <w:rFonts w:ascii="Times New Roman;Times;serif" w:hAnsi="Times New Roman;Times;serif"/>
          <w:b/>
          <w:sz w:val="24"/>
        </w:rPr>
        <w:t>Australian GST</w:t>
      </w:r>
      <w:r>
        <w:rPr>
          <w:rFonts w:ascii="Times New Roman;Times;serif" w:hAnsi="Times New Roman;Times;serif"/>
          <w:sz w:val="20"/>
        </w:rPr>
        <w:t xml:space="preserve">” </w:t>
      </w:r>
      <w:r>
        <w:rPr>
          <w:rFonts w:ascii="Times New Roman;Times;serif" w:hAnsi="Times New Roman;Times;serif"/>
          <w:sz w:val="24"/>
        </w:rPr>
        <w:t>means goods and services tax or similar value added tax levied or imposed in Australia under the Australian GST Act.</w:t>
      </w:r>
    </w:p>
    <w:p>
      <w:pPr>
        <w:pStyle w:val="TextBody"/>
        <w:bidi w:val="0"/>
        <w:spacing w:before="0" w:after="240"/>
        <w:ind w:left="0" w:right="0" w:firstLine="720"/>
        <w:jc w:val="both"/>
        <w:rPr/>
      </w:pPr>
      <w:r>
        <w:rPr/>
        <w:t>“</w:t>
      </w:r>
      <w:r>
        <w:rPr>
          <w:rFonts w:ascii="Times New Roman;Times;serif" w:hAnsi="Times New Roman;Times;serif"/>
          <w:b/>
          <w:sz w:val="24"/>
        </w:rPr>
        <w:t>Australian GST Act</w:t>
      </w:r>
      <w:r>
        <w:rPr>
          <w:rFonts w:ascii="Times New Roman;Times;serif" w:hAnsi="Times New Roman;Times;serif"/>
          <w:sz w:val="20"/>
        </w:rPr>
        <w:t xml:space="preserve">” </w:t>
      </w:r>
      <w:r>
        <w:rPr>
          <w:rFonts w:ascii="Times New Roman;Times;serif" w:hAnsi="Times New Roman;Times;serif"/>
          <w:sz w:val="24"/>
        </w:rPr>
        <w:t>means the A New Tax System (Goods and Services Tax) Act 1999 (Cth) (Australia).</w:t>
      </w:r>
    </w:p>
    <w:p>
      <w:pPr>
        <w:pStyle w:val="TextBody"/>
        <w:bidi w:val="0"/>
        <w:spacing w:before="0" w:after="240"/>
        <w:ind w:left="0" w:right="0" w:firstLine="720"/>
        <w:jc w:val="both"/>
        <w:rPr/>
      </w:pPr>
      <w:r>
        <w:rPr/>
        <w:t>“</w:t>
      </w:r>
      <w:r>
        <w:rPr>
          <w:rFonts w:ascii="Times New Roman;Times;serif" w:hAnsi="Times New Roman;Times;serif"/>
          <w:b/>
          <w:sz w:val="24"/>
        </w:rPr>
        <w:t>Australian Loan Party</w:t>
      </w:r>
      <w:r>
        <w:rPr>
          <w:rFonts w:ascii="Times New Roman;Times;serif" w:hAnsi="Times New Roman;Times;serif"/>
          <w:sz w:val="20"/>
        </w:rPr>
        <w:t xml:space="preserve">” </w:t>
      </w:r>
      <w:r>
        <w:rPr>
          <w:rFonts w:ascii="Times New Roman;Times;serif" w:hAnsi="Times New Roman;Times;serif"/>
          <w:sz w:val="24"/>
        </w:rPr>
        <w:t>means a Loan Party that is incorporated in Australia.</w:t>
      </w:r>
    </w:p>
    <w:p>
      <w:pPr>
        <w:pStyle w:val="TextBody"/>
        <w:bidi w:val="0"/>
        <w:spacing w:before="0" w:after="240"/>
        <w:ind w:left="0" w:right="0" w:firstLine="720"/>
        <w:jc w:val="both"/>
        <w:rPr/>
      </w:pPr>
      <w:r>
        <w:rPr/>
        <w:t>“</w:t>
      </w:r>
      <w:r>
        <w:rPr>
          <w:rFonts w:ascii="Times New Roman;Times;serif" w:hAnsi="Times New Roman;Times;serif"/>
          <w:b/>
          <w:sz w:val="24"/>
        </w:rPr>
        <w:t>Australian PPS Law</w:t>
      </w:r>
      <w:r>
        <w:rPr>
          <w:rFonts w:ascii="Times New Roman;Times;serif" w:hAnsi="Times New Roman;Times;serif"/>
          <w:sz w:val="20"/>
        </w:rPr>
        <w:t xml:space="preserve">” </w:t>
      </w:r>
      <w:r>
        <w:rPr>
          <w:rFonts w:ascii="Times New Roman;Times;serif" w:hAnsi="Times New Roman;Times;serif"/>
          <w:sz w:val="24"/>
        </w:rPr>
        <w:t>means (a) the Australian PPSA, (b) any regulations made under the Australian PPSA, (c) any legislative instrument made under the Australian PPSA, (d) any amendment to any of the above, made at any time, or (e) any amendment made at any time to any other legislation as a consequence of an Australian PPS Law referred to in clauses (a) to (d).</w:t>
      </w:r>
    </w:p>
    <w:p>
      <w:pPr>
        <w:pStyle w:val="TextBody"/>
        <w:bidi w:val="0"/>
        <w:spacing w:before="0" w:after="240"/>
        <w:ind w:left="0" w:right="0" w:firstLine="720"/>
        <w:jc w:val="both"/>
        <w:rPr/>
      </w:pPr>
      <w:r>
        <w:rPr/>
        <w:t>“</w:t>
      </w:r>
      <w:r>
        <w:rPr>
          <w:rFonts w:ascii="Times New Roman;Times;serif" w:hAnsi="Times New Roman;Times;serif"/>
          <w:b/>
          <w:sz w:val="24"/>
        </w:rPr>
        <w:t>Australian PPSA</w:t>
      </w:r>
      <w:r>
        <w:rPr>
          <w:rFonts w:ascii="Times New Roman;Times;serif" w:hAnsi="Times New Roman;Times;serif"/>
          <w:sz w:val="20"/>
        </w:rPr>
        <w:t xml:space="preserve">” </w:t>
      </w:r>
      <w:r>
        <w:rPr>
          <w:rFonts w:ascii="Times New Roman;Times;serif" w:hAnsi="Times New Roman;Times;serif"/>
          <w:sz w:val="24"/>
        </w:rPr>
        <w:t>means the Personal Property Securities Act 2009 (Cth) (Australia).</w:t>
      </w:r>
    </w:p>
    <w:p>
      <w:pPr>
        <w:pStyle w:val="TextBody"/>
        <w:bidi w:val="0"/>
        <w:spacing w:before="0" w:after="240"/>
        <w:ind w:left="0" w:right="0" w:firstLine="720"/>
        <w:jc w:val="both"/>
        <w:rPr/>
      </w:pPr>
      <w:r>
        <w:rPr/>
        <w:t>“</w:t>
      </w:r>
      <w:r>
        <w:rPr>
          <w:rFonts w:ascii="Times New Roman;Times;serif" w:hAnsi="Times New Roman;Times;serif"/>
          <w:b/>
          <w:sz w:val="24"/>
        </w:rPr>
        <w:t>Australian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set forth in Section 4(b)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“Australia” which agreements shall be granted in accordance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the Agreed Security Principles, in each case as may be amended, restated, supplemented or otherwise modified from time to time, and any other security agreement, pledge agreement or similar document governed by Australian law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Australian Security Trust Deed</w:t>
      </w:r>
      <w:r>
        <w:rPr>
          <w:rFonts w:ascii="Times New Roman;Times;serif" w:hAnsi="Times New Roman;Times;serif"/>
          <w:sz w:val="20"/>
        </w:rPr>
        <w:t xml:space="preserve">” </w:t>
      </w:r>
      <w:r>
        <w:rPr>
          <w:rFonts w:ascii="Times New Roman;Times;serif" w:hAnsi="Times New Roman;Times;serif"/>
          <w:sz w:val="24"/>
        </w:rPr>
        <w:t>means the New South Wales law governed security trust deed, among Fluence Energy, LLC, each Australian Loan Party, the Administrative Agent and the Australian Security Trustee, as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4"/>
        </w:rPr>
        <w:t>Australian Security Trustee</w:t>
      </w:r>
      <w:r>
        <w:rPr>
          <w:rFonts w:ascii="Times New Roman;Times;serif" w:hAnsi="Times New Roman;Times;serif"/>
          <w:sz w:val="20"/>
        </w:rPr>
        <w:t xml:space="preserve">” </w:t>
      </w:r>
      <w:r>
        <w:rPr>
          <w:rFonts w:ascii="Times New Roman;Times;serif" w:hAnsi="Times New Roman;Times;serif"/>
          <w:sz w:val="24"/>
        </w:rPr>
        <w:t>means Citibank, N.A. (or any of its designated branch offices or affiliates), in its capacity as Australian security trustee for the Secured Parties, or any successor trustee of the Australian security trust.</w:t>
      </w:r>
    </w:p>
    <w:p>
      <w:pPr>
        <w:pStyle w:val="TextBody"/>
        <w:bidi w:val="0"/>
        <w:spacing w:before="0" w:after="240"/>
        <w:ind w:left="0" w:right="0" w:firstLine="720"/>
        <w:jc w:val="both"/>
        <w:rPr/>
      </w:pPr>
      <w:r>
        <w:rPr/>
        <w:t>“</w:t>
      </w:r>
      <w:r>
        <w:rPr>
          <w:rFonts w:ascii="Times New Roman;Times;serif" w:hAnsi="Times New Roman;Times;serif"/>
          <w:b/>
          <w:sz w:val="24"/>
        </w:rPr>
        <w:t>Australian</w:t>
      </w:r>
      <w:r>
        <w:rPr>
          <w:rFonts w:ascii="Times New Roman;Times;serif" w:hAnsi="Times New Roman;Times;serif"/>
          <w:sz w:val="20"/>
        </w:rPr>
        <w:t xml:space="preserve"> </w:t>
      </w:r>
      <w:r>
        <w:rPr>
          <w:rFonts w:ascii="Times New Roman;Times;serif" w:hAnsi="Times New Roman;Times;serif"/>
          <w:b/>
          <w:sz w:val="24"/>
        </w:rPr>
        <w:t>Subsidiary</w:t>
      </w:r>
      <w:r>
        <w:rPr>
          <w:rFonts w:ascii="Times New Roman;Times;serif" w:hAnsi="Times New Roman;Times;serif"/>
          <w:sz w:val="20"/>
        </w:rPr>
        <w:t xml:space="preserve">” </w:t>
      </w:r>
      <w:r>
        <w:rPr>
          <w:rFonts w:ascii="Times New Roman;Times;serif" w:hAnsi="Times New Roman;Times;serif"/>
          <w:sz w:val="24"/>
        </w:rPr>
        <w:t>means a Subsidiary of the Parent Borrower</w:t>
      </w:r>
      <w:r>
        <w:rPr>
          <w:rFonts w:ascii="Times New Roman;Times;serif" w:hAnsi="Times New Roman;Times;serif"/>
          <w:sz w:val="20"/>
        </w:rPr>
        <w:t xml:space="preserve"> </w:t>
      </w:r>
      <w:r>
        <w:rPr>
          <w:rFonts w:ascii="Times New Roman;Times;serif" w:hAnsi="Times New Roman;Times;serif"/>
          <w:sz w:val="24"/>
        </w:rPr>
        <w:t>that is incorporated in Australia.</w:t>
      </w:r>
    </w:p>
    <w:p>
      <w:pPr>
        <w:pStyle w:val="TextBody"/>
        <w:bidi w:val="0"/>
        <w:spacing w:before="0" w:after="240"/>
        <w:ind w:left="0" w:right="0" w:firstLine="720"/>
        <w:jc w:val="both"/>
        <w:rPr/>
      </w:pPr>
      <w:r>
        <w:rPr/>
        <w:t>“</w:t>
      </w:r>
      <w:r>
        <w:rPr>
          <w:rFonts w:ascii="Times New Roman;Times;serif" w:hAnsi="Times New Roman;Times;serif"/>
          <w:b/>
          <w:sz w:val="24"/>
        </w:rPr>
        <w:t>Australian Tax Act</w:t>
      </w:r>
      <w:r>
        <w:rPr>
          <w:rFonts w:ascii="Times New Roman;Times;serif" w:hAnsi="Times New Roman;Times;serif"/>
          <w:sz w:val="20"/>
        </w:rPr>
        <w:t xml:space="preserve">” </w:t>
      </w:r>
      <w:r>
        <w:rPr>
          <w:rFonts w:ascii="Times New Roman;Times;serif" w:hAnsi="Times New Roman;Times;serif"/>
          <w:sz w:val="24"/>
        </w:rPr>
        <w:t>means the Income Tax Assessment Act 1936 (Cth) (Australia) or the Income Tax Assessment Act 1997 (Cth) (Australia), as applicable.</w:t>
      </w:r>
    </w:p>
    <w:p>
      <w:pPr>
        <w:pStyle w:val="TextBody"/>
        <w:bidi w:val="0"/>
        <w:spacing w:before="0" w:after="240"/>
        <w:ind w:left="0" w:right="0" w:firstLine="720"/>
        <w:jc w:val="both"/>
        <w:rPr/>
      </w:pPr>
      <w:r>
        <w:rPr/>
        <w:t>“</w:t>
      </w:r>
      <w:r>
        <w:rPr>
          <w:rFonts w:ascii="Times New Roman;Times;serif" w:hAnsi="Times New Roman;Times;serif"/>
          <w:b/>
          <w:sz w:val="24"/>
        </w:rPr>
        <w:t>Australian Tax Funding Agreement</w:t>
      </w:r>
      <w:r>
        <w:rPr>
          <w:rFonts w:ascii="Times New Roman;Times;serif" w:hAnsi="Times New Roman;Times;serif"/>
          <w:sz w:val="20"/>
        </w:rPr>
        <w:t xml:space="preserve">” </w:t>
      </w:r>
      <w:r>
        <w:rPr>
          <w:rFonts w:ascii="Times New Roman;Times;serif" w:hAnsi="Times New Roman;Times;serif"/>
          <w:sz w:val="24"/>
        </w:rPr>
        <w:t>means any tax funding agreement for Australian tax consolidation purposes.</w:t>
      </w:r>
    </w:p>
    <w:p>
      <w:pPr>
        <w:pStyle w:val="TextBody"/>
        <w:bidi w:val="0"/>
        <w:spacing w:before="0" w:after="240"/>
        <w:ind w:left="0" w:right="0" w:firstLine="720"/>
        <w:jc w:val="both"/>
        <w:rPr/>
      </w:pPr>
      <w:r>
        <w:rPr/>
        <w:t>“</w:t>
      </w:r>
      <w:r>
        <w:rPr>
          <w:rFonts w:ascii="Times New Roman;Times;serif" w:hAnsi="Times New Roman;Times;serif"/>
          <w:b/>
          <w:sz w:val="24"/>
        </w:rPr>
        <w:t>Australian Tax Sharing Agreement</w:t>
      </w:r>
      <w:r>
        <w:rPr>
          <w:rFonts w:ascii="Times New Roman;Times;serif" w:hAnsi="Times New Roman;Times;serif"/>
          <w:sz w:val="20"/>
        </w:rPr>
        <w:t xml:space="preserve">” </w:t>
      </w:r>
      <w:r>
        <w:rPr>
          <w:rFonts w:ascii="Times New Roman;Times;serif" w:hAnsi="Times New Roman;Times;serif"/>
          <w:sz w:val="24"/>
        </w:rPr>
        <w:t>means any tax sharing agreement for Australian tax consolidation purposes that satisfies the requirements of section 721-25 of the Australian Tax Act for being a valid tax sharing agreement.</w:t>
      </w:r>
    </w:p>
    <w:p>
      <w:pPr>
        <w:pStyle w:val="TextBody"/>
        <w:bidi w:val="0"/>
        <w:spacing w:before="0" w:after="240"/>
        <w:ind w:left="0" w:right="0" w:firstLine="720"/>
        <w:jc w:val="both"/>
        <w:rPr/>
      </w:pPr>
      <w:r>
        <w:rPr/>
        <w:t>“</w:t>
      </w:r>
      <w:r>
        <w:rPr>
          <w:rFonts w:ascii="Times New Roman;Times;serif" w:hAnsi="Times New Roman;Times;serif"/>
          <w:b/>
          <w:sz w:val="24"/>
        </w:rPr>
        <w:t>Availability Period</w:t>
      </w:r>
      <w:r>
        <w:rPr>
          <w:rFonts w:ascii="Times New Roman;Times;serif" w:hAnsi="Times New Roman;Times;serif"/>
          <w:sz w:val="20"/>
        </w:rPr>
        <w:t xml:space="preserve">” </w:t>
      </w:r>
      <w:r>
        <w:rPr>
          <w:rFonts w:ascii="Times New Roman;Times;serif" w:hAnsi="Times New Roman;Times;serif"/>
          <w:sz w:val="24"/>
        </w:rPr>
        <w:t>means the period from and including the Amendment No. 3 Effective Date to but excluding the earlier of the Maturity Date and the date of termination of the Commitments.</w:t>
      </w:r>
    </w:p>
    <w:p>
      <w:pPr>
        <w:pStyle w:val="TextBody"/>
        <w:bidi w:val="0"/>
        <w:spacing w:before="0" w:after="240"/>
        <w:ind w:left="0" w:right="0" w:firstLine="720"/>
        <w:jc w:val="both"/>
        <w:rPr/>
      </w:pPr>
      <w:r>
        <w:rPr/>
        <w:t>“</w:t>
      </w:r>
      <w:r>
        <w:rPr>
          <w:rFonts w:ascii="Times New Roman;Times;serif" w:hAnsi="Times New Roman;Times;serif"/>
          <w:b/>
          <w:sz w:val="24"/>
        </w:rPr>
        <w:t>Available Equity Amount</w:t>
      </w:r>
      <w:r>
        <w:rPr>
          <w:rFonts w:ascii="Times New Roman;Times;serif" w:hAnsi="Times New Roman;Times;serif"/>
          <w:sz w:val="20"/>
        </w:rPr>
        <w:t xml:space="preserve">” </w:t>
      </w:r>
      <w:r>
        <w:rPr>
          <w:rFonts w:ascii="Times New Roman;Times;serif" w:hAnsi="Times New Roman;Times;serif"/>
          <w:sz w:val="24"/>
        </w:rPr>
        <w:t>means, at any time (the “</w:t>
      </w:r>
      <w:r>
        <w:rPr>
          <w:rFonts w:ascii="Times New Roman;Times;serif" w:hAnsi="Times New Roman;Times;serif"/>
          <w:b/>
          <w:sz w:val="24"/>
        </w:rPr>
        <w:t>Available Equity Amount Reference Time</w:t>
      </w:r>
      <w:r>
        <w:rPr>
          <w:rFonts w:ascii="Times New Roman;Times;serif" w:hAnsi="Times New Roman;Times;serif"/>
          <w:sz w:val="20"/>
        </w:rPr>
        <w:t>”</w:t>
      </w:r>
      <w:r>
        <w:rPr>
          <w:rFonts w:ascii="Times New Roman;Times;serif" w:hAnsi="Times New Roman;Times;serif"/>
          <w:sz w:val="24"/>
        </w:rPr>
        <w:t>), an amount equal to, without duplication, the sum of the following (but only to the extent Not Otherwise Applied): (a) the proceeds from issuances of Equity Interests (other than Disqualified Equity Interests) by the Parent after the Amendment No. 3 Effective Date that are received as cash equity by the Parent and contributed in cash as common equity to the Parent Borrower and that are applied for usage as Available Equity Amount substantially concurrently with receipt of such amounts, minus (b) the sum, without duplication, and, without taking into account the proposed portion of the Available Equity Amount calculated above to be used at the applicable Available Equity Amount Reference Time, of (i) the aggregate amount of any Investments made by any Loan Party or its Subsidiaries using the Available Equity Amount after the Amendment No. 3 Effective Date and prior to the Available Equity Amount Reference Time, (ii) the aggregate amount of any Restricted Payments made by the Loan Parties using the Available Equity Amount after the Amendment No. 3 Effective Date and prior to the Available Equity Amount Reference Time, and (iii) the aggregate amount of any Restricted Debt Payments made by any Loan Party or its Subsidiaries using the Available Equity Amount after the Amendment No. 3 Effective Date and prior to the Available Equity Amount Reference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Available Tenor</w:t>
      </w:r>
      <w:r>
        <w:rPr>
          <w:rFonts w:ascii="Times New Roman;Times;serif" w:hAnsi="Times New Roman;Times;serif"/>
          <w:sz w:val="20"/>
        </w:rPr>
        <w:t xml:space="preserve">” </w:t>
      </w:r>
      <w:r>
        <w:rPr>
          <w:rFonts w:ascii="Times New Roman;Times;serif" w:hAnsi="Times New Roman;Times;serif"/>
          <w:sz w:val="24"/>
        </w:rPr>
        <w:t xml:space="preserve">means, as of any date of determination and with respect to the then-current Benchmark for any Agreed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Times;serif" w:hAnsi="Times New Roman;Times;serif"/>
          <w:sz w:val="24"/>
          <w:u w:val="single"/>
        </w:rPr>
        <w:t>clause (f)</w:t>
      </w:r>
      <w:r>
        <w:rPr>
          <w:rFonts w:ascii="Times New Roman;Times;serif" w:hAnsi="Times New Roman;Times;serif"/>
          <w:sz w:val="20"/>
        </w:rPr>
        <w:t xml:space="preserve"> </w:t>
      </w:r>
      <w:r>
        <w:rPr>
          <w:rFonts w:ascii="Times New Roman;Times;serif" w:hAnsi="Times New Roman;Times;serif"/>
          <w:sz w:val="24"/>
        </w:rPr>
        <w:t xml:space="preserve">of </w:t>
      </w:r>
      <w:r>
        <w:rPr>
          <w:rFonts w:ascii="Times New Roman;Times;serif" w:hAnsi="Times New Roman;Times;serif"/>
          <w:sz w:val="24"/>
          <w:u w:val="single"/>
        </w:rPr>
        <w:t>Section 2.11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Bail-In Action</w:t>
      </w:r>
      <w:r>
        <w:rPr>
          <w:rFonts w:ascii="Times New Roman;Times;serif" w:hAnsi="Times New Roman;Times;serif"/>
          <w:sz w:val="20"/>
        </w:rPr>
        <w:t xml:space="preserve">” </w:t>
      </w:r>
      <w:r>
        <w:rPr>
          <w:rFonts w:ascii="Times New Roman;Times;serif" w:hAnsi="Times New Roman;Times;serif"/>
          <w:sz w:val="24"/>
        </w:rPr>
        <w:t>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New Roman;Times;serif" w:hAnsi="Times New Roman;Times;serif"/>
          <w:b/>
          <w:sz w:val="24"/>
        </w:rPr>
        <w:t>Bail-In Legislation</w:t>
      </w:r>
      <w:r>
        <w:rPr>
          <w:rFonts w:ascii="Times New Roman;Times;serif" w:hAnsi="Times New Roman;Times;serif"/>
          <w:sz w:val="20"/>
        </w:rPr>
        <w:t xml:space="preserve">” </w:t>
      </w:r>
      <w:r>
        <w:rPr>
          <w:rFonts w:ascii="Times New Roman;Times;serif" w:hAnsi="Times New Roman;Times;serif"/>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both"/>
        <w:rPr/>
      </w:pPr>
      <w:r>
        <w:rPr/>
        <w:t>“</w:t>
      </w:r>
      <w:r>
        <w:rPr>
          <w:rFonts w:ascii="Times New Roman;Times;serif" w:hAnsi="Times New Roman;Times;serif"/>
          <w:b/>
          <w:sz w:val="24"/>
        </w:rPr>
        <w:t>Bankruptcy Code</w:t>
      </w:r>
      <w:r>
        <w:rPr>
          <w:rFonts w:ascii="Times New Roman;Times;serif" w:hAnsi="Times New Roman;Times;serif"/>
          <w:sz w:val="20"/>
        </w:rPr>
        <w:t xml:space="preserve">” </w:t>
      </w:r>
      <w:r>
        <w:rPr>
          <w:rFonts w:ascii="Times New Roman;Times;serif" w:hAnsi="Times New Roman;Times;serif"/>
          <w:sz w:val="24"/>
        </w:rPr>
        <w:t>means Title 11 of the United States Code entitled “Bankruptcy”, as now and hereafter in effect, or any successor statute.</w:t>
      </w:r>
    </w:p>
    <w:p>
      <w:pPr>
        <w:pStyle w:val="TextBody"/>
        <w:bidi w:val="0"/>
        <w:spacing w:before="0" w:after="240"/>
        <w:ind w:left="0" w:right="0" w:firstLine="720"/>
        <w:jc w:val="both"/>
        <w:rPr/>
      </w:pPr>
      <w:r>
        <w:rPr/>
        <w:t>“</w:t>
      </w:r>
      <w:r>
        <w:rPr>
          <w:rFonts w:ascii="Times New Roman;Times;serif" w:hAnsi="Times New Roman;Times;serif"/>
          <w:b/>
          <w:sz w:val="24"/>
        </w:rPr>
        <w:t>Basel III</w:t>
      </w:r>
      <w:r>
        <w:rPr>
          <w:rFonts w:ascii="Times New Roman;Times;serif" w:hAnsi="Times New Roman;Times;serif"/>
          <w:sz w:val="20"/>
        </w:rPr>
        <w:t xml:space="preserve">” </w:t>
      </w:r>
      <w:r>
        <w:rPr>
          <w:rFonts w:ascii="Times New Roman;Times;serif" w:hAnsi="Times New Roman;Times;serif"/>
          <w:sz w:val="24"/>
        </w:rPr>
        <w:t>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pStyle w:val="TextBody"/>
        <w:bidi w:val="0"/>
        <w:spacing w:before="0" w:after="240"/>
        <w:ind w:left="0" w:right="0" w:firstLine="720"/>
        <w:jc w:val="both"/>
        <w:rPr/>
      </w:pPr>
      <w:r>
        <w:rPr/>
        <w:t>“</w:t>
      </w:r>
      <w:r>
        <w:rPr>
          <w:rFonts w:ascii="Times New Roman;Times;serif" w:hAnsi="Times New Roman;Times;serif"/>
          <w:b/>
          <w:sz w:val="24"/>
        </w:rPr>
        <w:t>Benchmark</w:t>
      </w:r>
      <w:r>
        <w:rPr>
          <w:rFonts w:ascii="Times New Roman;Times;serif" w:hAnsi="Times New Roman;Times;serif"/>
          <w:sz w:val="20"/>
        </w:rPr>
        <w:t xml:space="preserve">” </w:t>
      </w:r>
      <w:r>
        <w:rPr>
          <w:rFonts w:ascii="Times New Roman;Times;serif" w:hAnsi="Times New Roman;Times;serif"/>
          <w:sz w:val="24"/>
        </w:rPr>
        <w:t xml:space="preserve">means, initially, with respect to any (a) RFR Loan in any Agreed Currency, the applicable Relevant Rate for such Agreed Currency or (b) Term Benchmark Loan, the Relevant Rate for such Agreed Currency;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Times;serif" w:hAnsi="Times New Roman;Times;serif"/>
          <w:sz w:val="24"/>
          <w:u w:val="single"/>
        </w:rPr>
        <w:t>clause (b)</w:t>
      </w:r>
      <w:r>
        <w:rPr>
          <w:rFonts w:ascii="Times New Roman;Times;serif" w:hAnsi="Times New Roman;Times;serif"/>
          <w:sz w:val="20"/>
        </w:rPr>
        <w:t xml:space="preserve"> </w:t>
      </w:r>
      <w:r>
        <w:rPr>
          <w:rFonts w:ascii="Times New Roman;Times;serif" w:hAnsi="Times New Roman;Times;serif"/>
          <w:sz w:val="24"/>
        </w:rPr>
        <w:t xml:space="preserve">of </w:t>
      </w:r>
      <w:r>
        <w:rPr>
          <w:rFonts w:ascii="Times New Roman;Times;serif" w:hAnsi="Times New Roman;Times;serif"/>
          <w:sz w:val="24"/>
          <w:u w:val="single"/>
        </w:rPr>
        <w:t>Section 2.11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Benchmark Replacement</w:t>
      </w:r>
      <w:r>
        <w:rPr>
          <w:rFonts w:ascii="Times New Roman;Times;serif" w:hAnsi="Times New Roman;Times;serif"/>
          <w:sz w:val="20"/>
        </w:rPr>
        <w:t xml:space="preserve">” </w:t>
      </w:r>
      <w:r>
        <w:rPr>
          <w:rFonts w:ascii="Times New Roman;Times;serif" w:hAnsi="Times New Roman;Times;serif"/>
          <w:sz w:val="24"/>
        </w:rPr>
        <w:t xml:space="preserve">means, with respect to any Benchmark Transition Event, the first alternative set forth in the order below that can be determined by the Administrative Agent for the applicable Benchmark Replacement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 the case of any Loan denominated in an Alternative Currency, “Benchmark Replacement” means the alternative set forth in (2)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in the case of any Loan denominated in Dollars, Daily Simple SOFR;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New Roman;Times;serif" w:hAnsi="Times New Roman;Times;serif"/>
          <w:b/>
          <w:sz w:val="24"/>
        </w:rPr>
        <w:t>Benchmark Replacement Adjustment</w:t>
      </w:r>
      <w:r>
        <w:rPr>
          <w:rFonts w:ascii="Times New Roman;Times;serif" w:hAnsi="Times New Roman;Times;serif"/>
          <w:sz w:val="20"/>
        </w:rPr>
        <w:t xml:space="preserve">” </w:t>
      </w:r>
      <w:r>
        <w:rPr>
          <w:rFonts w:ascii="Times New Roman;Times;serif" w:hAnsi="Times New Roman;Times;serif"/>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240"/>
        <w:ind w:left="0" w:right="0" w:firstLine="720"/>
        <w:jc w:val="both"/>
        <w:rPr/>
      </w:pPr>
      <w:r>
        <w:rPr/>
        <w:t>“</w:t>
      </w:r>
      <w:r>
        <w:rPr>
          <w:rFonts w:ascii="Times New Roman;Times;serif" w:hAnsi="Times New Roman;Times;serif"/>
          <w:b/>
          <w:sz w:val="24"/>
        </w:rPr>
        <w:t>Benchmark Replacement Conforming Changes</w:t>
      </w:r>
      <w:r>
        <w:rPr>
          <w:rFonts w:ascii="Times New Roman;Times;serif" w:hAnsi="Times New Roman;Times;serif"/>
          <w:sz w:val="20"/>
        </w:rPr>
        <w:t xml:space="preserve">” </w:t>
      </w:r>
      <w:r>
        <w:rPr>
          <w:rFonts w:ascii="Times New Roman;Times;serif" w:hAnsi="Times New Roman;Times;serif"/>
          <w:sz w:val="24"/>
        </w:rPr>
        <w:t>means, with respect to any Benchmark Replacement and/or Term Benchmark Loan,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and good faith discretion (and in consultation with the Borrower Representative) may be appropriate to reflect the adoption and implementation of such Benchmark Replacement and to permit the administration thereof by the Administrative Agent in a manner substantially consistent with market practice (or, if the Administrative Agent decides in its reasonable good faith discretion (and in consultation with the Borrower Representative) that adoption of any portion of such market practice is not administratively feasible or if the Administrative Agent determines in its reasonable good faith discretion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Benchmark Replacement Date</w:t>
      </w:r>
      <w:r>
        <w:rPr>
          <w:rFonts w:ascii="Times New Roman;Times;serif" w:hAnsi="Times New Roman;Times;serif"/>
          <w:sz w:val="20"/>
        </w:rPr>
        <w:t xml:space="preserve">” </w:t>
      </w:r>
      <w:r>
        <w:rPr>
          <w:rFonts w:ascii="Times New Roman;Times;serif" w:hAnsi="Times New Roman;Times;serif"/>
          <w:sz w:val="24"/>
        </w:rPr>
        <w:t>means, with respect to any Benchmark, the earliest to occur of the following events with respect to such then-current Benchmark: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Times;serif" w:hAnsi="Times New Roman;Times;serif"/>
          <w:sz w:val="24"/>
          <w:u w:val="single"/>
        </w:rPr>
        <w:t>provided</w:t>
      </w:r>
      <w:r>
        <w:rPr>
          <w:rFonts w:ascii="Times New Roman;Times;serif" w:hAnsi="Times New Roman;Times;serif"/>
          <w:sz w:val="24"/>
        </w:rPr>
        <w:t>,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b/>
          <w:sz w:val="24"/>
        </w:rPr>
        <w:t>Benchmark Transition Event</w:t>
      </w:r>
      <w:r>
        <w:rPr>
          <w:rFonts w:ascii="Times New Roman;Times;serif" w:hAnsi="Times New Roman;Times;serif"/>
          <w:sz w:val="20"/>
        </w:rPr>
        <w:t xml:space="preserve">” </w:t>
      </w:r>
      <w:r>
        <w:rPr>
          <w:rFonts w:ascii="Times New Roman;Times;serif" w:hAnsi="Times New Roman;Times;serif"/>
          <w:sz w:val="24"/>
        </w:rPr>
        <w:t>means, with respect to any Benchmark, the occurrence of one or more of the following events with respect to such then-current Benchmark:</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at the time of such statement or publication, there is no successor administrator that will continue to provide any Available Tenor of such Benchmark (or such component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indefinitely;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New Roman;Times;serif" w:hAnsi="Times New Roman;Times;serif"/>
          <w:b/>
          <w:sz w:val="24"/>
        </w:rPr>
        <w:t>Benchmark Unavailability Period</w:t>
      </w:r>
      <w:r>
        <w:rPr>
          <w:rFonts w:ascii="Times New Roman;Times;serif" w:hAnsi="Times New Roman;Times;serif"/>
          <w:sz w:val="20"/>
        </w:rPr>
        <w:t xml:space="preserve">” </w:t>
      </w:r>
      <w:r>
        <w:rPr>
          <w:rFonts w:ascii="Times New Roman;Times;serif" w:hAnsi="Times New Roman;Times;serif"/>
          <w:sz w:val="24"/>
        </w:rPr>
        <w:t xml:space="preserve">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Times;serif" w:hAnsi="Times New Roman;Times;serif"/>
          <w:sz w:val="24"/>
          <w:u w:val="single"/>
        </w:rPr>
        <w:t>Section 2.11(b)</w:t>
      </w:r>
      <w:r>
        <w:rPr>
          <w:rFonts w:ascii="Times New Roman;Times;serif" w:hAnsi="Times New Roman;Times;serif"/>
          <w:sz w:val="20"/>
        </w:rPr>
        <w:t xml:space="preserve"> </w:t>
      </w:r>
      <w:r>
        <w:rPr>
          <w:rFonts w:ascii="Times New Roman;Times;serif" w:hAnsi="Times New Roman;Times;serif"/>
          <w:sz w:val="24"/>
        </w:rPr>
        <w:t xml:space="preserve">and (y) ending at the time that a Benchmark Replacement has replaced such then-current Benchmark for all purposes hereunder and under any Loan Document in accordance with </w:t>
      </w:r>
      <w:r>
        <w:rPr>
          <w:rFonts w:ascii="Times New Roman;Times;serif" w:hAnsi="Times New Roman;Times;serif"/>
          <w:sz w:val="24"/>
          <w:u w:val="single"/>
        </w:rPr>
        <w:t>Section 2.11(b)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Beneficial Ownership Certification</w:t>
      </w:r>
      <w:r>
        <w:rPr>
          <w:rFonts w:ascii="Times New Roman;Times;serif" w:hAnsi="Times New Roman;Times;serif"/>
          <w:sz w:val="20"/>
        </w:rPr>
        <w:t xml:space="preserve">” </w:t>
      </w:r>
      <w:r>
        <w:rPr>
          <w:rFonts w:ascii="Times New Roman;Times;serif" w:hAnsi="Times New Roman;Times;serif"/>
          <w:sz w:val="24"/>
        </w:rPr>
        <w:t>means a certification regarding beneficial ownership or control as required by the Beneficial Ownership Regulation.</w:t>
      </w:r>
    </w:p>
    <w:p>
      <w:pPr>
        <w:pStyle w:val="TextBody"/>
        <w:bidi w:val="0"/>
        <w:spacing w:before="0" w:after="240"/>
        <w:ind w:left="0" w:right="0" w:firstLine="720"/>
        <w:jc w:val="both"/>
        <w:rPr/>
      </w:pPr>
      <w:r>
        <w:rPr/>
        <w:t>“</w:t>
      </w:r>
      <w:r>
        <w:rPr>
          <w:rFonts w:ascii="Times New Roman;Times;serif" w:hAnsi="Times New Roman;Times;serif"/>
          <w:b/>
          <w:sz w:val="24"/>
        </w:rPr>
        <w:t>Beneficial Ownership Regulation</w:t>
      </w:r>
      <w:r>
        <w:rPr>
          <w:rFonts w:ascii="Times New Roman;Times;serif" w:hAnsi="Times New Roman;Times;serif"/>
          <w:sz w:val="20"/>
        </w:rPr>
        <w:t xml:space="preserve">” </w:t>
      </w:r>
      <w:r>
        <w:rPr>
          <w:rFonts w:ascii="Times New Roman;Times;serif" w:hAnsi="Times New Roman;Times;serif"/>
          <w:sz w:val="24"/>
        </w:rPr>
        <w:t>means 31 C.F.R. § 1010.230.</w:t>
      </w:r>
    </w:p>
    <w:p>
      <w:pPr>
        <w:pStyle w:val="TextBody"/>
        <w:bidi w:val="0"/>
        <w:spacing w:before="0" w:after="240"/>
        <w:ind w:left="0" w:right="0" w:firstLine="720"/>
        <w:jc w:val="both"/>
        <w:rPr/>
      </w:pPr>
      <w:r>
        <w:rPr/>
        <w:t>“</w:t>
      </w:r>
      <w:r>
        <w:rPr>
          <w:rFonts w:ascii="Times New Roman;Times;serif" w:hAnsi="Times New Roman;Times;serif"/>
          <w:b/>
          <w:sz w:val="24"/>
        </w:rPr>
        <w:t>BHC Act Affiliate</w:t>
      </w:r>
      <w:r>
        <w:rPr>
          <w:rFonts w:ascii="Times New Roman;Times;serif" w:hAnsi="Times New Roman;Times;serif"/>
          <w:sz w:val="20"/>
        </w:rPr>
        <w:t xml:space="preserve">” </w:t>
      </w:r>
      <w:r>
        <w:rPr>
          <w:rFonts w:ascii="Times New Roman;Times;serif" w:hAnsi="Times New Roman;Times;serif"/>
          <w:sz w:val="24"/>
        </w:rPr>
        <w:t>of a party means an “affiliate” (as such term is defined under, and interpreted in accordance with, 12 U.S.C. 1841(k)) of such party.</w:t>
      </w:r>
    </w:p>
    <w:p>
      <w:pPr>
        <w:pStyle w:val="TextBody"/>
        <w:bidi w:val="0"/>
        <w:spacing w:before="0" w:after="240"/>
        <w:ind w:left="0" w:right="0" w:firstLine="720"/>
        <w:jc w:val="both"/>
        <w:rPr/>
      </w:pPr>
      <w:r>
        <w:rPr/>
        <w:t>“</w:t>
      </w:r>
      <w:r>
        <w:rPr>
          <w:rFonts w:ascii="Times New Roman;Times;serif" w:hAnsi="Times New Roman;Times;serif"/>
          <w:b/>
          <w:sz w:val="24"/>
        </w:rPr>
        <w:t>Board</w:t>
      </w:r>
      <w:r>
        <w:rPr>
          <w:rFonts w:ascii="Times New Roman;Times;serif" w:hAnsi="Times New Roman;Times;serif"/>
          <w:sz w:val="20"/>
        </w:rPr>
        <w:t xml:space="preserve">” </w:t>
      </w:r>
      <w:r>
        <w:rPr>
          <w:rFonts w:ascii="Times New Roman;Times;serif" w:hAnsi="Times New Roman;Times;serif"/>
          <w:sz w:val="24"/>
        </w:rPr>
        <w:t>means the Board of Governors of the Federal Reserve System of the United States of America.</w:t>
      </w:r>
    </w:p>
    <w:p>
      <w:pPr>
        <w:pStyle w:val="TextBody"/>
        <w:bidi w:val="0"/>
        <w:spacing w:before="0" w:after="240"/>
        <w:ind w:left="0" w:right="0" w:firstLine="720"/>
        <w:jc w:val="both"/>
        <w:rPr/>
      </w:pPr>
      <w:r>
        <w:rPr/>
        <w:t>“</w:t>
      </w:r>
      <w:r>
        <w:rPr>
          <w:rFonts w:ascii="Times New Roman;Times;serif" w:hAnsi="Times New Roman;Times;serif"/>
          <w:b/>
          <w:sz w:val="24"/>
        </w:rPr>
        <w:t>Borrower Competitor</w:t>
      </w:r>
      <w:r>
        <w:rPr>
          <w:rFonts w:ascii="Times New Roman;Times;serif" w:hAnsi="Times New Roman;Times;serif"/>
          <w:sz w:val="20"/>
        </w:rPr>
        <w:t xml:space="preserve">” </w:t>
      </w:r>
      <w:r>
        <w:rPr>
          <w:rFonts w:ascii="Times New Roman;Times;serif" w:hAnsi="Times New Roman;Times;serif"/>
          <w:sz w:val="24"/>
        </w:rPr>
        <w:t>means any competitor of the Parent Borrower and/or any of its Subsidiaries.</w:t>
      </w:r>
    </w:p>
    <w:p>
      <w:pPr>
        <w:pStyle w:val="TextBody"/>
        <w:bidi w:val="0"/>
        <w:spacing w:before="0" w:after="240"/>
        <w:ind w:left="0" w:right="0" w:firstLine="720"/>
        <w:jc w:val="both"/>
        <w:rPr/>
      </w:pPr>
      <w:r>
        <w:rPr/>
        <w:t>“</w:t>
      </w:r>
      <w:r>
        <w:rPr>
          <w:rFonts w:ascii="Times New Roman;Times;serif" w:hAnsi="Times New Roman;Times;serif"/>
          <w:b/>
          <w:sz w:val="24"/>
        </w:rPr>
        <w:t>Borrower Representative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1.10</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Borrowers</w:t>
      </w:r>
      <w:r>
        <w:rPr>
          <w:rFonts w:ascii="Times New Roman;Times;serif" w:hAnsi="Times New Roman;Times;serif"/>
          <w:sz w:val="20"/>
        </w:rPr>
        <w:t xml:space="preserve">” </w:t>
      </w:r>
      <w:r>
        <w:rPr>
          <w:rFonts w:ascii="Times New Roman;Times;serif" w:hAnsi="Times New Roman;Times;serif"/>
          <w:sz w:val="24"/>
        </w:rPr>
        <w:t>has the meaning specified in the preamble to this Agreement.</w:t>
      </w:r>
    </w:p>
    <w:p>
      <w:pPr>
        <w:pStyle w:val="TextBody"/>
        <w:bidi w:val="0"/>
        <w:spacing w:before="0" w:after="240"/>
        <w:ind w:left="0" w:right="0" w:firstLine="720"/>
        <w:jc w:val="both"/>
        <w:rPr/>
      </w:pPr>
      <w:r>
        <w:rPr/>
        <w:t>“</w:t>
      </w:r>
      <w:r>
        <w:rPr>
          <w:rFonts w:ascii="Times New Roman;Times;serif" w:hAnsi="Times New Roman;Times;serif"/>
          <w:b/>
          <w:sz w:val="24"/>
        </w:rPr>
        <w:t>Borrowing</w:t>
      </w:r>
      <w:r>
        <w:rPr>
          <w:rFonts w:ascii="Times New Roman;Times;serif" w:hAnsi="Times New Roman;Times;serif"/>
          <w:sz w:val="20"/>
        </w:rPr>
        <w:t xml:space="preserve">” </w:t>
      </w:r>
      <w:r>
        <w:rPr>
          <w:rFonts w:ascii="Times New Roman;Times;serif" w:hAnsi="Times New Roman;Times;serif"/>
          <w:sz w:val="24"/>
        </w:rPr>
        <w:t>means (a) Revolving Loans of the same Type and Agreed Currency, made, converted or continued on the same date and, in the case of Term Benchmark Loans, as to which a single Interest Period is in effect or (b) a Protective Advance.</w:t>
      </w:r>
    </w:p>
    <w:p>
      <w:pPr>
        <w:pStyle w:val="TextBody"/>
        <w:bidi w:val="0"/>
        <w:spacing w:before="0" w:after="240"/>
        <w:ind w:left="0" w:right="0" w:firstLine="720"/>
        <w:jc w:val="both"/>
        <w:rPr/>
      </w:pPr>
      <w:r>
        <w:rPr/>
        <w:t>“</w:t>
      </w:r>
      <w:r>
        <w:rPr>
          <w:rFonts w:ascii="Times New Roman;Times;serif" w:hAnsi="Times New Roman;Times;serif"/>
          <w:b/>
          <w:sz w:val="24"/>
        </w:rPr>
        <w:t>Borrowing Limits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Borrowing Request</w:t>
      </w:r>
      <w:r>
        <w:rPr>
          <w:rFonts w:ascii="Times New Roman;Times;serif" w:hAnsi="Times New Roman;Times;serif"/>
          <w:sz w:val="20"/>
        </w:rPr>
        <w:t xml:space="preserve">” </w:t>
      </w:r>
      <w:r>
        <w:rPr>
          <w:rFonts w:ascii="Times New Roman;Times;serif" w:hAnsi="Times New Roman;Times;serif"/>
          <w:sz w:val="24"/>
        </w:rPr>
        <w:t xml:space="preserve">means a request by any Borrower for a Borrowing in accordance with </w:t>
      </w:r>
      <w:r>
        <w:rPr>
          <w:rFonts w:ascii="Times New Roman;Times;serif" w:hAnsi="Times New Roman;Times;serif"/>
          <w:sz w:val="24"/>
          <w:u w:val="single"/>
        </w:rPr>
        <w:t>Section 2.03</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Borrowing Sublimit</w:t>
      </w:r>
      <w:r>
        <w:rPr>
          <w:rFonts w:ascii="Times New Roman;Times;serif" w:hAnsi="Times New Roman;Times;serif"/>
          <w:sz w:val="20"/>
        </w:rPr>
        <w:t xml:space="preserve">” </w:t>
      </w:r>
      <w:r>
        <w:rPr>
          <w:rFonts w:ascii="Times New Roman;Times;serif" w:hAnsi="Times New Roman;Times;serif"/>
          <w:sz w:val="24"/>
        </w:rPr>
        <w:t xml:space="preserve">means, with respect to each Revolving Lender, the amount set forth on </w:t>
      </w:r>
      <w:r>
        <w:rPr>
          <w:rFonts w:ascii="Times New Roman;Times;serif" w:hAnsi="Times New Roman;Times;serif"/>
          <w:sz w:val="24"/>
          <w:u w:val="single"/>
        </w:rPr>
        <w:t>Schedule 2.01</w:t>
      </w:r>
      <w:r>
        <w:rPr>
          <w:rFonts w:ascii="Times New Roman;Times;serif" w:hAnsi="Times New Roman;Times;serif"/>
          <w:sz w:val="20"/>
        </w:rPr>
        <w:t xml:space="preserve"> </w:t>
      </w:r>
      <w:r>
        <w:rPr>
          <w:rFonts w:ascii="Times New Roman;Times;serif" w:hAnsi="Times New Roman;Times;serif"/>
          <w:sz w:val="24"/>
        </w:rPr>
        <w:t>opposite such Revolving Lender’s name under the caption “Borrowing Sublimit”.</w:t>
      </w:r>
    </w:p>
    <w:p>
      <w:pPr>
        <w:pStyle w:val="TextBody"/>
        <w:bidi w:val="0"/>
        <w:spacing w:before="0" w:after="240"/>
        <w:ind w:left="0" w:right="0" w:firstLine="720"/>
        <w:jc w:val="both"/>
        <w:rPr/>
      </w:pPr>
      <w:r>
        <w:rPr/>
        <w:t>“</w:t>
      </w:r>
      <w:r>
        <w:rPr>
          <w:rFonts w:ascii="Times New Roman;Times;serif" w:hAnsi="Times New Roman;Times;serif"/>
          <w:b/>
          <w:sz w:val="24"/>
        </w:rPr>
        <w:t>Business Day</w:t>
      </w:r>
      <w:r>
        <w:rPr>
          <w:rFonts w:ascii="Times New Roman;Times;serif" w:hAnsi="Times New Roman;Times;serif"/>
          <w:sz w:val="20"/>
        </w:rPr>
        <w:t xml:space="preserve">” </w:t>
      </w:r>
      <w:r>
        <w:rPr>
          <w:rFonts w:ascii="Times New Roman;Times;serif" w:hAnsi="Times New Roman;Times;serif"/>
          <w:sz w:val="24"/>
        </w:rPr>
        <w:t xml:space="preserve">means any day that is not a Saturday, Sunday or other day on which commercial banks in New York City are authorized or required by law to remain closed;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 when used in connection with a Term Benchmark Loan, the term “Business Day” shall also exclude any day on which banks are not open for dealings in Dollar deposits in the London interbank market, (b) when used in connection with any transaction in Euros and in relation to the calculation or computation of EURIBOR,</w:t>
      </w:r>
      <w:r>
        <w:rPr>
          <w:rFonts w:ascii="Times New Roman;Times;serif" w:hAnsi="Times New Roman;Times;serif"/>
          <w:sz w:val="20"/>
        </w:rPr>
        <w:t xml:space="preserve"> </w:t>
      </w:r>
      <w:r>
        <w:rPr>
          <w:rFonts w:ascii="Times New Roman;Times;serif" w:hAnsi="Times New Roman;Times;serif"/>
          <w:sz w:val="24"/>
        </w:rPr>
        <w:t>any day which is a TARGET Day, (c) in relation to any RFR Loans and any interest rate settings, fundings, disbursements, settlements or payments of any such RFR Loan, or any other dealings in the applicable Agreed Currency of such RFR Loan, any such day that is only an RFR Business Day, and (d) in relation to Loans referencing the Term SOFR Rate and any interest rate settings, fundings, disbursements, settlements or payments of any such Loans referencing the Term SOFR Rate or any other dealings of such Loans referencing the Term SOFR Rate, any such day that is a U.S. Government Securities Business Day.</w:t>
      </w:r>
    </w:p>
    <w:p>
      <w:pPr>
        <w:pStyle w:val="TextBody"/>
        <w:bidi w:val="0"/>
        <w:spacing w:before="0" w:after="240"/>
        <w:ind w:left="0" w:right="0" w:firstLine="720"/>
        <w:jc w:val="both"/>
        <w:rPr/>
      </w:pPr>
      <w:r>
        <w:rPr/>
        <w:t>“</w:t>
      </w:r>
      <w:r>
        <w:rPr>
          <w:rFonts w:ascii="Times New Roman;Times;serif" w:hAnsi="Times New Roman;Times;serif"/>
          <w:b/>
          <w:sz w:val="24"/>
        </w:rPr>
        <w:t>Canadian Defined Benefit Plan</w:t>
      </w:r>
      <w:r>
        <w:rPr>
          <w:rFonts w:ascii="Times New Roman;Times;serif" w:hAnsi="Times New Roman;Times;serif"/>
          <w:sz w:val="20"/>
        </w:rPr>
        <w:t xml:space="preserve">” </w:t>
      </w:r>
      <w:r>
        <w:rPr>
          <w:rFonts w:ascii="Times New Roman;Times;serif" w:hAnsi="Times New Roman;Times;serif"/>
          <w:sz w:val="24"/>
        </w:rPr>
        <w:t>means a Canadian Pension Plan which contains a “defined benefit provision,” as defined in subsection 147.1(1) of the Canadian Tax Act.</w:t>
      </w:r>
    </w:p>
    <w:p>
      <w:pPr>
        <w:pStyle w:val="TextBody"/>
        <w:bidi w:val="0"/>
        <w:spacing w:before="0" w:after="240"/>
        <w:ind w:left="0" w:right="0" w:firstLine="720"/>
        <w:jc w:val="both"/>
        <w:rPr/>
      </w:pPr>
      <w:r>
        <w:rPr/>
        <w:t>“</w:t>
      </w:r>
      <w:r>
        <w:rPr>
          <w:rFonts w:ascii="Times New Roman;Times;serif" w:hAnsi="Times New Roman;Times;serif"/>
          <w:b/>
          <w:sz w:val="24"/>
        </w:rPr>
        <w:t>Canadian Loan Party</w:t>
      </w:r>
      <w:r>
        <w:rPr>
          <w:rFonts w:ascii="Times New Roman;Times;serif" w:hAnsi="Times New Roman;Times;serif"/>
          <w:sz w:val="20"/>
        </w:rPr>
        <w:t xml:space="preserve">” </w:t>
      </w:r>
      <w:r>
        <w:rPr>
          <w:rFonts w:ascii="Times New Roman;Times;serif" w:hAnsi="Times New Roman;Times;serif"/>
          <w:sz w:val="24"/>
        </w:rPr>
        <w:t>means a Loan Party that is incorporated or organized under the laws of Canada or any province or territory thereof.</w:t>
      </w:r>
    </w:p>
    <w:p>
      <w:pPr>
        <w:pStyle w:val="TextBody"/>
        <w:bidi w:val="0"/>
        <w:spacing w:before="0" w:after="240"/>
        <w:ind w:left="0" w:right="0" w:firstLine="720"/>
        <w:jc w:val="both"/>
        <w:rPr/>
      </w:pPr>
      <w:r>
        <w:rPr/>
        <w:t>“</w:t>
      </w:r>
      <w:r>
        <w:rPr>
          <w:rFonts w:ascii="Times New Roman;Times;serif" w:hAnsi="Times New Roman;Times;serif"/>
          <w:b/>
          <w:sz w:val="24"/>
        </w:rPr>
        <w:t>Canadian Pension Event</w:t>
      </w:r>
      <w:r>
        <w:rPr>
          <w:rFonts w:ascii="Times New Roman;Times;serif" w:hAnsi="Times New Roman;Times;serif"/>
          <w:sz w:val="20"/>
        </w:rPr>
        <w:t xml:space="preserve">” </w:t>
      </w:r>
      <w:r>
        <w:rPr>
          <w:rFonts w:ascii="Times New Roman;Times;serif" w:hAnsi="Times New Roman;Times;serif"/>
          <w:sz w:val="24"/>
        </w:rPr>
        <w:t>means (a) the whole or partial withdrawal of a Loan Party from a Canadian Defined Benefit Plan during a plan year; or (b) the filing of a notice of intent to terminate in whole or in part a Canadian Defined Benefit Plan or the treatment of a Canadian Defined Benefit Plan amendment as a termination or partial termination; or (c) the institution of proceedings by any Governmental Authority to terminate in whole or in part or have a trustee appointed to administer a Canadian Defined Benefit Plan; (d) any statutory deemed trust or Lien, other than a Permitted Encumbrance, arises in connection with a Canadian Defined Benefit Plan; or (e) any other event which might reasonably result in the termination of, winding up or partial termination of winding up or the appointment of trustee to administer, any Canadian Defined Benefit Plan.</w:t>
      </w:r>
    </w:p>
    <w:p>
      <w:pPr>
        <w:pStyle w:val="TextBody"/>
        <w:bidi w:val="0"/>
        <w:spacing w:before="0" w:after="240"/>
        <w:ind w:left="0" w:right="0" w:firstLine="720"/>
        <w:jc w:val="both"/>
        <w:rPr/>
      </w:pPr>
      <w:r>
        <w:rPr/>
        <w:t>“</w:t>
      </w:r>
      <w:r>
        <w:rPr>
          <w:rFonts w:ascii="Times New Roman;Times;serif" w:hAnsi="Times New Roman;Times;serif"/>
          <w:b/>
          <w:sz w:val="24"/>
        </w:rPr>
        <w:t>Canadian Pension Plan</w:t>
      </w:r>
      <w:r>
        <w:rPr>
          <w:rFonts w:ascii="Times New Roman;Times;serif" w:hAnsi="Times New Roman;Times;serif"/>
          <w:sz w:val="20"/>
        </w:rPr>
        <w:t xml:space="preserve">” </w:t>
      </w:r>
      <w:r>
        <w:rPr>
          <w:rFonts w:ascii="Times New Roman;Times;serif" w:hAnsi="Times New Roman;Times;serif"/>
          <w:sz w:val="24"/>
        </w:rPr>
        <w:t>means a pension plan that is covered by the applicable pension standards laws of any jurisdiction in Canada including the Pension Benefits Act (Ontario) and the Tax Act and that is maintained or sponsored by a Loan Party for employees or former employees in Canada.</w:t>
      </w:r>
    </w:p>
    <w:p>
      <w:pPr>
        <w:pStyle w:val="TextBody"/>
        <w:bidi w:val="0"/>
        <w:spacing w:before="0" w:after="240"/>
        <w:ind w:left="0" w:right="0" w:firstLine="720"/>
        <w:jc w:val="both"/>
        <w:rPr/>
      </w:pPr>
      <w:r>
        <w:rPr/>
        <w:t>“</w:t>
      </w:r>
      <w:r>
        <w:rPr>
          <w:rFonts w:ascii="Times New Roman;Times;serif" w:hAnsi="Times New Roman;Times;serif"/>
          <w:b/>
          <w:sz w:val="24"/>
        </w:rPr>
        <w:t>Canadian PPSA</w:t>
      </w:r>
      <w:r>
        <w:rPr>
          <w:rFonts w:ascii="Times New Roman;Times;serif" w:hAnsi="Times New Roman;Times;serif"/>
          <w:sz w:val="20"/>
        </w:rPr>
        <w:t xml:space="preserve">” </w:t>
      </w:r>
      <w:r>
        <w:rPr>
          <w:rFonts w:ascii="Times New Roman;Times;serif" w:hAnsi="Times New Roman;Times;serif"/>
          <w:sz w:val="24"/>
        </w:rPr>
        <w:t>means the Personal Property Security Act (Ontario), including the regulations thereto, provided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w:t>
      </w:r>
      <w:r>
        <w:rPr>
          <w:rFonts w:ascii="Times New Roman;Times;serif" w:hAnsi="Times New Roman;Times;serif"/>
          <w:b/>
          <w:sz w:val="24"/>
        </w:rPr>
        <w:t>Canadian PPSA</w:t>
      </w:r>
      <w:r>
        <w:rPr>
          <w:rFonts w:ascii="Times New Roman;Times;serif" w:hAnsi="Times New Roman;Times;serif"/>
          <w:sz w:val="20"/>
        </w:rPr>
        <w:t xml:space="preserve">” </w:t>
      </w:r>
      <w:r>
        <w:rPr>
          <w:rFonts w:ascii="Times New Roman;Times;serif" w:hAnsi="Times New Roman;Times;serif"/>
          <w:sz w:val="24"/>
        </w:rPr>
        <w:t>means the Personal Property Security Act or such other applicable legislation (including the Civil Code (Quebec)) in effect from time to time in such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jurisdiction in Canada for purposes of the provisions hereof relating to such perfection, effect of perfection or non-perfection or priority.</w:t>
      </w:r>
    </w:p>
    <w:p>
      <w:pPr>
        <w:pStyle w:val="TextBody"/>
        <w:bidi w:val="0"/>
        <w:spacing w:before="0" w:after="240"/>
        <w:ind w:left="0" w:right="0" w:firstLine="720"/>
        <w:jc w:val="both"/>
        <w:rPr/>
      </w:pPr>
      <w:r>
        <w:rPr/>
        <w:t>“</w:t>
      </w:r>
      <w:r>
        <w:rPr>
          <w:rFonts w:ascii="Times New Roman;Times;serif" w:hAnsi="Times New Roman;Times;serif"/>
          <w:b/>
          <w:sz w:val="24"/>
        </w:rPr>
        <w:t>Canadian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deeds of hypothec or other security documents set forth in Section 4(c)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“Canada” which agreements shall be granted in accordance with the Agreed Security Principles, in each case as may be amended, restated, supplemented or otherwise modified from time to time, and any other security agreement, deed of hypothec, pledge agreement or similar document governed by Canadian law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Canadian Tax Act</w:t>
      </w:r>
      <w:r>
        <w:rPr>
          <w:rFonts w:ascii="Times New Roman;Times;serif" w:hAnsi="Times New Roman;Times;serif"/>
          <w:sz w:val="20"/>
        </w:rPr>
        <w:t xml:space="preserve">” </w:t>
      </w:r>
      <w:r>
        <w:rPr>
          <w:rFonts w:ascii="Times New Roman;Times;serif" w:hAnsi="Times New Roman;Times;serif"/>
          <w:sz w:val="24"/>
        </w:rPr>
        <w:t>means the Income Tax Act (Canada), as amended.</w:t>
      </w:r>
    </w:p>
    <w:p>
      <w:pPr>
        <w:pStyle w:val="TextBody"/>
        <w:bidi w:val="0"/>
        <w:spacing w:before="0" w:after="240"/>
        <w:ind w:left="0" w:right="0" w:firstLine="720"/>
        <w:jc w:val="both"/>
        <w:rPr/>
      </w:pPr>
      <w:r>
        <w:rPr/>
        <w:t>“</w:t>
      </w:r>
      <w:r>
        <w:rPr>
          <w:rFonts w:ascii="Times New Roman;Times;serif" w:hAnsi="Times New Roman;Times;serif"/>
          <w:b/>
          <w:sz w:val="24"/>
        </w:rPr>
        <w:t>Capital Impairment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Capital Lease Obligations</w:t>
      </w:r>
      <w:r>
        <w:rPr>
          <w:rFonts w:ascii="Times New Roman;Times;serif" w:hAnsi="Times New Roman;Times;serif"/>
          <w:sz w:val="20"/>
        </w:rPr>
        <w:t xml:space="preserve">” </w:t>
      </w:r>
      <w:r>
        <w:rPr>
          <w:rFonts w:ascii="Times New Roman;Times;serif" w:hAnsi="Times New Roman;Times;serif"/>
          <w:sz w:val="24"/>
        </w:rPr>
        <w:t xml:space="preserve">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for the avoidance of doubt, any obligations relating to a lease that was accounted for by such Person as an operating lease as of December 14, 2018 and any similar lease entered into after December 14, 2018 by such Person shall be accounted for as obligations relating to an operating lease and not as Capital Lease Obligations.</w:t>
      </w:r>
    </w:p>
    <w:p>
      <w:pPr>
        <w:pStyle w:val="TextBody"/>
        <w:bidi w:val="0"/>
        <w:spacing w:before="0" w:after="240"/>
        <w:ind w:left="0" w:right="0" w:firstLine="720"/>
        <w:jc w:val="both"/>
        <w:rPr/>
      </w:pPr>
      <w:r>
        <w:rPr/>
        <w:t>“</w:t>
      </w:r>
      <w:r>
        <w:rPr>
          <w:rFonts w:ascii="Times New Roman;Times;serif" w:hAnsi="Times New Roman;Times;serif"/>
          <w:b/>
          <w:sz w:val="24"/>
        </w:rPr>
        <w:t>Captive Insurance Company</w:t>
      </w:r>
      <w:r>
        <w:rPr>
          <w:rFonts w:ascii="Times New Roman;Times;serif" w:hAnsi="Times New Roman;Times;serif"/>
          <w:sz w:val="20"/>
        </w:rPr>
        <w:t xml:space="preserve">” </w:t>
      </w:r>
      <w:r>
        <w:rPr>
          <w:rFonts w:ascii="Times New Roman;Times;serif" w:hAnsi="Times New Roman;Times;serif"/>
          <w:sz w:val="24"/>
        </w:rPr>
        <w:t>means each Subsidiary of the Parent Borrower formed from time to time that engages primarily in the business of insuring risks of the Parent Borrower and its Subsidiaries.</w:t>
      </w:r>
    </w:p>
    <w:p>
      <w:pPr>
        <w:pStyle w:val="TextBody"/>
        <w:bidi w:val="0"/>
        <w:spacing w:before="0" w:after="240"/>
        <w:ind w:left="0" w:right="0" w:firstLine="720"/>
        <w:jc w:val="both"/>
        <w:rPr/>
      </w:pPr>
      <w:r>
        <w:rPr/>
        <w:t>“</w:t>
      </w:r>
      <w:r>
        <w:rPr>
          <w:rFonts w:ascii="Times New Roman;Times;serif" w:hAnsi="Times New Roman;Times;serif"/>
          <w:b/>
          <w:sz w:val="24"/>
        </w:rPr>
        <w:t>Cash Collateralize</w:t>
      </w:r>
      <w:r>
        <w:rPr>
          <w:rFonts w:ascii="Times New Roman;Times;serif" w:hAnsi="Times New Roman;Times;serif"/>
          <w:sz w:val="20"/>
        </w:rPr>
        <w:t xml:space="preserve">” </w:t>
      </w:r>
      <w:r>
        <w:rPr>
          <w:rFonts w:ascii="Times New Roman;Times;serif" w:hAnsi="Times New Roman;Times;serif"/>
          <w:sz w:val="24"/>
        </w:rPr>
        <w:t>means, in respect of an Obligation, to provide and pledge (as a first priority perfected security interest) cash collateral in an amount of at least the Minimum Collateral Amount, at a location and pursuant to documentation in form and substance reasonably satisfactory to the Administrative Agent and the applicable Issuing Bank (and “</w:t>
      </w:r>
      <w:r>
        <w:rPr>
          <w:rFonts w:ascii="Times New Roman;Times;serif" w:hAnsi="Times New Roman;Times;serif"/>
          <w:b/>
          <w:sz w:val="24"/>
        </w:rPr>
        <w:t>Cash Collateralization</w:t>
      </w:r>
      <w:r>
        <w:rPr>
          <w:rFonts w:ascii="Times New Roman;Times;serif" w:hAnsi="Times New Roman;Times;serif"/>
          <w:sz w:val="20"/>
        </w:rPr>
        <w:t xml:space="preserve">” </w:t>
      </w:r>
      <w:r>
        <w:rPr>
          <w:rFonts w:ascii="Times New Roman;Times;serif" w:hAnsi="Times New Roman;Times;serif"/>
          <w:sz w:val="24"/>
        </w:rPr>
        <w:t>has a corresponding meaning). “</w:t>
      </w:r>
      <w:r>
        <w:rPr>
          <w:rFonts w:ascii="Times New Roman;Times;serif" w:hAnsi="Times New Roman;Times;serif"/>
          <w:b/>
          <w:sz w:val="24"/>
        </w:rPr>
        <w:t>Cash Collateral</w:t>
      </w:r>
      <w:r>
        <w:rPr>
          <w:rFonts w:ascii="Times New Roman;Times;serif" w:hAnsi="Times New Roman;Times;serif"/>
          <w:sz w:val="20"/>
        </w:rPr>
        <w:t xml:space="preserve">” </w:t>
      </w:r>
      <w:r>
        <w:rPr>
          <w:rFonts w:ascii="Times New Roman;Times;serif" w:hAnsi="Times New Roman;Times;serif"/>
          <w:sz w:val="24"/>
        </w:rPr>
        <w:t>shall have a meaning correlative to the foregoing and shall include the proceeds of such cash collateral and other credit support.</w:t>
      </w:r>
    </w:p>
    <w:p>
      <w:pPr>
        <w:pStyle w:val="TextBody"/>
        <w:bidi w:val="0"/>
        <w:spacing w:before="0" w:after="240"/>
        <w:ind w:left="0" w:right="0" w:firstLine="720"/>
        <w:jc w:val="both"/>
        <w:rPr/>
      </w:pPr>
      <w:r>
        <w:rPr/>
        <w:t>“</w:t>
      </w:r>
      <w:r>
        <w:rPr>
          <w:rFonts w:ascii="Times New Roman;Times;serif" w:hAnsi="Times New Roman;Times;serif"/>
          <w:b/>
          <w:sz w:val="24"/>
        </w:rPr>
        <w:t>Cash Equivalents</w:t>
      </w:r>
      <w:r>
        <w:rPr>
          <w:rFonts w:ascii="Times New Roman;Times;serif" w:hAnsi="Times New Roman;Times;serif"/>
          <w:sz w:val="20"/>
        </w:rPr>
        <w:t xml:space="preserve">” </w:t>
      </w:r>
      <w:r>
        <w:rPr>
          <w:rFonts w:ascii="Times New Roman;Times;serif" w:hAnsi="Times New Roman;Times;serif"/>
          <w:sz w:val="24"/>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direct obligations of, or obligations the principal of and interest on which are unconditionally guaranteed by, the United States of America (or by any agency thereof or issued by FNMA, FHLMC or FFCB), in each case maturing within one year from the date of acquisition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investments in commercial paper maturing within one (1) year from the date of acquisition thereof and (i) issued by any Lender or bank holding company owning any Lender or (ii) rated at least “A-2” or the equivalent thereof by S&amp;P or at least “P-2” or the equivalent thereof by Moody’s, respectively</w:t>
      </w:r>
      <w:r>
        <w:rPr>
          <w:rFonts w:ascii="Times New Roman;Times;serif" w:hAnsi="Times New Roman;Times;serif"/>
          <w:sz w:val="20"/>
        </w:rPr>
        <w:t xml:space="preserve"> </w:t>
      </w:r>
      <w:r>
        <w:rPr>
          <w:rFonts w:ascii="Times New Roman;Times;serif" w:hAnsi="Times New Roman;Times;serif"/>
          <w:sz w:val="24"/>
        </w:rPr>
        <w:t>(in each case, at the time of acquisition);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investments in certificates of deposit,</w:t>
      </w:r>
      <w:r>
        <w:rPr>
          <w:rFonts w:ascii="Times New Roman;Times;serif" w:hAnsi="Times New Roman;Times;serif"/>
          <w:sz w:val="20"/>
        </w:rPr>
        <w:t xml:space="preserve"> </w:t>
      </w:r>
      <w:r>
        <w:rPr>
          <w:rFonts w:ascii="Times New Roman;Times;serif" w:hAnsi="Times New Roman;Times;serif"/>
          <w:sz w:val="24"/>
        </w:rPr>
        <w:t>floating rate certificates of deposit,</w:t>
      </w:r>
      <w:r>
        <w:rPr>
          <w:rFonts w:ascii="Times New Roman;Times;serif" w:hAnsi="Times New Roman;Times;serif"/>
          <w:sz w:val="20"/>
        </w:rPr>
        <w:t xml:space="preserve"> </w:t>
      </w:r>
      <w:r>
        <w:rPr>
          <w:rFonts w:ascii="Times New Roman;Times;serif" w:hAnsi="Times New Roman;Times;serif"/>
          <w:sz w:val="24"/>
        </w:rPr>
        <w:t>bankers’ acceptances and time deposits</w:t>
      </w:r>
      <w:r>
        <w:rPr>
          <w:rFonts w:ascii="Times New Roman;Times;serif" w:hAnsi="Times New Roman;Times;serif"/>
          <w:sz w:val="20"/>
        </w:rPr>
        <w:t xml:space="preserve"> </w:t>
      </w:r>
      <w:r>
        <w:rPr>
          <w:rFonts w:ascii="Times New Roman;Times;serif" w:hAnsi="Times New Roman;Times;serif"/>
          <w:sz w:val="24"/>
        </w:rPr>
        <w:t>(including eurodollar deposits)</w:t>
      </w:r>
      <w:r>
        <w:rPr>
          <w:rFonts w:ascii="Times New Roman;Times;serif" w:hAnsi="Times New Roman;Times;serif"/>
          <w:sz w:val="20"/>
        </w:rPr>
        <w:t xml:space="preserve"> </w:t>
      </w:r>
      <w:r>
        <w:rPr>
          <w:rFonts w:ascii="Times New Roman;Times;serif" w:hAnsi="Times New Roman;Times;serif"/>
          <w:sz w:val="24"/>
        </w:rPr>
        <w:t>maturing within one (1) year from the date of acquisition thereof issued or guaranteed by or placed with, and money market deposit accounts issued or offered by</w:t>
      </w:r>
      <w:r>
        <w:rPr>
          <w:rFonts w:ascii="Times New Roman;Times;serif" w:hAnsi="Times New Roman;Times;serif"/>
          <w:sz w:val="20"/>
        </w:rPr>
        <w:t xml:space="preserve"> </w:t>
      </w:r>
      <w:r>
        <w:rPr>
          <w:rFonts w:ascii="Times New Roman;Times;serif" w:hAnsi="Times New Roman;Times;serif"/>
          <w:sz w:val="24"/>
        </w:rPr>
        <w:t>(i)</w:t>
      </w:r>
      <w:r>
        <w:rPr>
          <w:rFonts w:ascii="Times New Roman;Times;serif" w:hAnsi="Times New Roman;Times;serif"/>
          <w:sz w:val="20"/>
        </w:rPr>
        <w:t xml:space="preserve"> </w:t>
      </w:r>
      <w:r>
        <w:rPr>
          <w:rFonts w:ascii="Times New Roman;Times;serif" w:hAnsi="Times New Roman;Times;serif"/>
          <w:sz w:val="24"/>
        </w:rPr>
        <w:t>any domestic office of any commercial bank organized under the laws of the United States of America or any State thereof which has a combined capital and surplus and undivided profits of not less than $100 million; or (ii) any Lender or bank holding company owning any Lender</w:t>
      </w:r>
      <w:r>
        <w:rPr>
          <w:rFonts w:ascii="Times New Roman;Times;serif" w:hAnsi="Times New Roman;Times;serif"/>
          <w:sz w:val="20"/>
        </w:rPr>
        <w:t xml:space="preserve"> </w:t>
      </w:r>
      <w:r>
        <w:rPr>
          <w:rFonts w:ascii="Times New Roman;Times;serif" w:hAnsi="Times New Roman;Times;serif"/>
          <w:sz w:val="24"/>
        </w:rPr>
        <w:t>(in each case, at the time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fully collateralized repurchase agreements with a term of not more than 30 days for securities described in </w:t>
      </w:r>
      <w:r>
        <w:rPr>
          <w:rFonts w:ascii="Times New Roman;Times;serif" w:hAnsi="Times New Roman;Times;serif"/>
          <w:sz w:val="24"/>
          <w:u w:val="single"/>
        </w:rPr>
        <w:t>clause (a)</w:t>
      </w:r>
      <w:r>
        <w:rPr>
          <w:rFonts w:ascii="Times New Roman;Times;serif" w:hAnsi="Times New Roman;Times;serif"/>
          <w:sz w:val="20"/>
        </w:rPr>
        <w:t xml:space="preserve"> </w:t>
      </w:r>
      <w:r>
        <w:rPr>
          <w:rFonts w:ascii="Times New Roman;Times;serif" w:hAnsi="Times New Roman;Times;serif"/>
          <w:sz w:val="24"/>
        </w:rPr>
        <w:t xml:space="preserve">above and entered into with a financial institution satisfying the criteria described in </w:t>
      </w:r>
      <w:r>
        <w:rPr>
          <w:rFonts w:ascii="Times New Roman;Times;serif" w:hAnsi="Times New Roman;Times;serif"/>
          <w:sz w:val="24"/>
          <w:u w:val="single"/>
        </w:rPr>
        <w:t>clause (c)</w:t>
      </w:r>
      <w:r>
        <w:rPr>
          <w:rFonts w:ascii="Times New Roman;Times;serif" w:hAnsi="Times New Roman;Times;serif"/>
          <w:sz w:val="20"/>
        </w:rPr>
        <w:t xml:space="preserve"> </w:t>
      </w:r>
      <w:r>
        <w:rPr>
          <w:rFonts w:ascii="Times New Roman;Times;serif" w:hAnsi="Times New Roman;Times;serif"/>
          <w:sz w:val="24"/>
        </w:rPr>
        <w:t>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money market funds that (i) comply with the criteria set forth in SEC</w:t>
      </w:r>
      <w:r>
        <w:rPr>
          <w:rFonts w:ascii="Times New Roman;Times;serif" w:hAnsi="Times New Roman;Times;serif"/>
          <w:sz w:val="20"/>
        </w:rPr>
        <w:t xml:space="preserve"> </w:t>
      </w:r>
      <w:r>
        <w:rPr>
          <w:rFonts w:ascii="Times New Roman;Times;serif" w:hAnsi="Times New Roman;Times;serif"/>
          <w:sz w:val="24"/>
        </w:rPr>
        <w:t>Rule 2a-7 under the Investment Company Act of 1940, (ii) are rated AAA by S&amp;P and Aaa by Moody’s and (iii) have portfolio assets of at least $5 billion;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securities with maturities of one year or less from the date of acquisition issued or fully guaranteed by any state, commonwealth or territory of the United States, or by any political subdivision or taxing authority thereof or by any foreign government, and rated at least “A” by S&amp;P or “A” by Moody’s (in each case, at the time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securities with maturities of six months or less from the date of acquisition backed by standby letters of credit issued by any Lender or any commercial bank satisfying the requirements of clause (c) above (in each case, at the time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corporate notes issued by domestic corporations that are rated at least “A” by S&amp;P or “A” by Moody’s, in each case maturing within one year from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auction rate securities including taxable municipals, taxable auction notes, and money market preferred; provided that the credit quality is consistent with clause (g) of this definition;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marketable direct obligations issued by any state of the United States or any political subdivision of any such state or any public instrumentality thereof maturing within one (1) year from the date of acquisition thereof and, at the time of acquisition, having one of the two highest ratings obtainable from either S&amp;P or Moody’s;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short term investments similar to the foregoing made by Foreign Subsidiaries of the Parent Borrower consistent with the Parent’s or the Parent Borrower’s investment guidelines</w:t>
      </w:r>
      <w:r>
        <w:rPr>
          <w:rFonts w:ascii="Times New Roman;Times;serif" w:hAnsi="Times New Roman;Times;serif"/>
          <w:sz w:val="20"/>
        </w:rPr>
        <w:t xml:space="preserve"> </w:t>
      </w:r>
      <w:r>
        <w:rPr>
          <w:rFonts w:ascii="Times New Roman;Times;serif" w:hAnsi="Times New Roman;Times;serif"/>
          <w:sz w:val="24"/>
        </w:rPr>
        <w:t>or</w:t>
      </w:r>
      <w:r>
        <w:rPr>
          <w:rFonts w:ascii="Times New Roman;Times;serif" w:hAnsi="Times New Roman;Times;serif"/>
          <w:sz w:val="20"/>
        </w:rPr>
        <w:t xml:space="preserve"> </w:t>
      </w:r>
      <w:r>
        <w:rPr>
          <w:rFonts w:ascii="Times New Roman;Times;serif" w:hAnsi="Times New Roman;Times;serif"/>
          <w:sz w:val="24"/>
        </w:rPr>
        <w:t>as approved from time to time by the Parent or the Parent Borrower’s, as applicable, board of directors</w:t>
      </w:r>
      <w:r>
        <w:rPr>
          <w:rFonts w:ascii="Times New Roman;Times;serif" w:hAnsi="Times New Roman;Times;serif"/>
          <w:sz w:val="20"/>
        </w:rPr>
        <w:t xml:space="preserve"> </w:t>
      </w:r>
      <w:r>
        <w:rPr>
          <w:rFonts w:ascii="Times New Roman;Times;serif" w:hAnsi="Times New Roman;Times;serif"/>
          <w:sz w:val="24"/>
        </w:rPr>
        <w:t>or governing body;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money market mutual funds that invest primarily in the foregoing items (determined at the time such investment in such fund is made);</w:t>
      </w:r>
      <w:r>
        <w:rPr>
          <w:rFonts w:ascii="Times New Roman;Times;serif" w:hAnsi="Times New Roman;Times;serif"/>
          <w:sz w:val="20"/>
        </w:rPr>
        <w:t xml:space="preserve"> </w:t>
      </w:r>
      <w:r>
        <w:rPr>
          <w:rFonts w:ascii="Times New Roman;Times;serif" w:hAnsi="Times New Roman;Times;serif"/>
          <w:sz w:val="24"/>
        </w:rPr>
        <w:t>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such other comparable investments as may be approved by the Administrative Agent from time to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Cash Pooling</w:t>
      </w:r>
      <w:r>
        <w:rPr>
          <w:rFonts w:ascii="Times New Roman;Times;serif" w:hAnsi="Times New Roman;Times;serif"/>
          <w:sz w:val="20"/>
        </w:rPr>
        <w:t xml:space="preserve"> </w:t>
      </w:r>
      <w:r>
        <w:rPr>
          <w:rFonts w:ascii="Times New Roman;Times;serif" w:hAnsi="Times New Roman;Times;serif"/>
          <w:b/>
          <w:sz w:val="24"/>
        </w:rPr>
        <w:t>Arrangements</w:t>
      </w:r>
      <w:r>
        <w:rPr>
          <w:rFonts w:ascii="Times New Roman;Times;serif" w:hAnsi="Times New Roman;Times;serif"/>
          <w:sz w:val="20"/>
        </w:rPr>
        <w:t xml:space="preserve">” </w:t>
      </w:r>
      <w:r>
        <w:rPr>
          <w:rFonts w:ascii="Times New Roman;Times;serif" w:hAnsi="Times New Roman;Times;serif"/>
          <w:sz w:val="24"/>
        </w:rPr>
        <w:t>means cash pooling arrangements entered into in the ordinary course of business among the Parent Borrower and its Subsidiaries to provide cash management services, including treasury depository, electronic funds transfer and other cash management arrangements, which arrangements are structured as loans to and/or from the Parent Borrower and its Subsidiaries.</w:t>
      </w:r>
    </w:p>
    <w:p>
      <w:pPr>
        <w:pStyle w:val="TextBody"/>
        <w:bidi w:val="0"/>
        <w:spacing w:before="0" w:after="240"/>
        <w:ind w:left="0" w:right="0" w:firstLine="720"/>
        <w:jc w:val="both"/>
        <w:rPr/>
      </w:pPr>
      <w:r>
        <w:rPr/>
        <w:t>“</w:t>
      </w:r>
      <w:r>
        <w:rPr>
          <w:rFonts w:ascii="Times New Roman;Times;serif" w:hAnsi="Times New Roman;Times;serif"/>
          <w:b/>
          <w:sz w:val="24"/>
        </w:rPr>
        <w:t>Central Bank Rate</w:t>
      </w:r>
      <w:r>
        <w:rPr>
          <w:rFonts w:ascii="Times New Roman;Times;serif" w:hAnsi="Times New Roman;Times;serif"/>
          <w:sz w:val="20"/>
        </w:rPr>
        <w:t xml:space="preserve">” </w:t>
      </w:r>
      <w:r>
        <w:rPr>
          <w:rFonts w:ascii="Times New Roman;Times;serif" w:hAnsi="Times New Roman;Times;serif"/>
          <w:sz w:val="24"/>
        </w:rPr>
        <w:t>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and (ii) the Floor; plus (B) the applicable Central Bank Rate Adjustment.</w:t>
      </w:r>
    </w:p>
    <w:p>
      <w:pPr>
        <w:pStyle w:val="TextBody"/>
        <w:bidi w:val="0"/>
        <w:spacing w:before="0" w:after="240"/>
        <w:ind w:left="0" w:right="0" w:firstLine="720"/>
        <w:jc w:val="both"/>
        <w:rPr/>
      </w:pPr>
      <w:r>
        <w:rPr/>
        <w:t>“</w:t>
      </w:r>
      <w:r>
        <w:rPr>
          <w:rFonts w:ascii="Times New Roman;Times;serif" w:hAnsi="Times New Roman;Times;serif"/>
          <w:b/>
          <w:sz w:val="24"/>
        </w:rPr>
        <w:t>Central Bank Rate Adjustment</w:t>
      </w:r>
      <w:r>
        <w:rPr>
          <w:rFonts w:ascii="Times New Roman;Times;serif" w:hAnsi="Times New Roman;Times;serif"/>
          <w:sz w:val="20"/>
        </w:rPr>
        <w:t xml:space="preserve">” </w:t>
      </w:r>
      <w:r>
        <w:rPr>
          <w:rFonts w:ascii="Times New Roman;Times;serif" w:hAnsi="Times New Roman;Times;serif"/>
          <w:sz w:val="24"/>
        </w:rPr>
        <w:t xml:space="preserve">means,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and (c) any other Alternative Currency, a Central Bank Rate Adjustment as determined by the Administrative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such rate shall be less than the Floor, such rate shall be deemed to be the Floor.</w:t>
      </w:r>
    </w:p>
    <w:p>
      <w:pPr>
        <w:pStyle w:val="TextBody"/>
        <w:bidi w:val="0"/>
        <w:spacing w:before="0" w:after="240"/>
        <w:ind w:left="0" w:right="0" w:firstLine="720"/>
        <w:jc w:val="both"/>
        <w:rPr/>
      </w:pPr>
      <w:r>
        <w:rPr/>
        <w:t>“</w:t>
      </w:r>
      <w:r>
        <w:rPr>
          <w:rFonts w:ascii="Times New Roman;Times;serif" w:hAnsi="Times New Roman;Times;serif"/>
          <w:b/>
          <w:sz w:val="24"/>
        </w:rPr>
        <w:t>Change in Control</w:t>
      </w:r>
      <w:r>
        <w:rPr>
          <w:rFonts w:ascii="Times New Roman;Times;serif" w:hAnsi="Times New Roman;Times;serif"/>
          <w:sz w:val="20"/>
        </w:rPr>
        <w:t xml:space="preserve">” </w:t>
      </w:r>
      <w:r>
        <w:rPr>
          <w:rFonts w:ascii="Times New Roman;Times;serif" w:hAnsi="Times New Roman;Times;serif"/>
          <w:sz w:val="24"/>
        </w:rPr>
        <w:t>means (a) the acquisition of ownership, directly or indirectly, beneficially or of record, by any Person or group (within the meaning of the Securities Exchange Act of 1934, as amended, and the rules of the SEC thereunder) (other than the Permitted Holders), of Equity Interests in each of the Parent and the Parent Borrower (i) representing more than 40% of the aggregate ordinary voting power represented by the issued and outstanding Equity Interests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 each of the Parent and the Parent Borrower and (ii) representing more of the aggregate ordinary voting power represented by the issued and outstanding Equity Interests in each of the Parent and the Parent Borrower than the aggregate ordinary voting power represented by the issued and outstanding Equity Interests in each of the Parent and the Parent Borrower that are owned, directly or indirectly, beneficially or of record, by the Permitted Holders, or (b) the Parent or any successor thereto in accordance with </w:t>
      </w:r>
      <w:r>
        <w:rPr>
          <w:rFonts w:ascii="Times New Roman;Times;serif" w:hAnsi="Times New Roman;Times;serif"/>
          <w:sz w:val="24"/>
          <w:u w:val="single"/>
        </w:rPr>
        <w:t>Section 6.12(d)</w:t>
      </w:r>
      <w:r>
        <w:rPr>
          <w:rFonts w:ascii="Times New Roman;Times;serif" w:hAnsi="Times New Roman;Times;serif"/>
          <w:sz w:val="20"/>
        </w:rPr>
        <w:t xml:space="preserve"> </w:t>
      </w:r>
      <w:r>
        <w:rPr>
          <w:rFonts w:ascii="Times New Roman;Times;serif" w:hAnsi="Times New Roman;Times;serif"/>
          <w:sz w:val="24"/>
        </w:rPr>
        <w:t>shall at any time cease to be the sole managing member of the Parent Borrower, or (c) the Parent Borrower shall at any time cease to directly or indirectly own 100% of the Equity Interests of each other Borrower and each Subsidiary Guarantor.</w:t>
      </w:r>
    </w:p>
    <w:p>
      <w:pPr>
        <w:pStyle w:val="TextBody"/>
        <w:bidi w:val="0"/>
        <w:spacing w:before="0" w:after="240"/>
        <w:ind w:left="0" w:right="0" w:firstLine="720"/>
        <w:jc w:val="both"/>
        <w:rPr/>
      </w:pPr>
      <w:r>
        <w:rPr/>
        <w:t>“</w:t>
      </w:r>
      <w:r>
        <w:rPr>
          <w:rFonts w:ascii="Times New Roman;Times;serif" w:hAnsi="Times New Roman;Times;serif"/>
          <w:b/>
          <w:sz w:val="24"/>
        </w:rPr>
        <w:t>Change in Law</w:t>
      </w:r>
      <w:r>
        <w:rPr>
          <w:rFonts w:ascii="Times New Roman;Times;serif" w:hAnsi="Times New Roman;Times;serif"/>
          <w:sz w:val="20"/>
        </w:rPr>
        <w:t xml:space="preserve">” </w:t>
      </w:r>
      <w:r>
        <w:rPr>
          <w:rFonts w:ascii="Times New Roman;Times;serif" w:hAnsi="Times New Roman;Times;serif"/>
          <w:sz w:val="24"/>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b/>
          <w:sz w:val="24"/>
        </w:rPr>
        <w:t>Charges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Citi Supplier Financing Agreement</w:t>
      </w:r>
      <w:r>
        <w:rPr>
          <w:rFonts w:ascii="Times New Roman;Times;serif" w:hAnsi="Times New Roman;Times;serif"/>
          <w:sz w:val="20"/>
        </w:rPr>
        <w:t xml:space="preserve">” </w:t>
      </w:r>
      <w:r>
        <w:rPr>
          <w:rFonts w:ascii="Times New Roman;Times;serif" w:hAnsi="Times New Roman;Times;serif"/>
          <w:sz w:val="24"/>
        </w:rPr>
        <w:t>means that certain Global Paying Services Agreement, dated as of July 22, 2021 between the Parent Borrower and Citibank, N.A., as it may be amended, restated, supplemented, replaced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4"/>
        </w:rPr>
        <w:t>CME Term SOFR Administrator</w:t>
      </w:r>
      <w:r>
        <w:rPr>
          <w:rFonts w:ascii="Times New Roman;Times;serif" w:hAnsi="Times New Roman;Times;serif"/>
          <w:sz w:val="20"/>
        </w:rPr>
        <w:t xml:space="preserve">” </w:t>
      </w:r>
      <w:r>
        <w:rPr>
          <w:rFonts w:ascii="Times New Roman;Times;serif" w:hAnsi="Times New Roman;Times;serif"/>
          <w:sz w:val="24"/>
        </w:rPr>
        <w:t>means CME Group Benchmark Administration Limited as administrator of the forward-looking term Secured Overnight Financing Rate (SOFR) (or a successor administrator).</w:t>
      </w:r>
    </w:p>
    <w:p>
      <w:pPr>
        <w:pStyle w:val="TextBody"/>
        <w:bidi w:val="0"/>
        <w:spacing w:before="0" w:after="240"/>
        <w:ind w:left="0" w:right="0" w:firstLine="720"/>
        <w:jc w:val="both"/>
        <w:rPr/>
      </w:pPr>
      <w:r>
        <w:rPr/>
        <w:t>“</w:t>
      </w:r>
      <w:r>
        <w:rPr>
          <w:rFonts w:ascii="Times New Roman;Times;serif" w:hAnsi="Times New Roman;Times;serif"/>
          <w:b/>
          <w:sz w:val="24"/>
        </w:rPr>
        <w:t>Code</w:t>
      </w:r>
      <w:r>
        <w:rPr>
          <w:rFonts w:ascii="Times New Roman;Times;serif" w:hAnsi="Times New Roman;Times;serif"/>
          <w:sz w:val="20"/>
        </w:rPr>
        <w:t xml:space="preserve">” </w:t>
      </w:r>
      <w:r>
        <w:rPr>
          <w:rFonts w:ascii="Times New Roman;Times;serif" w:hAnsi="Times New Roman;Times;serif"/>
          <w:sz w:val="24"/>
        </w:rPr>
        <w:t>means the U.S. Internal Revenue Code of 1986, as amended from time to time.</w:t>
      </w:r>
    </w:p>
    <w:p>
      <w:pPr>
        <w:pStyle w:val="TextBody"/>
        <w:bidi w:val="0"/>
        <w:spacing w:before="0" w:after="240"/>
        <w:ind w:left="0" w:right="0" w:firstLine="720"/>
        <w:jc w:val="both"/>
        <w:rPr/>
      </w:pPr>
      <w:r>
        <w:rPr/>
        <w:t>“</w:t>
      </w:r>
      <w:r>
        <w:rPr>
          <w:rFonts w:ascii="Times New Roman;Times;serif" w:hAnsi="Times New Roman;Times;serif"/>
          <w:b/>
          <w:sz w:val="24"/>
        </w:rPr>
        <w:t>Collateral</w:t>
      </w:r>
      <w:r>
        <w:rPr>
          <w:rFonts w:ascii="Times New Roman;Times;serif" w:hAnsi="Times New Roman;Times;serif"/>
          <w:sz w:val="20"/>
        </w:rPr>
        <w:t xml:space="preserve">” </w:t>
      </w:r>
      <w:r>
        <w:rPr>
          <w:rFonts w:ascii="Times New Roman;Times;serif" w:hAnsi="Times New Roman;Times;serif"/>
          <w:sz w:val="24"/>
        </w:rPr>
        <w:t xml:space="preserve">means all property and rights of the Loan Parties, now owned or hereafter acquired, upon which a Lien is purported to be created by any Security Document,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Collateral shall not include any Excluded Property.</w:t>
      </w:r>
    </w:p>
    <w:p>
      <w:pPr>
        <w:pStyle w:val="TextBody"/>
        <w:bidi w:val="0"/>
        <w:spacing w:before="0" w:after="240"/>
        <w:ind w:left="0" w:right="0" w:firstLine="720"/>
        <w:jc w:val="both"/>
        <w:rPr/>
      </w:pPr>
      <w:r>
        <w:rPr/>
        <w:t>“</w:t>
      </w:r>
      <w:r>
        <w:rPr>
          <w:rFonts w:ascii="Times New Roman;Times;serif" w:hAnsi="Times New Roman;Times;serif"/>
          <w:b/>
          <w:sz w:val="24"/>
        </w:rPr>
        <w:t>Collections</w:t>
      </w:r>
      <w:r>
        <w:rPr>
          <w:rFonts w:ascii="Times New Roman;Times;serif" w:hAnsi="Times New Roman;Times;serif"/>
          <w:sz w:val="20"/>
        </w:rPr>
        <w:t xml:space="preserve">” </w:t>
      </w:r>
      <w:r>
        <w:rPr>
          <w:rFonts w:ascii="Times New Roman;Times;serif" w:hAnsi="Times New Roman;Times;serif"/>
          <w:sz w:val="24"/>
        </w:rPr>
        <w:t>means, all cash, checks, notes, instruments, and other items of payment (including insurance proceeds, cash proceeds of asset sales, rental proceeds and tax refunds) except any of the foregoing of the type permitted to be held in Excluded Accounts.</w:t>
      </w:r>
    </w:p>
    <w:p>
      <w:pPr>
        <w:pStyle w:val="TextBody"/>
        <w:bidi w:val="0"/>
        <w:spacing w:before="0" w:after="240"/>
        <w:ind w:left="0" w:right="0" w:firstLine="720"/>
        <w:jc w:val="both"/>
        <w:rPr/>
      </w:pPr>
      <w:r>
        <w:rPr/>
        <w:t>“</w:t>
      </w:r>
      <w:r>
        <w:rPr>
          <w:rFonts w:ascii="Times New Roman;Times;serif" w:hAnsi="Times New Roman;Times;serif"/>
          <w:b/>
          <w:sz w:val="24"/>
        </w:rPr>
        <w:t>Commercial Letter of Credit</w:t>
      </w:r>
      <w:r>
        <w:rPr>
          <w:rFonts w:ascii="Times New Roman;Times;serif" w:hAnsi="Times New Roman;Times;serif"/>
          <w:sz w:val="20"/>
        </w:rPr>
        <w:t xml:space="preserve">” </w:t>
      </w:r>
      <w:r>
        <w:rPr>
          <w:rFonts w:ascii="Times New Roman;Times;serif" w:hAnsi="Times New Roman;Times;serif"/>
          <w:sz w:val="24"/>
        </w:rPr>
        <w:t>means any Letter of Credit issued for the purpose of providing the primary payment mechanism in connection with the purchase of any materials, goods or services by the Borrowers or any of their Subsidiaries in the ordinary course of business of such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Commitment</w:t>
      </w:r>
      <w:r>
        <w:rPr>
          <w:rFonts w:ascii="Times New Roman;Times;serif" w:hAnsi="Times New Roman;Times;serif"/>
          <w:sz w:val="20"/>
        </w:rPr>
        <w:t xml:space="preserve">” </w:t>
      </w:r>
      <w:r>
        <w:rPr>
          <w:rFonts w:ascii="Times New Roman;Times;serif" w:hAnsi="Times New Roman;Times;serif"/>
          <w:sz w:val="24"/>
        </w:rPr>
        <w:t xml:space="preserve">means, with respect to each Lender, the commitment of such Lender to make Revolving Loans and to acquire participations in Letters of Credit and Protective Advances hereunder, expressed as an amount representing the maximum aggregate amount of such Lender’s Revolving Credit Exposure hereunder, as such commitment may be (a) reduced from time to time pursuant to </w:t>
      </w:r>
      <w:r>
        <w:rPr>
          <w:rFonts w:ascii="Times New Roman;Times;serif" w:hAnsi="Times New Roman;Times;serif"/>
          <w:sz w:val="24"/>
          <w:u w:val="single"/>
        </w:rPr>
        <w:t>Section 2.06</w:t>
      </w:r>
      <w:r>
        <w:rPr>
          <w:rFonts w:ascii="Times New Roman;Times;serif" w:hAnsi="Times New Roman;Times;serif"/>
          <w:sz w:val="20"/>
        </w:rPr>
        <w:t xml:space="preserve"> </w:t>
      </w:r>
      <w:r>
        <w:rPr>
          <w:rFonts w:ascii="Times New Roman;Times;serif" w:hAnsi="Times New Roman;Times;serif"/>
          <w:sz w:val="24"/>
        </w:rPr>
        <w:t xml:space="preserve">and (b) reduced or increased from time to time pursuant to assignments by or to such Lender pursuant to </w:t>
      </w:r>
      <w:r>
        <w:rPr>
          <w:rFonts w:ascii="Times New Roman;Times;serif" w:hAnsi="Times New Roman;Times;serif"/>
          <w:sz w:val="24"/>
          <w:u w:val="single"/>
        </w:rPr>
        <w:t>Section 10.04</w:t>
      </w:r>
      <w:r>
        <w:rPr>
          <w:rFonts w:ascii="Times New Roman;Times;serif" w:hAnsi="Times New Roman;Times;serif"/>
          <w:sz w:val="24"/>
        </w:rPr>
        <w:t xml:space="preserve">. The initial amount of each Lender’s Commitment as of the Amendment No. 3 Effective Date is set forth on </w:t>
      </w:r>
      <w:r>
        <w:rPr>
          <w:rFonts w:ascii="Times New Roman;Times;serif" w:hAnsi="Times New Roman;Times;serif"/>
          <w:sz w:val="24"/>
          <w:u w:val="single"/>
        </w:rPr>
        <w:t>Schedule 2.01</w:t>
      </w:r>
      <w:r>
        <w:rPr>
          <w:rFonts w:ascii="Times New Roman;Times;serif" w:hAnsi="Times New Roman;Times;serif"/>
          <w:sz w:val="20"/>
        </w:rPr>
        <w:t xml:space="preserve"> </w:t>
      </w:r>
      <w:r>
        <w:rPr>
          <w:rFonts w:ascii="Times New Roman;Times;serif" w:hAnsi="Times New Roman;Times;serif"/>
          <w:sz w:val="24"/>
        </w:rPr>
        <w:t>opposite such Lender’s name under the caption “Commitment”. The initial aggregate amount of the Lenders’ Commitments as of the Amendment No. 3 Effective Date is $500,000,000.</w:t>
      </w:r>
    </w:p>
    <w:p>
      <w:pPr>
        <w:pStyle w:val="TextBody"/>
        <w:bidi w:val="0"/>
        <w:spacing w:before="0" w:after="240"/>
        <w:ind w:left="0" w:right="0" w:firstLine="720"/>
        <w:jc w:val="both"/>
        <w:rPr/>
      </w:pPr>
      <w:r>
        <w:rPr/>
        <w:t>“</w:t>
      </w:r>
      <w:r>
        <w:rPr>
          <w:rFonts w:ascii="Times New Roman;Times;serif" w:hAnsi="Times New Roman;Times;serif"/>
          <w:b/>
          <w:sz w:val="24"/>
        </w:rPr>
        <w:t>Commitment Fee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2.09(a)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Communications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Compliance Certificate</w:t>
      </w:r>
      <w:r>
        <w:rPr>
          <w:rFonts w:ascii="Times New Roman;Times;serif" w:hAnsi="Times New Roman;Times;serif"/>
          <w:sz w:val="20"/>
        </w:rPr>
        <w:t xml:space="preserve">” </w:t>
      </w:r>
      <w:r>
        <w:rPr>
          <w:rFonts w:ascii="Times New Roman;Times;serif" w:hAnsi="Times New Roman;Times;serif"/>
          <w:sz w:val="24"/>
        </w:rPr>
        <w:t>means a certificate duly executed by a Financial Officer of the Parent Borrower substantially in the form of Exhibit F.</w:t>
      </w:r>
    </w:p>
    <w:p>
      <w:pPr>
        <w:pStyle w:val="TextBody"/>
        <w:bidi w:val="0"/>
        <w:spacing w:before="0" w:after="240"/>
        <w:ind w:left="0" w:right="0" w:firstLine="720"/>
        <w:jc w:val="both"/>
        <w:rPr/>
      </w:pPr>
      <w:r>
        <w:rPr/>
        <w:t>“</w:t>
      </w:r>
      <w:r>
        <w:rPr>
          <w:rFonts w:ascii="Times New Roman;Times;serif" w:hAnsi="Times New Roman;Times;serif"/>
          <w:b/>
          <w:sz w:val="24"/>
        </w:rPr>
        <w:t>Connection Income Taxes</w:t>
      </w:r>
      <w:r>
        <w:rPr>
          <w:rFonts w:ascii="Times New Roman;Times;serif" w:hAnsi="Times New Roman;Times;serif"/>
          <w:sz w:val="20"/>
        </w:rPr>
        <w:t xml:space="preserve">” </w:t>
      </w:r>
      <w:r>
        <w:rPr>
          <w:rFonts w:ascii="Times New Roman;Times;serif" w:hAnsi="Times New Roman;Times;serif"/>
          <w:sz w:val="24"/>
        </w:rPr>
        <w:t>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t>“</w:t>
      </w:r>
      <w:r>
        <w:rPr>
          <w:rFonts w:ascii="Times New Roman;Times;serif" w:hAnsi="Times New Roman;Times;serif"/>
          <w:b/>
          <w:sz w:val="24"/>
        </w:rPr>
        <w:t>Consolidated EBITDA</w:t>
      </w:r>
      <w:r>
        <w:rPr>
          <w:rFonts w:ascii="Times New Roman;Times;serif" w:hAnsi="Times New Roman;Times;serif"/>
          <w:sz w:val="20"/>
        </w:rPr>
        <w:t xml:space="preserve">” </w:t>
      </w:r>
      <w:r>
        <w:rPr>
          <w:rFonts w:ascii="Times New Roman;Times;serif" w:hAnsi="Times New Roman;Times;serif"/>
          <w:sz w:val="24"/>
        </w:rPr>
        <w:t>means, for the Parent and its Subsidiaries on a consolidated basis in accordance with GAAP for any period, Consolidated Net Income adjusted (without duplication) for (a) interest income, net of interest expense, (b) income taxes, (c) depreciation and amortization expense, (d) stock-based compensation, and (e) other non-recurring income or expenses. Consolidated EBITDA may in the future also be adjusted for amounts impacting Consolidated Net Income related to liability under the Tax Receivable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purposes of this definition, whenever Pro Forma Effect is to be given to any event, the Pro Forma Effect calculations shall be made in good faith by a Financial Officer of the Parent Borrower.</w:t>
      </w:r>
    </w:p>
    <w:p>
      <w:pPr>
        <w:pStyle w:val="TextBody"/>
        <w:bidi w:val="0"/>
        <w:spacing w:before="0" w:after="240"/>
        <w:ind w:left="0" w:right="0" w:firstLine="720"/>
        <w:jc w:val="both"/>
        <w:rPr/>
      </w:pPr>
      <w:r>
        <w:rPr/>
        <w:t>“</w:t>
      </w:r>
      <w:r>
        <w:rPr>
          <w:rFonts w:ascii="Times New Roman;Times;serif" w:hAnsi="Times New Roman;Times;serif"/>
          <w:b/>
          <w:sz w:val="24"/>
        </w:rPr>
        <w:t>Consolidated Leverage Ratio</w:t>
      </w:r>
      <w:r>
        <w:rPr>
          <w:rFonts w:ascii="Times New Roman;Times;serif" w:hAnsi="Times New Roman;Times;serif"/>
          <w:sz w:val="20"/>
        </w:rPr>
        <w:t xml:space="preserve">” </w:t>
      </w:r>
      <w:r>
        <w:rPr>
          <w:rFonts w:ascii="Times New Roman;Times;serif" w:hAnsi="Times New Roman;Times;serif"/>
          <w:sz w:val="24"/>
        </w:rPr>
        <w:t>means, as of any date of determination, the ratio of (a) Net Debt for Borrowed Money of the Parent and its Subsidiaries as of such date to (b) Consolidated EBITDA of the Parent and its Subsidiaries for the applicable Measurement Period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Consolidated EBITDA for any applicable Measurement Period is $0 or negative, then Consolidated EBITDA shall be deemed to be $0.01 for purposes of determining the Consolidated Leverage Ratio for such Measurement Period).</w:t>
      </w:r>
    </w:p>
    <w:p>
      <w:pPr>
        <w:pStyle w:val="TextBody"/>
        <w:bidi w:val="0"/>
        <w:spacing w:before="0" w:after="240"/>
        <w:ind w:left="0" w:right="0" w:firstLine="720"/>
        <w:jc w:val="both"/>
        <w:rPr/>
      </w:pPr>
      <w:r>
        <w:rPr/>
        <w:t>“</w:t>
      </w:r>
      <w:r>
        <w:rPr>
          <w:rFonts w:ascii="Times New Roman;Times;serif" w:hAnsi="Times New Roman;Times;serif"/>
          <w:b/>
          <w:sz w:val="24"/>
        </w:rPr>
        <w:t>Consolidated Net Income</w:t>
      </w:r>
      <w:r>
        <w:rPr>
          <w:rFonts w:ascii="Times New Roman;Times;serif" w:hAnsi="Times New Roman;Times;serif"/>
          <w:sz w:val="20"/>
        </w:rPr>
        <w:t xml:space="preserve">” </w:t>
      </w:r>
      <w:r>
        <w:rPr>
          <w:rFonts w:ascii="Times New Roman;Times;serif" w:hAnsi="Times New Roman;Times;serif"/>
          <w:sz w:val="24"/>
        </w:rPr>
        <w:t>means, for the Parent and its Subsidiaries for any period, the net income of the Parent and its Subsidiaries, determined on a consolidated basis for such period in accordance with GAAP.</w:t>
      </w:r>
    </w:p>
    <w:p>
      <w:pPr>
        <w:pStyle w:val="TextBody"/>
        <w:bidi w:val="0"/>
        <w:spacing w:before="0" w:after="240"/>
        <w:ind w:left="0" w:right="0" w:firstLine="720"/>
        <w:jc w:val="both"/>
        <w:rPr/>
      </w:pPr>
      <w:r>
        <w:rPr/>
        <w:t>“</w:t>
      </w:r>
      <w:r>
        <w:rPr>
          <w:rFonts w:ascii="Times New Roman;Times;serif" w:hAnsi="Times New Roman;Times;serif"/>
          <w:b/>
          <w:sz w:val="24"/>
        </w:rPr>
        <w:t>Control</w:t>
      </w:r>
      <w:r>
        <w:rPr>
          <w:rFonts w:ascii="Times New Roman;Times;serif" w:hAnsi="Times New Roman;Times;serif"/>
          <w:sz w:val="20"/>
        </w:rPr>
        <w:t xml:space="preserve">” </w:t>
      </w:r>
      <w:r>
        <w:rPr>
          <w:rFonts w:ascii="Times New Roman;Times;serif" w:hAnsi="Times New Roman;Times;serif"/>
          <w:sz w:val="24"/>
        </w:rPr>
        <w:t>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sz w:val="24"/>
        </w:rPr>
        <w:t>Controlling</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b/>
          <w:sz w:val="24"/>
        </w:rPr>
        <w:t>Controlled</w:t>
      </w:r>
      <w:r>
        <w:rPr>
          <w:rFonts w:ascii="Times New Roman;Times;serif" w:hAnsi="Times New Roman;Times;serif"/>
          <w:sz w:val="20"/>
        </w:rPr>
        <w:t xml:space="preserve">” </w:t>
      </w:r>
      <w:r>
        <w:rPr>
          <w:rFonts w:ascii="Times New Roman;Times;serif" w:hAnsi="Times New Roman;Times;serif"/>
          <w:sz w:val="24"/>
        </w:rPr>
        <w:t>have meanings correlative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Control Agreement</w:t>
      </w:r>
      <w:r>
        <w:rPr>
          <w:rFonts w:ascii="Times New Roman;Times;serif" w:hAnsi="Times New Roman;Times;serif"/>
          <w:sz w:val="20"/>
        </w:rPr>
        <w:t xml:space="preserve">” </w:t>
      </w:r>
      <w:r>
        <w:rPr>
          <w:rFonts w:ascii="Times New Roman;Times;serif" w:hAnsi="Times New Roman;Times;serif"/>
          <w:sz w:val="24"/>
        </w:rPr>
        <w:t>means (a) in respect of any Deposit Account, Securities Account or other bank account located in the United States, a control agreement, in form and substance reasonably satisfactory to the Administrative Agent, executed and delivered by a Loan Party, the Administrative Agent, and the applicable securities intermediary (with respect to a Securities Account) or bank (with respect to a Deposit Account or other bank account), pursuant to which the Administrative Agent obtains control (within the meaning of Articles 8 and 9 of the applicable UCC) over such Deposit Account, Securities Account or other bank account, and (b) in respect of any Deposit Account, Securities Account or other bank account located outside of the United States, one or more agreements customary in the relevant foreign jurisdiction (including a notice of charge (or, as the case may be, a notice of assignment or pledge)), in form and substance reasonably satisfactory to the Administrative Agent, pursuant to which the Administrative Agent shall obtain a first priority perfected Lien in, or administrative control over, such account and the contents of such account with similar effect, which agreements shall be duly executed and delivered by such Loan Party to the account bank, depository institution or securities intermediary, as the case may be, with which such account is maintained and, in each case, duly executed and delivered by the relevant account bank, depository institution or securities intermediary (or, to the extent customary in the relevant jurisdiction, subject to an executed bank consent letter or acknowledgement of pledge).</w:t>
      </w:r>
    </w:p>
    <w:p>
      <w:pPr>
        <w:pStyle w:val="TextBody"/>
        <w:bidi w:val="0"/>
        <w:spacing w:before="0" w:after="240"/>
        <w:ind w:left="0" w:right="0" w:firstLine="720"/>
        <w:jc w:val="both"/>
        <w:rPr/>
      </w:pPr>
      <w:r>
        <w:rPr/>
        <w:t>“</w:t>
      </w:r>
      <w:r>
        <w:rPr>
          <w:rFonts w:ascii="Times New Roman;Times;serif" w:hAnsi="Times New Roman;Times;serif"/>
          <w:b/>
          <w:sz w:val="24"/>
        </w:rPr>
        <w:t>Controlled Account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Controlled Account Bank</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Copyrights</w:t>
      </w:r>
      <w:r>
        <w:rPr>
          <w:rFonts w:ascii="Times New Roman;Times;serif" w:hAnsi="Times New Roman;Times;serif"/>
          <w:sz w:val="20"/>
        </w:rPr>
        <w:t xml:space="preserve">” </w:t>
      </w:r>
      <w:r>
        <w:rPr>
          <w:rFonts w:ascii="Times New Roman;Times;serif" w:hAnsi="Times New Roman;Times;serif"/>
          <w:sz w:val="24"/>
        </w:rPr>
        <w:t>has the meaning specified in the applicable Security Document.</w:t>
      </w:r>
    </w:p>
    <w:p>
      <w:pPr>
        <w:pStyle w:val="TextBody"/>
        <w:bidi w:val="0"/>
        <w:spacing w:before="0" w:after="240"/>
        <w:ind w:left="0" w:right="0" w:firstLine="720"/>
        <w:jc w:val="both"/>
        <w:rPr/>
      </w:pPr>
      <w:r>
        <w:rPr/>
        <w:t>“</w:t>
      </w:r>
      <w:r>
        <w:rPr>
          <w:rFonts w:ascii="Times New Roman;Times;serif" w:hAnsi="Times New Roman;Times;serif"/>
          <w:b/>
          <w:sz w:val="24"/>
        </w:rPr>
        <w:t>Corresponding Debt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10.20(c)</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Corresponding Tenor</w:t>
      </w:r>
      <w:r>
        <w:rPr>
          <w:rFonts w:ascii="Times New Roman;Times;serif" w:hAnsi="Times New Roman;Times;serif"/>
          <w:sz w:val="20"/>
        </w:rPr>
        <w:t xml:space="preserve">” </w:t>
      </w:r>
      <w:r>
        <w:rPr>
          <w:rFonts w:ascii="Times New Roman;Times;serif" w:hAnsi="Times New Roman;Times;serif"/>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ind w:left="0" w:right="0" w:firstLine="720"/>
        <w:jc w:val="both"/>
        <w:rPr/>
      </w:pPr>
      <w:r>
        <w:rPr/>
        <w:t>“</w:t>
      </w:r>
      <w:r>
        <w:rPr>
          <w:rFonts w:ascii="Times New Roman;Times;serif" w:hAnsi="Times New Roman;Times;serif"/>
          <w:b/>
          <w:sz w:val="24"/>
        </w:rPr>
        <w:t>Covered Entity</w:t>
      </w:r>
      <w:r>
        <w:rPr>
          <w:rFonts w:ascii="Times New Roman;Times;serif" w:hAnsi="Times New Roman;Times;serif"/>
          <w:sz w:val="20"/>
        </w:rPr>
        <w:t xml:space="preserve">” </w:t>
      </w:r>
      <w:r>
        <w:rPr>
          <w:rFonts w:ascii="Times New Roman;Times;serif" w:hAnsi="Times New Roman;Times;serif"/>
          <w:sz w:val="24"/>
        </w:rPr>
        <w:t>means any of the following: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 “covered entity” as that term is defined in, and interpreted in accordance with, 12 C.F.R. § 252.82(b);</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 “covered bank” as that term is defined in, and interpreted in accordance with, 12 C.F.R. § 47.3(b);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 “covered FSI” as that term is defined in, and interpreted in accordance with, 12 C.F.R. § 382.2(b).</w:t>
      </w:r>
    </w:p>
    <w:p>
      <w:pPr>
        <w:pStyle w:val="TextBody"/>
        <w:bidi w:val="0"/>
        <w:spacing w:before="0" w:after="240"/>
        <w:ind w:left="0" w:right="0" w:firstLine="720"/>
        <w:jc w:val="both"/>
        <w:rPr/>
      </w:pPr>
      <w:r>
        <w:rPr/>
        <w:t>“</w:t>
      </w:r>
      <w:r>
        <w:rPr>
          <w:rFonts w:ascii="Times New Roman;Times;serif" w:hAnsi="Times New Roman;Times;serif"/>
          <w:b/>
          <w:sz w:val="24"/>
        </w:rPr>
        <w:t>Covered Jurisdiction</w:t>
      </w:r>
      <w:r>
        <w:rPr>
          <w:rFonts w:ascii="Times New Roman;Times;serif" w:hAnsi="Times New Roman;Times;serif"/>
          <w:sz w:val="20"/>
        </w:rPr>
        <w:t xml:space="preserve">” </w:t>
      </w:r>
      <w:r>
        <w:rPr>
          <w:rFonts w:ascii="Times New Roman;Times;serif" w:hAnsi="Times New Roman;Times;serif"/>
          <w:sz w:val="24"/>
        </w:rPr>
        <w:t>means the United States, Australia, Canada, Germany, The Netherlands, Ireland, the Philippines, Singapore, Switzerland, Taiwan, England and Wales or any other jurisdiction in which a Foreign Guarantor is incorporated or organized (or any state, territory or political sub-division of any of the foregoing).</w:t>
      </w:r>
    </w:p>
    <w:p>
      <w:pPr>
        <w:pStyle w:val="TextBody"/>
        <w:bidi w:val="0"/>
        <w:spacing w:before="0" w:after="240"/>
        <w:ind w:left="0" w:right="0" w:firstLine="720"/>
        <w:jc w:val="both"/>
        <w:rPr/>
      </w:pPr>
      <w:r>
        <w:rPr/>
        <w:t>“</w:t>
      </w:r>
      <w:r>
        <w:rPr>
          <w:rFonts w:ascii="Times New Roman;Times;serif" w:hAnsi="Times New Roman;Times;serif"/>
          <w:b/>
          <w:sz w:val="24"/>
        </w:rPr>
        <w:t>Covered Party</w:t>
      </w:r>
      <w:r>
        <w:rPr>
          <w:rFonts w:ascii="Times New Roman;Times;serif" w:hAnsi="Times New Roman;Times;serif"/>
          <w:sz w:val="20"/>
        </w:rPr>
        <w:t xml:space="preserve">” </w:t>
      </w:r>
      <w:r>
        <w:rPr>
          <w:rFonts w:ascii="Times New Roman;Times;serif" w:hAnsi="Times New Roman;Times;serif"/>
          <w:sz w:val="24"/>
        </w:rPr>
        <w:t>has the meaning specified</w:t>
      </w:r>
      <w:r>
        <w:rPr>
          <w:rFonts w:ascii="Times New Roman;Times;serif" w:hAnsi="Times New Roman;Times;serif"/>
          <w:sz w:val="20"/>
        </w:rPr>
        <w:t xml:space="preserve"> </w:t>
      </w:r>
      <w:r>
        <w:rPr>
          <w:rFonts w:ascii="Times New Roman;Times;serif" w:hAnsi="Times New Roman;Times;serif"/>
          <w:sz w:val="24"/>
        </w:rPr>
        <w:t xml:space="preserve">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Cure Amoun</w:t>
      </w:r>
      <w:r>
        <w:rPr>
          <w:rFonts w:ascii="Times New Roman;Times;serif" w:hAnsi="Times New Roman;Times;serif"/>
          <w:sz w:val="24"/>
        </w:rPr>
        <w:t xml:space="preserve">t” has the meaning specified in </w:t>
      </w:r>
      <w:r>
        <w:rPr>
          <w:rFonts w:ascii="Times New Roman;Times;serif" w:hAnsi="Times New Roman;Times;serif"/>
          <w:sz w:val="24"/>
          <w:u w:val="single"/>
        </w:rPr>
        <w:t>Section 7.02(a)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Cure Expiration Date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7.02(a)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Cure Quarter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7.02(e)</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Cure Right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7.02(a)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Daily Simple RFR</w:t>
      </w:r>
      <w:r>
        <w:rPr>
          <w:rFonts w:ascii="Times New Roman;Times;serif" w:hAnsi="Times New Roman;Times;serif"/>
          <w:sz w:val="20"/>
        </w:rPr>
        <w:t xml:space="preserve">” </w:t>
      </w:r>
      <w:r>
        <w:rPr>
          <w:rFonts w:ascii="Times New Roman;Times;serif" w:hAnsi="Times New Roman;Times;serif"/>
          <w:sz w:val="24"/>
        </w:rPr>
        <w:t>means, for any day (an “</w:t>
      </w:r>
      <w:r>
        <w:rPr>
          <w:rFonts w:ascii="Times New Roman;Times;serif" w:hAnsi="Times New Roman;Times;serif"/>
          <w:b/>
          <w:sz w:val="24"/>
        </w:rPr>
        <w:t>RFR Interest Day</w:t>
      </w:r>
      <w:r>
        <w:rPr>
          <w:rFonts w:ascii="Times New Roman;Times;serif" w:hAnsi="Times New Roman;Times;serif"/>
          <w:sz w:val="20"/>
        </w:rPr>
        <w:t>”</w:t>
      </w:r>
      <w:r>
        <w:rPr>
          <w:rFonts w:ascii="Times New Roman;Times;serif" w:hAnsi="Times New Roman;Times;serif"/>
          <w:sz w:val="24"/>
        </w:rPr>
        <w:t>), for any RFR Loan denominated in Sterling, an interest rate per annum equal to the greater of (a) SONIA for the day that is five Business Days prior to (x) if such RFR Interest Day is a Business Day, such RFR Interest Day or (y) if such RFR Interest Day is not a Business Day, the Business Day immediately preceding such RFR Interest Day and (b) 0.00%. Any change in Daily Simple RFR due to a change in the applicable RFR shall be effective from and including the effective date of such change in the RFR without notice to the Borrowers.</w:t>
      </w:r>
    </w:p>
    <w:p>
      <w:pPr>
        <w:pStyle w:val="TextBody"/>
        <w:bidi w:val="0"/>
        <w:spacing w:before="0" w:after="240"/>
        <w:ind w:left="0" w:right="0" w:firstLine="720"/>
        <w:jc w:val="both"/>
        <w:rPr/>
      </w:pPr>
      <w:r>
        <w:rPr/>
        <w:t>“</w:t>
      </w:r>
      <w:r>
        <w:rPr>
          <w:rFonts w:ascii="Times New Roman;Times;serif" w:hAnsi="Times New Roman;Times;serif"/>
          <w:b/>
          <w:sz w:val="24"/>
        </w:rPr>
        <w:t>Daily Simple SOFR</w:t>
      </w:r>
      <w:r>
        <w:rPr>
          <w:rFonts w:ascii="Times New Roman;Times;serif" w:hAnsi="Times New Roman;Times;serif"/>
          <w:sz w:val="20"/>
        </w:rPr>
        <w:t xml:space="preserve">” </w:t>
      </w:r>
      <w:r>
        <w:rPr>
          <w:rFonts w:ascii="Times New Roman;Times;serif" w:hAnsi="Times New Roman;Times;serif"/>
          <w:sz w:val="24"/>
        </w:rPr>
        <w:t>means, for any day (a “</w:t>
      </w:r>
      <w:r>
        <w:rPr>
          <w:rFonts w:ascii="Times New Roman;Times;serif" w:hAnsi="Times New Roman;Times;serif"/>
          <w:b/>
          <w:sz w:val="24"/>
        </w:rPr>
        <w:t>SOFR Rate Day</w:t>
      </w:r>
      <w:r>
        <w:rPr>
          <w:rFonts w:ascii="Times New Roman;Times;serif" w:hAnsi="Times New Roman;Times;serif"/>
          <w:sz w:val="20"/>
        </w:rPr>
        <w:t>”</w:t>
      </w:r>
      <w:r>
        <w:rPr>
          <w:rFonts w:ascii="Times New Roman;Times;serif" w:hAnsi="Times New Roman;Times;serif"/>
          <w:sz w:val="24"/>
        </w:rPr>
        <w:t>), a rate per annum equal to SOFR for the day (such day “</w:t>
      </w:r>
      <w:r>
        <w:rPr>
          <w:rFonts w:ascii="Times New Roman;Times;serif" w:hAnsi="Times New Roman;Times;serif"/>
          <w:b/>
          <w:sz w:val="24"/>
        </w:rPr>
        <w:t>SOFR Determination Date</w:t>
      </w:r>
      <w:r>
        <w:rPr>
          <w:rFonts w:ascii="Times New Roman;Times;serif" w:hAnsi="Times New Roman;Times;serif"/>
          <w:sz w:val="20"/>
        </w:rPr>
        <w:t>”</w:t>
      </w:r>
      <w:r>
        <w:rPr>
          <w:rFonts w:ascii="Times New Roman;Times;serif" w:hAnsi="Times New Roman;Times;serif"/>
          <w:sz w:val="24"/>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pStyle w:val="TextBody"/>
        <w:bidi w:val="0"/>
        <w:spacing w:before="0" w:after="240"/>
        <w:ind w:left="0" w:right="0" w:firstLine="720"/>
        <w:jc w:val="both"/>
        <w:rPr/>
      </w:pPr>
      <w:r>
        <w:rPr/>
        <w:t>“</w:t>
      </w:r>
      <w:r>
        <w:rPr>
          <w:rFonts w:ascii="Times New Roman;Times;serif" w:hAnsi="Times New Roman;Times;serif"/>
          <w:b/>
          <w:sz w:val="24"/>
        </w:rPr>
        <w:t>Debtor Relief Laws</w:t>
      </w:r>
      <w:r>
        <w:rPr>
          <w:rFonts w:ascii="Times New Roman;Times;serif" w:hAnsi="Times New Roman;Times;serif"/>
          <w:sz w:val="20"/>
        </w:rPr>
        <w:t xml:space="preserve">” </w:t>
      </w:r>
      <w:r>
        <w:rPr>
          <w:rFonts w:ascii="Times New Roman;Times;serif" w:hAnsi="Times New Roman;Times;serif"/>
          <w:sz w:val="24"/>
        </w:rPr>
        <w:t>means the Bankruptcy Code and all other liquidation, conservatorship, bankruptcy, assignment for the benefit of creditors, moratorium, rearrangement, receivership, administrative receivership, insolvency, examinership, rescue process, reorganization, judicial management or similar debtor relief Laws of the United States or any other applicable jurisdiction from time to time in effect, including, without limitation, the Bankruptcy Code and the Insolvency Act of 1986 of the United Kingdom, Chapter 5A of the Australian Corporations Act, the Bankruptcy and Insolvency Act (Canada), the Companies’ Creditors Arrangement Act (Canada), the Winding-up and Restructuring Act (Canada), the Canada Business Corporations Act (or any other Canadian corporate statute where such statute is used by a Person to propose an arrangement), the Insolvency, Restructuring and Dissolution Act 2018 of Singapore, the German Insolvency Code (</w:t>
      </w:r>
      <w:r>
        <w:rPr>
          <w:rFonts w:ascii="Times New Roman;Times;serif" w:hAnsi="Times New Roman;Times;serif"/>
          <w:i/>
          <w:sz w:val="24"/>
        </w:rPr>
        <w:t>Insolvenzordnung</w:t>
      </w:r>
      <w:r>
        <w:rPr>
          <w:rFonts w:ascii="Times New Roman;Times;serif" w:hAnsi="Times New Roman;Times;serif"/>
          <w:sz w:val="24"/>
        </w:rPr>
        <w:t>) and the German Act on the Stabilisation and Restructuring Framework for Businesses (</w:t>
      </w:r>
      <w:r>
        <w:rPr>
          <w:rFonts w:ascii="Times New Roman;Times;serif" w:hAnsi="Times New Roman;Times;serif"/>
          <w:i/>
          <w:sz w:val="24"/>
        </w:rPr>
        <w:t>Gesetz über den Stabilisierungs-und Restrukturierungsrahmen für Unternehmen (Unternehmensstabilisierungs- und -restrukturierungsgesetz - StaRUG)</w:t>
      </w:r>
      <w:r>
        <w:rPr>
          <w:rFonts w:ascii="Times New Roman;Times;serif" w:hAnsi="Times New Roman;Times;serif"/>
          <w:sz w:val="24"/>
        </w:rPr>
        <w:t>), Part 10 (</w:t>
      </w:r>
      <w:r>
        <w:rPr>
          <w:rFonts w:ascii="Times New Roman;Times;serif" w:hAnsi="Times New Roman;Times;serif"/>
          <w:i/>
          <w:sz w:val="24"/>
        </w:rPr>
        <w:t>Examinerships</w:t>
      </w:r>
      <w:r>
        <w:rPr>
          <w:rFonts w:ascii="Times New Roman;Times;serif" w:hAnsi="Times New Roman;Times;serif"/>
          <w:sz w:val="24"/>
        </w:rPr>
        <w:t>), Part 10(A) (</w:t>
      </w:r>
      <w:r>
        <w:rPr>
          <w:rFonts w:ascii="Times New Roman;Times;serif" w:hAnsi="Times New Roman;Times;serif"/>
          <w:i/>
          <w:sz w:val="24"/>
        </w:rPr>
        <w:t>Rescue Process for Small and Micro Companies</w:t>
      </w:r>
      <w:r>
        <w:rPr>
          <w:rFonts w:ascii="Times New Roman;Times;serif" w:hAnsi="Times New Roman;Times;serif"/>
          <w:sz w:val="24"/>
        </w:rPr>
        <w:t>), Part 11 (</w:t>
      </w:r>
      <w:r>
        <w:rPr>
          <w:rFonts w:ascii="Times New Roman;Times;serif" w:hAnsi="Times New Roman;Times;serif"/>
          <w:i/>
          <w:sz w:val="24"/>
        </w:rPr>
        <w:t>Winding-Up</w:t>
      </w:r>
      <w:r>
        <w:rPr>
          <w:rFonts w:ascii="Times New Roman;Times;serif" w:hAnsi="Times New Roman;Times;serif"/>
          <w:sz w:val="24"/>
        </w:rPr>
        <w:t>) of the Irish Companies Act and the Dutch Bankruptcy Act (</w:t>
      </w:r>
      <w:r>
        <w:rPr>
          <w:rFonts w:ascii="Times New Roman;Times;serif" w:hAnsi="Times New Roman;Times;serif"/>
          <w:i/>
          <w:sz w:val="24"/>
        </w:rPr>
        <w:t>Faillissementswet</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Deemed LC Issuance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2.19(l)</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Deemed LC Request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2.19(l)</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Deemed LC Termination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2.19(l)</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Default</w:t>
      </w:r>
      <w:r>
        <w:rPr>
          <w:rFonts w:ascii="Times New Roman;Times;serif" w:hAnsi="Times New Roman;Times;serif"/>
          <w:sz w:val="20"/>
        </w:rPr>
        <w:t xml:space="preserve">” </w:t>
      </w:r>
      <w:r>
        <w:rPr>
          <w:rFonts w:ascii="Times New Roman;Times;serif" w:hAnsi="Times New Roman;Times;serif"/>
          <w:sz w:val="24"/>
        </w:rPr>
        <w:t>means any event or condition which constitutes an Event of Default or which upon notice, lapse of time or both would, unless cured or waived, become an Event of Default.</w:t>
      </w:r>
    </w:p>
    <w:p>
      <w:pPr>
        <w:pStyle w:val="TextBody"/>
        <w:bidi w:val="0"/>
        <w:spacing w:before="0" w:after="240"/>
        <w:ind w:left="0" w:right="0" w:firstLine="720"/>
        <w:jc w:val="both"/>
        <w:rPr/>
      </w:pPr>
      <w:r>
        <w:rPr/>
        <w:t>“</w:t>
      </w:r>
      <w:r>
        <w:rPr>
          <w:rFonts w:ascii="Times New Roman;Times;serif" w:hAnsi="Times New Roman;Times;serif"/>
          <w:b/>
          <w:sz w:val="24"/>
        </w:rPr>
        <w:t>Default Right</w:t>
      </w:r>
      <w:r>
        <w:rPr>
          <w:rFonts w:ascii="Times New Roman;Times;serif" w:hAnsi="Times New Roman;Times;serif"/>
          <w:sz w:val="20"/>
        </w:rPr>
        <w:t xml:space="preserve">” </w:t>
      </w:r>
      <w:r>
        <w:rPr>
          <w:rFonts w:ascii="Times New Roman;Times;serif" w:hAnsi="Times New Roman;Times;serif"/>
          <w:sz w:val="24"/>
        </w:rPr>
        <w:t>has the meaning specified in, and shall be interpreted in accordance with, 12 C.F.R. §§ 252.81, 47.2 or 382.1, as applicable.</w:t>
      </w:r>
    </w:p>
    <w:p>
      <w:pPr>
        <w:pStyle w:val="TextBody"/>
        <w:bidi w:val="0"/>
        <w:spacing w:before="0" w:after="240"/>
        <w:ind w:left="0" w:right="0" w:firstLine="720"/>
        <w:jc w:val="both"/>
        <w:rPr/>
      </w:pPr>
      <w:r>
        <w:rPr/>
        <w:t>“</w:t>
      </w:r>
      <w:r>
        <w:rPr>
          <w:rFonts w:ascii="Times New Roman;Times;serif" w:hAnsi="Times New Roman;Times;serif"/>
          <w:b/>
          <w:sz w:val="24"/>
        </w:rPr>
        <w:t>Defaulting Lender</w:t>
      </w:r>
      <w:r>
        <w:rPr>
          <w:rFonts w:ascii="Times New Roman;Times;serif" w:hAnsi="Times New Roman;Times;serif"/>
          <w:sz w:val="20"/>
        </w:rPr>
        <w:t xml:space="preserve">” </w:t>
      </w:r>
      <w:r>
        <w:rPr>
          <w:rFonts w:ascii="Times New Roman;Times;serif" w:hAnsi="Times New Roman;Times;serif"/>
          <w:sz w:val="24"/>
        </w:rPr>
        <w:t xml:space="preserve">means, subject to </w:t>
      </w:r>
      <w:r>
        <w:rPr>
          <w:rFonts w:ascii="Times New Roman;Times;serif" w:hAnsi="Times New Roman;Times;serif"/>
          <w:sz w:val="24"/>
          <w:u w:val="single"/>
        </w:rPr>
        <w:t>Section 2.17(b)</w:t>
      </w:r>
      <w:r>
        <w:rPr>
          <w:rFonts w:ascii="Times New Roman;Times;serif" w:hAnsi="Times New Roman;Times;serif"/>
          <w:sz w:val="24"/>
        </w:rPr>
        <w:t xml:space="preserve">, any Lender that (a) has failed to (i) fund all or any portion of its Loans within two Business Days of the date such Loans were required to be funded hereunder, unless such Lender notifies the Administrative Agent and the Borrowers in writing that such failure is the result of such Lender’s good faith determination that one or more conditions precedent to such funding (each of which conditions precedent, together with any applicable default, shall be specifically identified in such writing) has not been satisfied, (ii) fund any portion of its participation in Letters of Credit or Protective Advances hereunder within two Business Days of the date when due or (iii) pay to the Administrative Agent, any Issuing Bank or any other Lender any other amount required to be paid by it hereunder within two Business Days of the date when due, (b) has notified the Borrowers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Borrowers, to confirm in writing to the Administrative Agent and the Borrowers that it will comply with its prospective funding obligations hereunder;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Lender shall cease to be a Defaulting Lender pursuant to this </w:t>
      </w:r>
      <w:r>
        <w:rPr>
          <w:rFonts w:ascii="Times New Roman;Times;serif" w:hAnsi="Times New Roman;Times;serif"/>
          <w:sz w:val="24"/>
          <w:u w:val="single"/>
        </w:rPr>
        <w:t>clause (c)</w:t>
      </w:r>
      <w:r>
        <w:rPr>
          <w:rFonts w:ascii="Times New Roman;Times;serif" w:hAnsi="Times New Roman;Times;serif"/>
          <w:sz w:val="20"/>
        </w:rPr>
        <w:t xml:space="preserve"> </w:t>
      </w:r>
      <w:r>
        <w:rPr>
          <w:rFonts w:ascii="Times New Roman;Times;serif" w:hAnsi="Times New Roman;Times;serif"/>
          <w:sz w:val="24"/>
        </w:rPr>
        <w:t xml:space="preserve">upon receipt of such written confirmation by the Administrative Agent and the Borrowers, (d) has, or has a direct or indirect parent company that has, (i) become the subject of a proceeding under any Debtor Relief Law, or (ii) had appointed for it a receiver, interim receiver, custodian, conservator, trustee, monitor, administrator, examiner,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(e) has become the subject of a Bail-In Action. Any determination by the Administrative Agent that a Lender is a Defaulting Lender under clauses (a) through (e) above shall be conclusive and binding absent manifest error, and such Lender shall be deemed to be a Defaulting Lender (subject to </w:t>
      </w:r>
      <w:r>
        <w:rPr>
          <w:rFonts w:ascii="Times New Roman;Times;serif" w:hAnsi="Times New Roman;Times;serif"/>
          <w:sz w:val="24"/>
          <w:u w:val="single"/>
        </w:rPr>
        <w:t>Section 2.17(b)</w:t>
      </w:r>
      <w:r>
        <w:rPr>
          <w:rFonts w:ascii="Times New Roman;Times;serif" w:hAnsi="Times New Roman;Times;serif"/>
          <w:sz w:val="24"/>
        </w:rPr>
        <w:t>) upon delivery of written notice of such determination to the Borrowers and each Lender.</w:t>
      </w:r>
    </w:p>
    <w:p>
      <w:pPr>
        <w:pStyle w:val="TextBody"/>
        <w:bidi w:val="0"/>
        <w:spacing w:before="0" w:after="240"/>
        <w:ind w:left="0" w:right="0" w:firstLine="720"/>
        <w:jc w:val="both"/>
        <w:rPr/>
      </w:pPr>
      <w:r>
        <w:rPr/>
        <w:t>“</w:t>
      </w:r>
      <w:r>
        <w:rPr>
          <w:rFonts w:ascii="Times New Roman;Times;serif" w:hAnsi="Times New Roman;Times;serif"/>
          <w:b/>
          <w:sz w:val="24"/>
        </w:rPr>
        <w:t>Deposit Account</w:t>
      </w:r>
      <w:r>
        <w:rPr>
          <w:rFonts w:ascii="Times New Roman;Times;serif" w:hAnsi="Times New Roman;Times;serif"/>
          <w:sz w:val="20"/>
        </w:rPr>
        <w:t xml:space="preserve">” </w:t>
      </w:r>
      <w:r>
        <w:rPr>
          <w:rFonts w:ascii="Times New Roman;Times;serif" w:hAnsi="Times New Roman;Times;serif"/>
          <w:sz w:val="24"/>
        </w:rPr>
        <w:t>has the meaning specified in the UCC or, with respect to Foreign Loan Parties, such comparable term as set forth in the applicable Security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Disposition</w:t>
      </w:r>
      <w:r>
        <w:rPr>
          <w:rFonts w:ascii="Times New Roman;Times;serif" w:hAnsi="Times New Roman;Times;serif"/>
          <w:sz w:val="20"/>
        </w:rPr>
        <w:t xml:space="preserve">” </w:t>
      </w:r>
      <w:r>
        <w:rPr>
          <w:rFonts w:ascii="Times New Roman;Times;serif" w:hAnsi="Times New Roman;Times;serif"/>
          <w:sz w:val="24"/>
        </w:rPr>
        <w:t>means, with respect to any property or right, any sale, lease, sale and leaseback, assignment, license, conveyance, transfer or other disposition thereof (in one transaction or in a series of transactions and whether effected pursuant to a Division or otherwise). “</w:t>
      </w:r>
      <w:r>
        <w:rPr>
          <w:rFonts w:ascii="Times New Roman;Times;serif" w:hAnsi="Times New Roman;Times;serif"/>
          <w:b/>
          <w:sz w:val="24"/>
        </w:rPr>
        <w:t>Dispose</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b/>
          <w:sz w:val="24"/>
        </w:rPr>
        <w:t>Disposed of</w:t>
      </w:r>
      <w:r>
        <w:rPr>
          <w:rFonts w:ascii="Times New Roman;Times;serif" w:hAnsi="Times New Roman;Times;serif"/>
          <w:sz w:val="20"/>
        </w:rPr>
        <w:t xml:space="preserve">” </w:t>
      </w:r>
      <w:r>
        <w:rPr>
          <w:rFonts w:ascii="Times New Roman;Times;serif" w:hAnsi="Times New Roman;Times;serif"/>
          <w:sz w:val="24"/>
        </w:rPr>
        <w:t>have meanings correlative thereto.</w:t>
      </w:r>
    </w:p>
    <w:p>
      <w:pPr>
        <w:pStyle w:val="TextBody"/>
        <w:bidi w:val="0"/>
        <w:spacing w:before="0" w:after="240"/>
        <w:ind w:left="0" w:right="0" w:firstLine="720"/>
        <w:jc w:val="both"/>
        <w:rPr/>
      </w:pPr>
      <w:r>
        <w:rPr/>
        <w:t>“</w:t>
      </w:r>
      <w:r>
        <w:rPr>
          <w:rFonts w:ascii="Times New Roman;Times;serif" w:hAnsi="Times New Roman;Times;serif"/>
          <w:b/>
          <w:sz w:val="24"/>
        </w:rPr>
        <w:t>Disqualified Equity Interests</w:t>
      </w:r>
      <w:r>
        <w:rPr>
          <w:rFonts w:ascii="Times New Roman;Times;serif" w:hAnsi="Times New Roman;Times;serif"/>
          <w:sz w:val="20"/>
        </w:rPr>
        <w:t xml:space="preserve">” </w:t>
      </w:r>
      <w:r>
        <w:rPr>
          <w:rFonts w:ascii="Times New Roman;Times;serif" w:hAnsi="Times New Roman;Times;serif"/>
          <w:sz w:val="24"/>
        </w:rPr>
        <w:t>means that portion of any Equity Interests which, by its terms (or by the terms of any security into which it is convertible or for which it is exchangeable at the option of the holder thereof), or upon the happening of any event (other than an event which would constitute a Change in Control or as a result of a Disposition of assets or casualty event), matures (excluding any maturity as the result of an optional redemption by the issuer thereof) or is mandatorily redeemable, pursuant to a sinking fund obligation or otherwise, or is redeemable at the sole option of the holder thereof (except, in each case, upon the occurrence of a Change in Control or as a result of a Disposition of assets or casualty event) on or prior to the six-month anniversary of the Maturity Date.</w:t>
      </w:r>
    </w:p>
    <w:p>
      <w:pPr>
        <w:pStyle w:val="TextBody"/>
        <w:bidi w:val="0"/>
        <w:spacing w:before="0" w:after="240"/>
        <w:ind w:left="0" w:right="0" w:firstLine="720"/>
        <w:jc w:val="both"/>
        <w:rPr/>
      </w:pPr>
      <w:r>
        <w:rPr/>
        <w:t>“</w:t>
      </w:r>
      <w:r>
        <w:rPr>
          <w:rFonts w:ascii="Times New Roman;Times;serif" w:hAnsi="Times New Roman;Times;serif"/>
          <w:b/>
          <w:sz w:val="24"/>
        </w:rPr>
        <w:t>Disqualified Lender</w:t>
      </w:r>
      <w:r>
        <w:rPr>
          <w:rFonts w:ascii="Times New Roman;Times;serif" w:hAnsi="Times New Roman;Times;serif"/>
          <w:sz w:val="20"/>
        </w:rPr>
        <w:t xml:space="preserve">” </w:t>
      </w:r>
      <w:r>
        <w:rPr>
          <w:rFonts w:ascii="Times New Roman;Times;serif" w:hAnsi="Times New Roman;Times;serif"/>
          <w:sz w:val="24"/>
        </w:rPr>
        <w:t>means (</w:t>
      </w:r>
      <w:r>
        <w:rPr>
          <w:rFonts w:ascii="Times New Roman;Times;serif" w:hAnsi="Times New Roman;Times;serif"/>
          <w:sz w:val="24"/>
          <w:u w:val="single"/>
        </w:rPr>
        <w:t>a</w:t>
      </w:r>
      <w:r>
        <w:rPr>
          <w:rFonts w:ascii="Times New Roman;Times;serif" w:hAnsi="Times New Roman;Times;serif"/>
          <w:sz w:val="24"/>
        </w:rPr>
        <w:t>) any Person identified in writing by name to the Arrangers prior to the Effective Date, (b) any Person that is or becomes a Borrower Competitor, and is designated by name by the Parent Borrower as such in a writing provided to the Administrative Agent after the Effective Date, and (</w:t>
      </w:r>
      <w:r>
        <w:rPr>
          <w:rFonts w:ascii="Times New Roman;Times;serif" w:hAnsi="Times New Roman;Times;serif"/>
          <w:sz w:val="24"/>
          <w:u w:val="single"/>
        </w:rPr>
        <w:t>c</w:t>
      </w:r>
      <w:r>
        <w:rPr>
          <w:rFonts w:ascii="Times New Roman;Times;serif" w:hAnsi="Times New Roman;Times;serif"/>
          <w:sz w:val="24"/>
        </w:rPr>
        <w:t xml:space="preserve">) any Affiliate of any Person referred to in </w:t>
      </w:r>
      <w:r>
        <w:rPr>
          <w:rFonts w:ascii="Times New Roman;Times;serif" w:hAnsi="Times New Roman;Times;serif"/>
          <w:sz w:val="24"/>
          <w:u w:val="single"/>
        </w:rPr>
        <w:t>clauses (a) and (b)</w:t>
      </w:r>
      <w:r>
        <w:rPr>
          <w:rFonts w:ascii="Times New Roman;Times;serif" w:hAnsi="Times New Roman;Times;serif"/>
          <w:sz w:val="20"/>
        </w:rPr>
        <w:t xml:space="preserve"> </w:t>
      </w:r>
      <w:r>
        <w:rPr>
          <w:rFonts w:ascii="Times New Roman;Times;serif" w:hAnsi="Times New Roman;Times;serif"/>
          <w:sz w:val="24"/>
        </w:rPr>
        <w:t xml:space="preserve">above that (i) has been identified to the Administrative Agent by the Parent Borrower in writing from time to time or (ii) otherwise is reasonably identifiable on the basis of its name;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 written notice delivered pursuant to </w:t>
      </w:r>
      <w:r>
        <w:rPr>
          <w:rFonts w:ascii="Times New Roman;Times;serif" w:hAnsi="Times New Roman;Times;serif"/>
          <w:sz w:val="24"/>
          <w:u w:val="single"/>
        </w:rPr>
        <w:t>clauses (b) and (c)</w:t>
      </w:r>
      <w:r>
        <w:rPr>
          <w:rFonts w:ascii="Times New Roman;Times;serif" w:hAnsi="Times New Roman;Times;serif"/>
          <w:sz w:val="20"/>
        </w:rPr>
        <w:t xml:space="preserve"> </w:t>
      </w:r>
      <w:r>
        <w:rPr>
          <w:rFonts w:ascii="Times New Roman;Times;serif" w:hAnsi="Times New Roman;Times;serif"/>
          <w:sz w:val="24"/>
        </w:rPr>
        <w:t>above shall (A) apply retroactively to disqualify any Person that has previously acquired an assignment or participation interest in any Loans or entered into a trade for either of the foregoing or (B) become effective until two Business Days after such written notice is delivered to the Administrative Agent.</w:t>
      </w:r>
    </w:p>
    <w:p>
      <w:pPr>
        <w:pStyle w:val="TextBody"/>
        <w:bidi w:val="0"/>
        <w:spacing w:before="0" w:after="240"/>
        <w:ind w:left="0" w:right="0" w:firstLine="720"/>
        <w:jc w:val="both"/>
        <w:rPr/>
      </w:pPr>
      <w:r>
        <w:rPr/>
        <w:t>“</w:t>
      </w:r>
      <w:r>
        <w:rPr>
          <w:rFonts w:ascii="Times New Roman;Times;serif" w:hAnsi="Times New Roman;Times;serif"/>
          <w:b/>
          <w:sz w:val="24"/>
        </w:rPr>
        <w:t>Dividing Person</w:t>
      </w:r>
      <w:r>
        <w:rPr>
          <w:rFonts w:ascii="Times New Roman;Times;serif" w:hAnsi="Times New Roman;Times;serif"/>
          <w:sz w:val="20"/>
        </w:rPr>
        <w:t xml:space="preserve">” </w:t>
      </w:r>
      <w:r>
        <w:rPr>
          <w:rFonts w:ascii="Times New Roman;Times;serif" w:hAnsi="Times New Roman;Times;serif"/>
          <w:sz w:val="24"/>
        </w:rPr>
        <w:t>has the meaning specified in the definition of “Division”.</w:t>
      </w:r>
    </w:p>
    <w:p>
      <w:pPr>
        <w:pStyle w:val="TextBody"/>
        <w:bidi w:val="0"/>
        <w:spacing w:before="0" w:after="240"/>
        <w:ind w:left="0" w:right="0" w:firstLine="720"/>
        <w:jc w:val="both"/>
        <w:rPr/>
      </w:pPr>
      <w:r>
        <w:rPr/>
        <w:t>“</w:t>
      </w:r>
      <w:r>
        <w:rPr>
          <w:rFonts w:ascii="Times New Roman;Times;serif" w:hAnsi="Times New Roman;Times;serif"/>
          <w:b/>
          <w:sz w:val="24"/>
        </w:rPr>
        <w:t>Division</w:t>
      </w:r>
      <w:r>
        <w:rPr>
          <w:rFonts w:ascii="Times New Roman;Times;serif" w:hAnsi="Times New Roman;Times;serif"/>
          <w:sz w:val="20"/>
        </w:rPr>
        <w:t xml:space="preserve">” </w:t>
      </w:r>
      <w:r>
        <w:rPr>
          <w:rFonts w:ascii="Times New Roman;Times;serif" w:hAnsi="Times New Roman;Times;serif"/>
          <w:sz w:val="24"/>
        </w:rPr>
        <w:t>means the division of the assets, liabilities and/or obligations of a Person (the “</w:t>
      </w:r>
      <w:r>
        <w:rPr>
          <w:rFonts w:ascii="Times New Roman;Times;serif" w:hAnsi="Times New Roman;Times;serif"/>
          <w:b/>
          <w:sz w:val="24"/>
        </w:rPr>
        <w:t>Dividing Person</w:t>
      </w:r>
      <w:r>
        <w:rPr>
          <w:rFonts w:ascii="Times New Roman;Times;serif" w:hAnsi="Times New Roman;Times;serif"/>
          <w:sz w:val="20"/>
        </w:rPr>
        <w:t>”</w:t>
      </w:r>
      <w:r>
        <w:rPr>
          <w:rFonts w:ascii="Times New Roman;Times;serif" w:hAnsi="Times New Roman;Times;serif"/>
          <w:sz w:val="24"/>
        </w:rPr>
        <w:t>) among two or more Persons (whether pursuant to a “plan of division” or similar arrangement), which may or may not include the Dividing Person and pursuant to which the Dividing Person may or may not survive.</w:t>
      </w:r>
    </w:p>
    <w:p>
      <w:pPr>
        <w:pStyle w:val="TextBody"/>
        <w:bidi w:val="0"/>
        <w:spacing w:before="0" w:after="240"/>
        <w:ind w:left="0" w:right="0" w:firstLine="720"/>
        <w:jc w:val="both"/>
        <w:rPr/>
      </w:pPr>
      <w:r>
        <w:rPr/>
        <w:t>“</w:t>
      </w:r>
      <w:r>
        <w:rPr>
          <w:rFonts w:ascii="Times New Roman;Times;serif" w:hAnsi="Times New Roman;Times;serif"/>
          <w:b/>
          <w:sz w:val="24"/>
        </w:rPr>
        <w:t>Documents</w:t>
      </w:r>
      <w:r>
        <w:rPr>
          <w:rFonts w:ascii="Times New Roman;Times;serif" w:hAnsi="Times New Roman;Times;serif"/>
          <w:sz w:val="20"/>
        </w:rPr>
        <w:t xml:space="preserve">” </w:t>
      </w:r>
      <w:r>
        <w:rPr>
          <w:rFonts w:ascii="Times New Roman;Times;serif" w:hAnsi="Times New Roman;Times;serif"/>
          <w:sz w:val="24"/>
        </w:rPr>
        <w:t>has the meaning specified in the UCC (and, for greater certainty, includes a “document of title” as defined in the Canadian PPSA or in section 10 of the Australian PPSA) or with respect to Foreign Loan Parties, such comparable term as set forth in the applicable Security Documents.</w:t>
      </w:r>
    </w:p>
    <w:p>
      <w:pPr>
        <w:pStyle w:val="TextBody"/>
        <w:bidi w:val="0"/>
        <w:spacing w:before="0" w:after="240"/>
        <w:ind w:left="0" w:right="0" w:firstLine="720"/>
        <w:jc w:val="both"/>
        <w:rPr/>
      </w:pPr>
      <w:r>
        <w:rPr/>
        <w:t>“</w:t>
      </w:r>
      <w:r>
        <w:rPr>
          <w:rFonts w:ascii="Times New Roman;Times;serif" w:hAnsi="Times New Roman;Times;serif"/>
          <w:b/>
          <w:sz w:val="24"/>
        </w:rPr>
        <w:t>Dollar Equivalent</w:t>
      </w:r>
      <w:r>
        <w:rPr>
          <w:rFonts w:ascii="Times New Roman;Times;serif" w:hAnsi="Times New Roman;Times;serif"/>
          <w:sz w:val="20"/>
        </w:rPr>
        <w:t xml:space="preserve">” </w:t>
      </w:r>
      <w:r>
        <w:rPr>
          <w:rFonts w:ascii="Times New Roman;Times;serif" w:hAnsi="Times New Roman;Times;serif"/>
          <w:sz w:val="24"/>
        </w:rPr>
        <w:t>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 the case of any such amount that is expressed in a currency other than Dollars, to the extent such amount is the subject of a currency hedge arrangement evidenced by a Swap Agreement, the “Dollar Equivalent” of such amount shall be the equivalent of such amount in Dollars determined by using the rate of exchange for the purchase of Dollars with such currency as set forth in such Swap Agreement.</w:t>
      </w:r>
    </w:p>
    <w:p>
      <w:pPr>
        <w:pStyle w:val="TextBody"/>
        <w:bidi w:val="0"/>
        <w:spacing w:before="0" w:after="240"/>
        <w:ind w:left="0" w:right="0" w:firstLine="720"/>
        <w:jc w:val="both"/>
        <w:rPr/>
      </w:pPr>
      <w:r>
        <w:rPr/>
        <w:t>“</w:t>
      </w:r>
      <w:r>
        <w:rPr>
          <w:rFonts w:ascii="Times New Roman;Times;serif" w:hAnsi="Times New Roman;Times;serif"/>
          <w:b/>
          <w:sz w:val="24"/>
        </w:rPr>
        <w:t>Dollars</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w:t>
      </w:r>
      <w:r>
        <w:rPr>
          <w:rFonts w:ascii="Times New Roman;Times;serif" w:hAnsi="Times New Roman;Times;serif"/>
          <w:sz w:val="20"/>
        </w:rPr>
        <w:t xml:space="preserve">” </w:t>
      </w:r>
      <w:r>
        <w:rPr>
          <w:rFonts w:ascii="Times New Roman;Times;serif" w:hAnsi="Times New Roman;Times;serif"/>
          <w:sz w:val="24"/>
        </w:rPr>
        <w:t>refers to lawful money of the United States of America.</w:t>
      </w:r>
    </w:p>
    <w:p>
      <w:pPr>
        <w:pStyle w:val="TextBody"/>
        <w:bidi w:val="0"/>
        <w:spacing w:before="0" w:after="240"/>
        <w:ind w:left="0" w:right="0" w:firstLine="720"/>
        <w:jc w:val="both"/>
        <w:rPr/>
      </w:pPr>
      <w:r>
        <w:rPr/>
        <w:t>“</w:t>
      </w:r>
      <w:r>
        <w:rPr>
          <w:rFonts w:ascii="Times New Roman;Times;serif" w:hAnsi="Times New Roman;Times;serif"/>
          <w:b/>
          <w:sz w:val="24"/>
        </w:rPr>
        <w:t>Domestic Subsidiary</w:t>
      </w:r>
      <w:r>
        <w:rPr>
          <w:rFonts w:ascii="Times New Roman;Times;serif" w:hAnsi="Times New Roman;Times;serif"/>
          <w:sz w:val="20"/>
        </w:rPr>
        <w:t xml:space="preserve">” </w:t>
      </w:r>
      <w:r>
        <w:rPr>
          <w:rFonts w:ascii="Times New Roman;Times;serif" w:hAnsi="Times New Roman;Times;serif"/>
          <w:sz w:val="24"/>
        </w:rPr>
        <w:t>means any Subsidiary that is organized under the laws of any political subdivision of the United States.</w:t>
      </w:r>
    </w:p>
    <w:p>
      <w:pPr>
        <w:pStyle w:val="TextBody"/>
        <w:bidi w:val="0"/>
        <w:spacing w:before="0" w:after="240"/>
        <w:ind w:left="0" w:right="0" w:firstLine="720"/>
        <w:jc w:val="both"/>
        <w:rPr/>
      </w:pPr>
      <w:r>
        <w:rPr/>
        <w:t>“</w:t>
      </w:r>
      <w:r>
        <w:rPr>
          <w:rFonts w:ascii="Times New Roman;Times;serif" w:hAnsi="Times New Roman;Times;serif"/>
          <w:b/>
          <w:sz w:val="24"/>
        </w:rPr>
        <w:t>Dutch Guarantor</w:t>
      </w:r>
      <w:r>
        <w:rPr>
          <w:rFonts w:ascii="Times New Roman;Times;serif" w:hAnsi="Times New Roman;Times;serif"/>
          <w:sz w:val="20"/>
        </w:rPr>
        <w:t xml:space="preserve">” </w:t>
      </w:r>
      <w:r>
        <w:rPr>
          <w:rFonts w:ascii="Times New Roman;Times;serif" w:hAnsi="Times New Roman;Times;serif"/>
          <w:sz w:val="24"/>
        </w:rPr>
        <w:t>means, collectively, (a) Fluence Energy B.V., a private company with limited liability (</w:t>
      </w:r>
      <w:r>
        <w:rPr>
          <w:rFonts w:ascii="Times New Roman;Times;serif" w:hAnsi="Times New Roman;Times;serif"/>
          <w:i/>
          <w:sz w:val="24"/>
        </w:rPr>
        <w:t>besloten vennootschap met beperkte aansprakelijkheid</w:t>
      </w:r>
      <w:r>
        <w:rPr>
          <w:rFonts w:ascii="Times New Roman;Times;serif" w:hAnsi="Times New Roman;Times;serif"/>
          <w:sz w:val="24"/>
        </w:rPr>
        <w:t>) incorporated under the laws of the Netherlands, having its corporate seat (</w:t>
      </w:r>
      <w:r>
        <w:rPr>
          <w:rFonts w:ascii="Times New Roman;Times;serif" w:hAnsi="Times New Roman;Times;serif"/>
          <w:i/>
          <w:sz w:val="24"/>
        </w:rPr>
        <w:t>statutaire zetel</w:t>
      </w:r>
      <w:r>
        <w:rPr>
          <w:rFonts w:ascii="Times New Roman;Times;serif" w:hAnsi="Times New Roman;Times;serif"/>
          <w:sz w:val="24"/>
        </w:rPr>
        <w:t>) in Amsterdam, the Netherlands, registered office address at Claude Debussylaan 12, 1082 MD Amsterdam, the Netherlands, and registered with the Dutch Chamber of Commerce under number 85674451 and (b) any Subsidiary of the Parent Borrower (not including any Borrower or any Excluded Subsidiary) that is incorporated or established under the laws of the Netherlands or which is treated as a resident in the Netherlands for tax purposes and that becomes a guarantor or otherwise liable on or with respect to any of the Obligations and (c) their respective successors and assigns.</w:t>
      </w:r>
    </w:p>
    <w:p>
      <w:pPr>
        <w:pStyle w:val="TextBody"/>
        <w:bidi w:val="0"/>
        <w:spacing w:before="0" w:after="240"/>
        <w:ind w:left="0" w:right="0" w:firstLine="720"/>
        <w:jc w:val="both"/>
        <w:rPr/>
      </w:pPr>
      <w:r>
        <w:rPr/>
        <w:t>“</w:t>
      </w:r>
      <w:r>
        <w:rPr>
          <w:rFonts w:ascii="Times New Roman;Times;serif" w:hAnsi="Times New Roman;Times;serif"/>
          <w:b/>
          <w:sz w:val="24"/>
        </w:rPr>
        <w:t>Dutch Loan Party</w:t>
      </w:r>
      <w:r>
        <w:rPr>
          <w:rFonts w:ascii="Times New Roman;Times;serif" w:hAnsi="Times New Roman;Times;serif"/>
          <w:sz w:val="20"/>
        </w:rPr>
        <w:t xml:space="preserve">” </w:t>
      </w:r>
      <w:r>
        <w:rPr>
          <w:rFonts w:ascii="Times New Roman;Times;serif" w:hAnsi="Times New Roman;Times;serif"/>
          <w:sz w:val="24"/>
        </w:rPr>
        <w:t>means, collectively, (a) each Dutch Guarantor, (b) each Loan Party that is incorporated or organized under the laws of the Netherlands, (c) each other Person incorporated under the laws of the Netherlands that at any time becomes a Loan Party under the Loan Documents and (d) their respective successors and assigns.</w:t>
      </w:r>
    </w:p>
    <w:p>
      <w:pPr>
        <w:pStyle w:val="TextBody"/>
        <w:bidi w:val="0"/>
        <w:spacing w:before="0" w:after="240"/>
        <w:ind w:left="0" w:right="0" w:firstLine="720"/>
        <w:jc w:val="both"/>
        <w:rPr/>
      </w:pPr>
      <w:r>
        <w:rPr/>
        <w:t>“</w:t>
      </w:r>
      <w:r>
        <w:rPr>
          <w:rFonts w:ascii="Times New Roman;Times;serif" w:hAnsi="Times New Roman;Times;serif"/>
          <w:b/>
          <w:sz w:val="24"/>
        </w:rPr>
        <w:t>Dutch Security Documents</w:t>
      </w:r>
      <w:r>
        <w:rPr>
          <w:rFonts w:ascii="Times New Roman;Times;serif" w:hAnsi="Times New Roman;Times;serif"/>
          <w:sz w:val="20"/>
        </w:rPr>
        <w:t xml:space="preserve">” </w:t>
      </w:r>
      <w:r>
        <w:rPr>
          <w:rFonts w:ascii="Times New Roman;Times;serif" w:hAnsi="Times New Roman;Times;serif"/>
          <w:sz w:val="24"/>
        </w:rPr>
        <w:t xml:space="preserve">means the documents set forth in Section 4(d)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“The Netherlands” which agreements shall be granted in accordance with the Agreed Security Principles, in each case as may be amended, restated, supplemented or otherwise modified from time to time, and any other security agreement, pledge agreement, deed, mortgage, instrument or any other similar document governed by the laws of the Netherlands that creates or purports to create a Lien to secure the Parallel Debts or the Obligations, in each case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EEA Financial Institution</w:t>
      </w:r>
      <w:r>
        <w:rPr>
          <w:rFonts w:ascii="Times New Roman;Times;serif" w:hAnsi="Times New Roman;Times;serif"/>
          <w:sz w:val="20"/>
        </w:rPr>
        <w:t xml:space="preserve">” </w:t>
      </w:r>
      <w:r>
        <w:rPr>
          <w:rFonts w:ascii="Times New Roman;Times;serif" w:hAnsi="Times New Roman;Times;serif"/>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EEA Member Country</w:t>
      </w:r>
      <w:r>
        <w:rPr>
          <w:rFonts w:ascii="Times New Roman;Times;serif" w:hAnsi="Times New Roman;Times;serif"/>
          <w:sz w:val="20"/>
        </w:rPr>
        <w:t xml:space="preserve">” </w:t>
      </w:r>
      <w:r>
        <w:rPr>
          <w:rFonts w:ascii="Times New Roman;Times;serif" w:hAnsi="Times New Roman;Times;serif"/>
          <w:sz w:val="24"/>
        </w:rPr>
        <w:t>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b/>
          <w:sz w:val="24"/>
        </w:rPr>
        <w:t>EEA Resolution Authority</w:t>
      </w:r>
      <w:r>
        <w:rPr>
          <w:rFonts w:ascii="Times New Roman;Times;serif" w:hAnsi="Times New Roman;Times;serif"/>
          <w:sz w:val="20"/>
        </w:rPr>
        <w:t xml:space="preserve">” </w:t>
      </w:r>
      <w:r>
        <w:rPr>
          <w:rFonts w:ascii="Times New Roman;Times;serif" w:hAnsi="Times New Roman;Times;serif"/>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b/>
          <w:sz w:val="24"/>
        </w:rPr>
        <w:t>Effective Date</w:t>
      </w:r>
      <w:r>
        <w:rPr>
          <w:rFonts w:ascii="Times New Roman;Times;serif" w:hAnsi="Times New Roman;Times;serif"/>
          <w:sz w:val="20"/>
        </w:rPr>
        <w:t xml:space="preserve">” </w:t>
      </w:r>
      <w:r>
        <w:rPr>
          <w:rFonts w:ascii="Times New Roman;Times;serif" w:hAnsi="Times New Roman;Times;serif"/>
          <w:sz w:val="24"/>
        </w:rPr>
        <w:t>means November 22, 2023.</w:t>
      </w:r>
    </w:p>
    <w:p>
      <w:pPr>
        <w:pStyle w:val="TextBody"/>
        <w:bidi w:val="0"/>
        <w:spacing w:before="0" w:after="240"/>
        <w:ind w:left="0" w:right="0" w:firstLine="720"/>
        <w:jc w:val="both"/>
        <w:rPr/>
      </w:pPr>
      <w:r>
        <w:rPr/>
        <w:t>“</w:t>
      </w:r>
      <w:r>
        <w:rPr>
          <w:rFonts w:ascii="Times New Roman;Times;serif" w:hAnsi="Times New Roman;Times;serif"/>
          <w:b/>
          <w:sz w:val="24"/>
        </w:rPr>
        <w:t>Electronic Signature</w:t>
      </w:r>
      <w:r>
        <w:rPr>
          <w:rFonts w:ascii="Times New Roman;Times;serif" w:hAnsi="Times New Roman;Times;serif"/>
          <w:sz w:val="20"/>
        </w:rPr>
        <w:t xml:space="preserve">” </w:t>
      </w:r>
      <w:r>
        <w:rPr>
          <w:rFonts w:ascii="Times New Roman;Times;serif" w:hAnsi="Times New Roman;Times;serif"/>
          <w:sz w:val="24"/>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ind w:left="0" w:right="0" w:firstLine="720"/>
        <w:jc w:val="both"/>
        <w:rPr/>
      </w:pPr>
      <w:r>
        <w:rPr/>
        <w:t>“</w:t>
      </w:r>
      <w:r>
        <w:rPr>
          <w:rFonts w:ascii="Times New Roman;Times;serif" w:hAnsi="Times New Roman;Times;serif"/>
          <w:b/>
          <w:sz w:val="24"/>
        </w:rPr>
        <w:t>Environmental Laws</w:t>
      </w:r>
      <w:r>
        <w:rPr>
          <w:rFonts w:ascii="Times New Roman;Times;serif" w:hAnsi="Times New Roman;Times;serif"/>
          <w:sz w:val="20"/>
        </w:rPr>
        <w:t xml:space="preserve">” </w:t>
      </w:r>
      <w:r>
        <w:rPr>
          <w:rFonts w:ascii="Times New Roman;Times;serif" w:hAnsi="Times New Roman;Times;serif"/>
          <w:sz w:val="24"/>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generation, use, handling, transportation, storage, treatment, disposal, management, release or threatened release of any Hazardous Material or to health and safety matters (to the extent related to Hazardous Material).</w:t>
      </w:r>
    </w:p>
    <w:p>
      <w:pPr>
        <w:pStyle w:val="TextBody"/>
        <w:bidi w:val="0"/>
        <w:spacing w:before="0" w:after="240"/>
        <w:ind w:left="0" w:right="0" w:firstLine="720"/>
        <w:jc w:val="both"/>
        <w:rPr/>
      </w:pPr>
      <w:r>
        <w:rPr/>
        <w:t>“</w:t>
      </w:r>
      <w:r>
        <w:rPr>
          <w:rFonts w:ascii="Times New Roman;Times;serif" w:hAnsi="Times New Roman;Times;serif"/>
          <w:b/>
          <w:sz w:val="24"/>
        </w:rPr>
        <w:t>Environmental Liability</w:t>
      </w:r>
      <w:r>
        <w:rPr>
          <w:rFonts w:ascii="Times New Roman;Times;serif" w:hAnsi="Times New Roman;Times;serif"/>
          <w:sz w:val="20"/>
        </w:rPr>
        <w:t xml:space="preserve">” </w:t>
      </w:r>
      <w:r>
        <w:rPr>
          <w:rFonts w:ascii="Times New Roman;Times;serif" w:hAnsi="Times New Roman;Times;serif"/>
          <w:sz w:val="24"/>
        </w:rPr>
        <w:t>means any liability, contingent or otherwise (including any liability for damages, costs of investigation, reclamation or remediation, fines, penalties or indemnities), of the Parent, any Borrower or any Subsidiary directly or indirectly resulting from or based upon (a) any Environmental Law, including compliance or noncompliance therewith, (b) the generation, use, handling, transportation, storage, treatment or disposal of any Hazardous Materials, (c) exposure to any Hazardous Materials, (d) the presence,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ind w:left="0" w:right="0" w:firstLine="720"/>
        <w:jc w:val="both"/>
        <w:rPr/>
      </w:pPr>
      <w:r>
        <w:rPr/>
        <w:t>“</w:t>
      </w:r>
      <w:r>
        <w:rPr>
          <w:rFonts w:ascii="Times New Roman;Times;serif" w:hAnsi="Times New Roman;Times;serif"/>
          <w:b/>
          <w:sz w:val="24"/>
        </w:rPr>
        <w:t>Equity Interests</w:t>
      </w:r>
      <w:r>
        <w:rPr>
          <w:rFonts w:ascii="Times New Roman;Times;serif" w:hAnsi="Times New Roman;Times;serif"/>
          <w:sz w:val="20"/>
        </w:rPr>
        <w:t xml:space="preserve">” </w:t>
      </w:r>
      <w:r>
        <w:rPr>
          <w:rFonts w:ascii="Times New Roman;Times;serif" w:hAnsi="Times New Roman;Times;serif"/>
          <w:sz w:val="24"/>
        </w:rPr>
        <w:t xml:space="preserve">means shares of capital stock, partnership interests, membership interests in a limited liability company, beneficial interests in a trust or other equity ownership interests in a Person, and any warrants, options, share appreciation rights or other rights, contractual or otherwise, entitling the holder thereof to purchase or acquire any such equity interest;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Equity Interests shall not include any debt securities that are convertible into or exchangeable for any combination of Equity Interests and/or cash.</w:t>
      </w:r>
    </w:p>
    <w:p>
      <w:pPr>
        <w:pStyle w:val="TextBody"/>
        <w:bidi w:val="0"/>
        <w:spacing w:before="0" w:after="240"/>
        <w:ind w:left="0" w:right="0" w:firstLine="720"/>
        <w:jc w:val="both"/>
        <w:rPr/>
      </w:pPr>
      <w:r>
        <w:rPr/>
        <w:t>“</w:t>
      </w:r>
      <w:r>
        <w:rPr>
          <w:rFonts w:ascii="Times New Roman;Times;serif" w:hAnsi="Times New Roman;Times;serif"/>
          <w:b/>
          <w:sz w:val="24"/>
        </w:rPr>
        <w:t>ERISA</w:t>
      </w:r>
      <w:r>
        <w:rPr>
          <w:rFonts w:ascii="Times New Roman;Times;serif" w:hAnsi="Times New Roman;Times;serif"/>
          <w:sz w:val="20"/>
        </w:rPr>
        <w:t xml:space="preserve">” </w:t>
      </w:r>
      <w:r>
        <w:rPr>
          <w:rFonts w:ascii="Times New Roman;Times;serif" w:hAnsi="Times New Roman;Times;serif"/>
          <w:sz w:val="24"/>
        </w:rPr>
        <w:t>means the U.S. Employee Retirement Income Security Act of 1974, as amended from time to time, and the regulations promulgated and rulings issued thereunder.</w:t>
      </w:r>
    </w:p>
    <w:p>
      <w:pPr>
        <w:pStyle w:val="TextBody"/>
        <w:bidi w:val="0"/>
        <w:spacing w:before="0" w:after="240"/>
        <w:ind w:left="0" w:right="0" w:firstLine="720"/>
        <w:jc w:val="both"/>
        <w:rPr/>
      </w:pPr>
      <w:r>
        <w:rPr/>
        <w:t>“</w:t>
      </w:r>
      <w:r>
        <w:rPr>
          <w:rFonts w:ascii="Times New Roman;Times;serif" w:hAnsi="Times New Roman;Times;serif"/>
          <w:b/>
          <w:sz w:val="24"/>
        </w:rPr>
        <w:t>ERISA Affiliate</w:t>
      </w:r>
      <w:r>
        <w:rPr>
          <w:rFonts w:ascii="Times New Roman;Times;serif" w:hAnsi="Times New Roman;Times;serif"/>
          <w:sz w:val="20"/>
        </w:rPr>
        <w:t xml:space="preserve">” </w:t>
      </w:r>
      <w:r>
        <w:rPr>
          <w:rFonts w:ascii="Times New Roman;Times;serif" w:hAnsi="Times New Roman;Times;serif"/>
          <w:sz w:val="24"/>
        </w:rPr>
        <w:t>means any person that for purposes of Title I or Title IV of ERISA or Section 412 of the Code would be deemed at any relevant time to be a single employer or otherwise aggregated with the Parent, any Borrower or a Subsidiary under Section 414(b), (c), (m) or (o) of the Code or Section 4001 of ERISA.</w:t>
      </w:r>
    </w:p>
    <w:p>
      <w:pPr>
        <w:pStyle w:val="TextBody"/>
        <w:bidi w:val="0"/>
        <w:spacing w:before="0" w:after="240"/>
        <w:ind w:left="0" w:right="0" w:firstLine="720"/>
        <w:jc w:val="both"/>
        <w:rPr/>
      </w:pPr>
      <w:r>
        <w:rPr/>
        <w:t>“</w:t>
      </w:r>
      <w:r>
        <w:rPr>
          <w:rFonts w:ascii="Times New Roman;Times;serif" w:hAnsi="Times New Roman;Times;serif"/>
          <w:b/>
          <w:sz w:val="24"/>
        </w:rPr>
        <w:t>ERISA Event</w:t>
      </w:r>
      <w:r>
        <w:rPr>
          <w:rFonts w:ascii="Times New Roman;Times;serif" w:hAnsi="Times New Roman;Times;serif"/>
          <w:sz w:val="20"/>
        </w:rPr>
        <w:t xml:space="preserve">” </w:t>
      </w:r>
      <w:r>
        <w:rPr>
          <w:rFonts w:ascii="Times New Roman;Times;serif" w:hAnsi="Times New Roman;Times;serif"/>
          <w:sz w:val="24"/>
        </w:rPr>
        <w:t>means any one or more of the following: (a) any reportable event, as defined in Section 4043 of ERISA, with respect to a Plan, unless notice to the PBGC has been waived by regulation; (b) the termination of any Plan under Section 4041(c) of ERISA; (c)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the failure to satisfy the minimum funding standard under Section 412 of the Code or Section 302 of ERISA, whether or not waived; or a determination that any Plan is considered an at-risk plan within the meaning of Section 430 of the Code or Section 303 of ERISA; (f) engaging in a non-exempt prohibited transaction within the meaning of Section 4975 of the Code or Section 406 of ERISA with respect to a Plan; (g) the complete or partial withdrawal of the Parent, any Borrower, Subsidiary or any ERISA Affiliate from a Multiemployer Plan which results in the imposition of Withdrawal Liability or the insolvency under Title IV of ERISA of any Multiemployer Plan or (h) a determination that any Multiemployer Plan is in endangered or critical status under Section 432 of the Code or Section 305 of ERISA.</w:t>
      </w:r>
    </w:p>
    <w:p>
      <w:pPr>
        <w:pStyle w:val="TextBody"/>
        <w:bidi w:val="0"/>
        <w:spacing w:before="0" w:after="240"/>
        <w:ind w:left="0" w:right="0" w:firstLine="720"/>
        <w:jc w:val="both"/>
        <w:rPr/>
      </w:pPr>
      <w:r>
        <w:rPr/>
        <w:t>“</w:t>
      </w:r>
      <w:r>
        <w:rPr>
          <w:rFonts w:ascii="Times New Roman;Times;serif" w:hAnsi="Times New Roman;Times;serif"/>
          <w:b/>
          <w:sz w:val="24"/>
        </w:rPr>
        <w:t>Erroneous Payment</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Erroneous Payment Deficiency Assignment</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8.11(d)(i)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Erroneous Payment Impacted Class</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8.11(d)(i)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Erroneous Payment Return Deficiency</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8,11(d)(i)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Erroneous Payment Subrogation Rights</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8.11(e)</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EU Bail-In Legislation Schedule</w:t>
      </w:r>
      <w:r>
        <w:rPr>
          <w:rFonts w:ascii="Times New Roman;Times;serif" w:hAnsi="Times New Roman;Times;serif"/>
          <w:sz w:val="20"/>
        </w:rPr>
        <w:t xml:space="preserve">” </w:t>
      </w:r>
      <w:r>
        <w:rPr>
          <w:rFonts w:ascii="Times New Roman;Times;serif" w:hAnsi="Times New Roman;Times;serif"/>
          <w:sz w:val="24"/>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b/>
          <w:sz w:val="24"/>
        </w:rPr>
        <w:t>EURIBOR Interpolated Rate</w:t>
      </w:r>
      <w:r>
        <w:rPr>
          <w:rFonts w:ascii="Times New Roman;Times;serif" w:hAnsi="Times New Roman;Times;serif"/>
          <w:sz w:val="20"/>
        </w:rPr>
        <w:t xml:space="preserve">” </w:t>
      </w:r>
      <w:r>
        <w:rPr>
          <w:rFonts w:ascii="Times New Roman;Times;serif" w:hAnsi="Times New Roman;Times;serif"/>
          <w:sz w:val="24"/>
        </w:rPr>
        <w:t>means,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the Floor, such rate shall be deemed to be the Floor for the purposes of this Agreement.</w:t>
      </w:r>
    </w:p>
    <w:p>
      <w:pPr>
        <w:pStyle w:val="TextBody"/>
        <w:bidi w:val="0"/>
        <w:spacing w:before="0" w:after="240"/>
        <w:ind w:left="0" w:right="0" w:firstLine="720"/>
        <w:jc w:val="both"/>
        <w:rPr/>
      </w:pPr>
      <w:r>
        <w:rPr/>
        <w:t>“</w:t>
      </w:r>
      <w:r>
        <w:rPr>
          <w:rFonts w:ascii="Times New Roman;Times;serif" w:hAnsi="Times New Roman;Times;serif"/>
          <w:b/>
          <w:sz w:val="24"/>
        </w:rPr>
        <w:t>EURIBOR Rate</w:t>
      </w:r>
      <w:r>
        <w:rPr>
          <w:rFonts w:ascii="Times New Roman;Times;serif" w:hAnsi="Times New Roman;Times;serif"/>
          <w:sz w:val="20"/>
        </w:rPr>
        <w:t xml:space="preserve">” </w:t>
      </w:r>
      <w:r>
        <w:rPr>
          <w:rFonts w:ascii="Times New Roman;Times;serif" w:hAnsi="Times New Roman;Times;serif"/>
          <w:sz w:val="24"/>
        </w:rPr>
        <w:t>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sz w:val="24"/>
        </w:rPr>
        <w:t>Impacted EURIBOR Rate Interest Period</w:t>
      </w:r>
      <w:r>
        <w:rPr>
          <w:rFonts w:ascii="Times New Roman;Times;serif" w:hAnsi="Times New Roman;Times;serif"/>
          <w:sz w:val="20"/>
        </w:rPr>
        <w:t>”</w:t>
      </w:r>
      <w:r>
        <w:rPr>
          <w:rFonts w:ascii="Times New Roman;Times;serif" w:hAnsi="Times New Roman;Times;serif"/>
          <w:sz w:val="24"/>
        </w:rPr>
        <w:t>) with respect to Euros then the EURIBOR Rate shall be the EURIBOR Interpolated Rate.</w:t>
      </w:r>
    </w:p>
    <w:p>
      <w:pPr>
        <w:pStyle w:val="TextBody"/>
        <w:bidi w:val="0"/>
        <w:spacing w:before="0" w:after="240"/>
        <w:ind w:left="0" w:right="0" w:firstLine="720"/>
        <w:jc w:val="both"/>
        <w:rPr/>
      </w:pPr>
      <w:r>
        <w:rPr/>
        <w:t>“</w:t>
      </w:r>
      <w:r>
        <w:rPr>
          <w:rFonts w:ascii="Times New Roman;Times;serif" w:hAnsi="Times New Roman;Times;serif"/>
          <w:b/>
          <w:sz w:val="24"/>
        </w:rPr>
        <w:t>EURIBOR Screen Rate</w:t>
      </w:r>
      <w:r>
        <w:rPr>
          <w:rFonts w:ascii="Times New Roman;Times;serif" w:hAnsi="Times New Roman;Times;serif"/>
          <w:sz w:val="20"/>
        </w:rPr>
        <w:t xml:space="preserve">” </w:t>
      </w:r>
      <w:r>
        <w:rPr>
          <w:rFonts w:ascii="Times New Roman;Times;serif" w:hAnsi="Times New Roman;Times;serif"/>
          <w:sz w:val="24"/>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Representative. If the EURIBOR Screen Rate shall be less than the Floor, the EURIBOR Screen Rate shall be deemed to be the Floor for purposes of this Agreement.</w:t>
      </w:r>
    </w:p>
    <w:p>
      <w:pPr>
        <w:pStyle w:val="TextBody"/>
        <w:bidi w:val="0"/>
        <w:spacing w:before="0" w:after="240"/>
        <w:ind w:left="0" w:right="0" w:firstLine="720"/>
        <w:jc w:val="both"/>
        <w:rPr/>
      </w:pPr>
      <w:r>
        <w:rPr/>
        <w:t>“</w:t>
      </w:r>
      <w:r>
        <w:rPr>
          <w:rFonts w:ascii="Times New Roman;Times;serif" w:hAnsi="Times New Roman;Times;serif"/>
          <w:b/>
          <w:sz w:val="24"/>
        </w:rPr>
        <w:t>Euro</w:t>
      </w:r>
      <w:r>
        <w:rPr>
          <w:rFonts w:ascii="Times New Roman;Times;serif" w:hAnsi="Times New Roman;Times;serif"/>
          <w:sz w:val="20"/>
        </w:rPr>
        <w:t>”</w:t>
      </w:r>
      <w:r>
        <w:rPr>
          <w:rFonts w:ascii="Times New Roman;Times;serif" w:hAnsi="Times New Roman;Times;serif"/>
          <w:sz w:val="24"/>
        </w:rPr>
        <w:t>, “</w:t>
      </w:r>
      <w:r>
        <w:rPr>
          <w:rFonts w:ascii="Times New Roman;Times;serif" w:hAnsi="Times New Roman;Times;serif"/>
          <w:b/>
          <w:sz w:val="24"/>
        </w:rPr>
        <w:t>EUR</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sz w:val="20"/>
        </w:rPr>
        <w:t xml:space="preserve">€” </w:t>
      </w:r>
      <w:r>
        <w:rPr>
          <w:rFonts w:ascii="Times New Roman;Times;serif" w:hAnsi="Times New Roman;Times;serif"/>
          <w:sz w:val="24"/>
        </w:rPr>
        <w:t>mean the single currency of the Participating Member States.</w:t>
      </w:r>
    </w:p>
    <w:p>
      <w:pPr>
        <w:pStyle w:val="TextBody"/>
        <w:bidi w:val="0"/>
        <w:spacing w:before="0" w:after="240"/>
        <w:ind w:left="0" w:right="0" w:firstLine="720"/>
        <w:jc w:val="both"/>
        <w:rPr/>
      </w:pPr>
      <w:r>
        <w:rPr/>
        <w:t>“</w:t>
      </w:r>
      <w:r>
        <w:rPr>
          <w:rFonts w:ascii="Times New Roman;Times;serif" w:hAnsi="Times New Roman;Times;serif"/>
          <w:b/>
          <w:sz w:val="24"/>
        </w:rPr>
        <w:t>Event of Default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Article 7</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Excluded Account</w:t>
      </w:r>
      <w:r>
        <w:rPr>
          <w:rFonts w:ascii="Times New Roman;Times;serif" w:hAnsi="Times New Roman;Times;serif"/>
          <w:sz w:val="20"/>
        </w:rPr>
        <w:t xml:space="preserve">” </w:t>
      </w:r>
      <w:r>
        <w:rPr>
          <w:rFonts w:ascii="Times New Roman;Times;serif" w:hAnsi="Times New Roman;Times;serif"/>
          <w:sz w:val="24"/>
        </w:rPr>
        <w:t xml:space="preserve">means (a) Deposit Accounts specifically and exclusively used for trust, payroll, payroll taxes and other employee wage and benefit payments to or for the benefit of any Loan Party’s employees, (b) escrow, trust, fiduciary or similar Deposit Accounts or Securities Accounts exclusively holding funds or property for the benefit of third parties in the ordinary course of business, (c) Deposit Accounts holding solely cash collateral encumbered by Liens permitted under Section 6.02, (d) Deposit Accounts holding solely proceeds of Receivables Assets that have been sold, contributed, conveyed or assigned to a Receivables Subsidiary or any other Person (other than a Loan Party) pursuant to a Permitted Factoring Transaction or a Permitted Receivables Facility, (e) Deposit Accounts as to which the Administrative Agent and the Parent Borrower reasonably agree that the costs or other consequence (including any material adverse tax consequence) of obtaining such a security interest or perfection thereof are excessive in relation to the value of the security to be afforded thereby, and (f) Deposit Accounts containing an average daily balance for any thirty (30) day period for all such Deposit Accounts not to exceed $2,500,000 in the aggregate. For the avoidance of doubt, </w:t>
      </w:r>
      <w:r>
        <w:rPr>
          <w:rFonts w:ascii="Times New Roman;Times;serif" w:hAnsi="Times New Roman;Times;serif"/>
          <w:b/>
          <w:color w:val="0000FF"/>
          <w:sz w:val="24"/>
        </w:rPr>
        <w:t>(i)</w:t>
      </w:r>
      <w:r>
        <w:rPr>
          <w:rFonts w:ascii="Times New Roman;Times;serif" w:hAnsi="Times New Roman;Times;serif"/>
          <w:color w:val="0000FF"/>
          <w:sz w:val="20"/>
          <w:u w:val="single"/>
        </w:rPr>
        <w:t xml:space="preserve"> </w:t>
      </w:r>
      <w:r>
        <w:rPr>
          <w:rFonts w:ascii="Times New Roman;Times;serif" w:hAnsi="Times New Roman;Times;serif"/>
          <w:sz w:val="24"/>
        </w:rPr>
        <w:t>no Controlled Account shall constitute an Excluded Account</w:t>
      </w:r>
      <w:r>
        <w:rPr>
          <w:rFonts w:ascii="Times New Roman;Times;serif" w:hAnsi="Times New Roman;Times;serif"/>
          <w:color w:val="0000FF"/>
          <w:sz w:val="20"/>
        </w:rPr>
        <w:t xml:space="preserve"> </w:t>
      </w:r>
      <w:r>
        <w:rPr>
          <w:rFonts w:ascii="Times New Roman;Times;serif" w:hAnsi="Times New Roman;Times;serif"/>
          <w:b/>
          <w:color w:val="0000FF"/>
          <w:sz w:val="24"/>
        </w:rPr>
        <w:t>and (ii) the Specified Cash Collateral Account shall not constitute an Excluded Account</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Excluded Property</w:t>
      </w:r>
      <w:r>
        <w:rPr>
          <w:rFonts w:ascii="Times New Roman;Times;serif" w:hAnsi="Times New Roman;Times;serif"/>
          <w:sz w:val="20"/>
        </w:rPr>
        <w:t xml:space="preserve">” </w:t>
      </w:r>
      <w:r>
        <w:rPr>
          <w:rFonts w:ascii="Times New Roman;Times;serif" w:hAnsi="Times New Roman;Times;serif"/>
          <w:sz w:val="24"/>
        </w:rPr>
        <w:t xml:space="preserve">means (a) any fee interest in real property having a value of less than $7,500,000 and any leasehold interest in real property, (b) any property that secures Indebtedness permitted to be incurred pursuant to </w:t>
      </w:r>
      <w:r>
        <w:rPr>
          <w:rFonts w:ascii="Times New Roman;Times;serif" w:hAnsi="Times New Roman;Times;serif"/>
          <w:sz w:val="24"/>
          <w:u w:val="single"/>
        </w:rPr>
        <w:t>Section 6.01(d)</w:t>
      </w:r>
      <w:r>
        <w:rPr>
          <w:rFonts w:ascii="Times New Roman;Times;serif" w:hAnsi="Times New Roman;Times;serif"/>
          <w:sz w:val="20"/>
        </w:rPr>
        <w:t xml:space="preserve"> </w:t>
      </w:r>
      <w:r>
        <w:rPr>
          <w:rFonts w:ascii="Times New Roman;Times;serif" w:hAnsi="Times New Roman;Times;serif"/>
          <w:sz w:val="24"/>
        </w:rPr>
        <w:t>to the extent the documents governing such Indebtedness do not permit any other Lien on such property, (c) motor vehicles, aircraft, boats and other assets subject to a certificate of title to the extent a Lien on such other assets cannot be perfected by filing a UCC-1 financing statement, an Australian PPSA financing statement or a Canadian PPSA financing statement having an aggregate value of less than $10,000,000, (d) property the grant of a security interest thereon to secure the Obligations is (1) prohibited by applicable law, rule or regulation or (2) which requires governmental consent, approval, license or authorization to be pledged (unless such consent, approval, license or authorization has been received and the Borrowers shall be under no obligation to seek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consent) (in each case under this clause (d), except to the extent such prohibition or requirement is unenforceable after giving effect to the applicable anti-assignment provisions of the UCC, any applicable provision of the Australian PPSA or the Canadian PPSA or any other applicable law), (e) any lease, license, contract or other agreement covering real or personal property of any Loan Party to the extent that a grant of a security interest therein to secure the Obligations would violate or invalidate such lease, license, contract or other agreement or create a right of termination in favor of any other party thereto (other than any Loan Party or any Subsidiary or Affiliate thereof), and the consent of the other party to such lease, license, contract or other agreement has not been obtained (provided that the foregoing exclusions of this clause (e) shall in no way be construed to apply to the extent that any described prohibition or restriction is ineffective after giving effect to the applicable anti-assignment provisions of the UCC, any applicable provision of the Australian PPSA or the Canadian PPSA or any other applicable law), (f) any governmental licenses or state or local franchises, charters and authorizations, to the extent security interests in such licenses, franchises, charters or authorizations are prohibited or restricted thereby or require the consent of any Governmental Authority (to the extent such consent has not been obtained;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Borrowers shall be under no obligation to seek such consent)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the foregoing exclusions of this clause (f) shall in no way be construed to apply to the extent that any described prohibition or restriction is ineffective after giving effect to the applicable anti-assignment provisions of the UCC, any applicable provision of the Australian PPSA or the Canadian PPSA or any other applicable law and (ii) the foregoing exclusions of clauses (d), (e) and (f) shall be in no way be construed to limit, impair, or otherwise affect any of the Administrative Agent’s or any other Secured Party’s continuing security interests in, and liens upon, any rights or interests of any Loan Party in or to (A) monies due or to become due under or in connection with any described contract, lease, permit, license, other agreement, or property (including any Accounts or Equity Interests), or (B) any proceeds from the sale, license, lease, or other dispositions of any such contract, lease, permit, license, other agreement, or property), unless, in each case, such proceeds otherwise independently constitute Excluded Property), (g) any lease, license or other agreement or any property subject to a purchase money security interest, capital lease obligation or similar arrangements, in each case, to the extent permitted under this Agreement, to the extent that a grant of a security interest therein would violate or invalidate such lease, license or agreement, purchase money, capital lease or a similar arrangement or create a right of termination in favor of any other party thereto (other than any Loan Party, or any Subsidiary or Affiliate thereof) after giving effect to the applicable anti-assignment provisions of the UCC, any applicable provision of the Australian PPSA or the Canadian PPSA or any other applicable law, other than proceeds and receivables thereof, the assignment of which is expressly deemed effective under applicable law notwithstanding such prohibition, (h) pending United States “intent-to-use” trademark applications for which a verified statement of use or an amendment to allege use has not been filed with and accepted by the United States Patent and Trademark Office, (i) commercial tort claims in an amount not exceeding $7,500,000 individually; (j) those assets (including Equity Interests) as to which the Administrative Agent and the Parent Borrower reasonably agree that the costs or other consequence (including any material adverse tax consequence) of obtaining such a security interest or perfection thereof are excessive in relation to the value of the security to be afforded thereby; (k) Receivables Assets sold, contributed or otherwise transferred pursuant to a Permitted Factoring Transaction or in connection with a Permitted Receivables Facility, (l) Excluded Securities, and (m) Excluded Accounts of the type described in clauses (a),(b) and (d) of the definition of “Excluded Accounts”;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immediately upon the lapse or termination of any prohibitions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the obtaining of any consents, as applicable, referred to herein, such property shall be considered Collateral. Notwithstanding anything to the contrary contained herein, in no event shall any Excluded Property be excluded from the operation of any floating charge (or the equivalent) pursuant to a UK Security Document.</w:t>
      </w:r>
    </w:p>
    <w:p>
      <w:pPr>
        <w:pStyle w:val="TextBody"/>
        <w:bidi w:val="0"/>
        <w:spacing w:before="0" w:after="240"/>
        <w:ind w:left="0" w:right="0" w:firstLine="720"/>
        <w:jc w:val="both"/>
        <w:rPr/>
      </w:pPr>
      <w:r>
        <w:rPr/>
        <w:t>“</w:t>
      </w:r>
      <w:r>
        <w:rPr>
          <w:rFonts w:ascii="Times New Roman;Times;serif" w:hAnsi="Times New Roman;Times;serif"/>
          <w:b/>
          <w:sz w:val="24"/>
        </w:rPr>
        <w:t>Excluded Securities</w:t>
      </w:r>
      <w:r>
        <w:rPr>
          <w:rFonts w:ascii="Times New Roman;Times;serif" w:hAnsi="Times New Roman;Times;serif"/>
          <w:sz w:val="20"/>
        </w:rPr>
        <w:t xml:space="preserve">” </w:t>
      </w:r>
      <w:r>
        <w:rPr>
          <w:rFonts w:ascii="Times New Roman;Times;serif" w:hAnsi="Times New Roman;Times;serif"/>
          <w:sz w:val="24"/>
        </w:rPr>
        <w:t xml:space="preserve">means (a) voting Equity Interests of any CFC (other than any CFC that is (i) a Foreign Subsidiary organized or incorporated under the laws of a Covered Jurisdiction, (ii) a Foreign Guarantor, or (iii) a Material Foreign Subsidiary required to become a Guarantor under the Guarantor Coverage Test) in excess of 65% of the outstanding voting Equity Interests of such CFC, (b) any Equity Interests or Indebtedness to the extent and for so long as the pledge thereof would be prohibited by any applicable law after giving effect to the applicable anti-assignment provisions of Article 9 of the UCC, any appliable provision of the Australian PPSA or the Canadian PPSA or any other applicable law, (c) any Equity Interests in any Person that is not a Wholly Owned Subsidiary, (d) any Equity Interests in any Excluded Subsidiary (other than (x) any Receivables Subsidiary (subject to </w:t>
      </w:r>
      <w:r>
        <w:rPr>
          <w:rFonts w:ascii="Times New Roman;Times;serif" w:hAnsi="Times New Roman;Times;serif"/>
          <w:sz w:val="24"/>
          <w:u w:val="single"/>
        </w:rPr>
        <w:t>Section 5.11</w:t>
      </w:r>
      <w:r>
        <w:rPr>
          <w:rFonts w:ascii="Times New Roman;Times;serif" w:hAnsi="Times New Roman;Times;serif"/>
          <w:sz w:val="24"/>
        </w:rPr>
        <w:t>) and (y) any other Excluded Subsidiary as defined in clauses (b), (c), (d), (g) (except to the extent the assumed Indebtedness prohibits the Equity Interests in such Subsidiary from being pledged) and (i) (unless the Equity Interests in such Subsidiary are otherwise excluded pursuant to this definition of “Excluded Securities”) in the definition thereof), (e) any margin stock (as defined in Regulation U and Regulation X of the Board of Governors of the Federal Reserve System), and (f) Equity Interests of the Parent Borrower that are not owned by the Parent.</w:t>
      </w:r>
    </w:p>
    <w:p>
      <w:pPr>
        <w:pStyle w:val="TextBody"/>
        <w:bidi w:val="0"/>
        <w:spacing w:before="0" w:after="240"/>
        <w:ind w:left="0" w:right="0" w:firstLine="720"/>
        <w:jc w:val="both"/>
        <w:rPr/>
      </w:pPr>
      <w:r>
        <w:rPr/>
        <w:t>“</w:t>
      </w:r>
      <w:r>
        <w:rPr>
          <w:rFonts w:ascii="Times New Roman;Times;serif" w:hAnsi="Times New Roman;Times;serif"/>
          <w:b/>
          <w:sz w:val="24"/>
        </w:rPr>
        <w:t>Excluded Subsidiary</w:t>
      </w:r>
      <w:r>
        <w:rPr>
          <w:rFonts w:ascii="Times New Roman;Times;serif" w:hAnsi="Times New Roman;Times;serif"/>
          <w:sz w:val="20"/>
        </w:rPr>
        <w:t xml:space="preserve">” </w:t>
      </w:r>
      <w:r>
        <w:rPr>
          <w:rFonts w:ascii="Times New Roman;Times;serif" w:hAnsi="Times New Roman;Times;serif"/>
          <w:sz w:val="24"/>
        </w:rPr>
        <w:t>means (a) each Subsidiary that is not a direct or indirect Wholly Owned Subsidiary of the Parent Borrower, (b) each Immaterial Subsidiary, (c) any Subsidiary that is a “controlled foreign corporation” within the meaning of Section 957 of the Code any shares of which are treated as owned directly or indirectly by a United States shareholder (within the meaning of Section 951(b) of the Code) as measured for purposes of Section 958(a) of the Code (a “</w:t>
      </w:r>
      <w:r>
        <w:rPr>
          <w:rFonts w:ascii="Times New Roman;Times;serif" w:hAnsi="Times New Roman;Times;serif"/>
          <w:b/>
          <w:sz w:val="24"/>
        </w:rPr>
        <w:t>CFC</w:t>
      </w:r>
      <w:r>
        <w:rPr>
          <w:rFonts w:ascii="Times New Roman;Times;serif" w:hAnsi="Times New Roman;Times;serif"/>
          <w:sz w:val="20"/>
        </w:rPr>
        <w:t>”</w:t>
      </w:r>
      <w:r>
        <w:rPr>
          <w:rFonts w:ascii="Times New Roman;Times;serif" w:hAnsi="Times New Roman;Times;serif"/>
          <w:sz w:val="24"/>
        </w:rPr>
        <w:t>) (except to the extent such CFC is (i) a Foreign Subsidiary organized or incorporated under the laws of a Covered Jurisdiction, (ii) a Foreign Guarantor or (iii) a Material Foreign Subsidiary required to become a Guarantor under the Guarantor Coverage Test), (d) any Subsidiary substantially all the assets of which consist of Equity Interests (or Equity Interests and Indebtedness) of one or more CFCs (a “</w:t>
      </w:r>
      <w:r>
        <w:rPr>
          <w:rFonts w:ascii="Times New Roman;Times;serif" w:hAnsi="Times New Roman;Times;serif"/>
          <w:b/>
          <w:sz w:val="24"/>
        </w:rPr>
        <w:t>CFC Holdco</w:t>
      </w:r>
      <w:r>
        <w:rPr>
          <w:rFonts w:ascii="Times New Roman;Times;serif" w:hAnsi="Times New Roman;Times;serif"/>
          <w:sz w:val="20"/>
        </w:rPr>
        <w:t>”</w:t>
      </w:r>
      <w:r>
        <w:rPr>
          <w:rFonts w:ascii="Times New Roman;Times;serif" w:hAnsi="Times New Roman;Times;serif"/>
          <w:sz w:val="24"/>
        </w:rPr>
        <w:t>) or other CFC Holdcos (except to the extent (i) the assets of such CFC Holdco include Equity Interests (or Equity Interests and Indebtedness) (whether directly or through its interest in any other CFC Holdco) of (A) a Foreign Subsidiary organized or incorporated under the laws of a Covered Jurisdiction, (B) a Foreign Guarantor, or (C) a Material Foreign Subsidiary required to become a Guarantor under the Guarantor Coverage Test) or (ii) such CFC Holdco is a Guarantor), (e) any Subsidiary of a CFC (other than any CFC that is (i) a Foreign Subsidiary organized or incorporated under the laws of a Covered Jurisdiction, (ii) a Foreign Guarantor or (iii) a Material Foreign Subsidiary required to become a Guarantor under the Guarantor Coverage Test), (f) any Subsidiary that is prohibited by law, regulation or contractual obligation existing on the Effective Date or on the date such entity becomes a Subsidiary after the Effective Date (so long as such prohibition did not arise in contemplation of such entity becoming a Subsidiary) from providing the Guaranty or that would require a an approval of a Governmental Authority or third party (other than an Affiliate of any Loan Party) (pursuant to a contractual obligation) consent, approval, license or authorization in order to grant such Guaranty that has not been obtained, (g) any Subsidiary acquired pursuant to a permitted Investment financed with Indebtedness permitted to be assumed pursuant to the Loan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and any Subsidiary thereof that Guarantees such Indebtedness, in each case to the extent such Indebtedness prohibits such Subsidiary from becoming a Guarantor (but only for as long as such prohibition exists and only if such indebtedness is not an asset-based credit facility),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Indebtedness is not created in contemplation of or in connection with such permitted Investment or such Person becoming a Subsidiary, (h) any Special Purpose Subsidiary, (i) Fluence India Renew JV Pte LTD, and (j) each Subsidiary as to which the Administrative Agent and the Parent Borrower reasonably agree in writing that the costs or other consequence (including any material adverse tax consequence) of obtaining a guaranty of the Obligations therefrom are excessive in relation to the value to be afforded thereby; </w:t>
      </w:r>
      <w:r>
        <w:rPr>
          <w:rFonts w:ascii="Times New Roman;Times;serif" w:hAnsi="Times New Roman;Times;serif"/>
          <w:sz w:val="24"/>
          <w:u w:val="single"/>
        </w:rPr>
        <w:t>provided</w:t>
      </w:r>
      <w:r>
        <w:rPr>
          <w:rFonts w:ascii="Times New Roman;Times;serif" w:hAnsi="Times New Roman;Times;serif"/>
          <w:sz w:val="24"/>
        </w:rPr>
        <w:t xml:space="preserve">, that (i) any Person that is or that becomes a Guarantor shall not at any time thereafter be designated as or deemed an Excluded Subsidiary (other than, with respect to any such Person that becomes a non-Wholly Owned Subsidiary, in accordance with </w:t>
      </w:r>
      <w:r>
        <w:rPr>
          <w:rFonts w:ascii="Times New Roman;Times;serif" w:hAnsi="Times New Roman;Times;serif"/>
          <w:sz w:val="24"/>
          <w:u w:val="single"/>
        </w:rPr>
        <w:t>Section 10.17(a)</w:t>
      </w:r>
      <w:r>
        <w:rPr>
          <w:rFonts w:ascii="Times New Roman;Times;serif" w:hAnsi="Times New Roman;Times;serif"/>
          <w:sz w:val="24"/>
        </w:rPr>
        <w:t xml:space="preserve">), (ii) no Borrower may be designated or deemed an Excluded Subsidiary, and (iii) except as permitted under </w:t>
      </w:r>
      <w:r>
        <w:rPr>
          <w:rFonts w:ascii="Times New Roman;Times;serif" w:hAnsi="Times New Roman;Times;serif"/>
          <w:sz w:val="24"/>
          <w:u w:val="single"/>
        </w:rPr>
        <w:t>Section 6.14</w:t>
      </w:r>
      <w:r>
        <w:rPr>
          <w:rFonts w:ascii="Times New Roman;Times;serif" w:hAnsi="Times New Roman;Times;serif"/>
          <w:sz w:val="24"/>
        </w:rPr>
        <w:t>, no Excluded Subsidiary may own or have an exclusive license to any Intellectual Property that is material to the business of the Parent Borrower and its Subsidiaries (taken as a whole).</w:t>
      </w:r>
    </w:p>
    <w:p>
      <w:pPr>
        <w:pStyle w:val="TextBody"/>
        <w:bidi w:val="0"/>
        <w:spacing w:before="0" w:after="240"/>
        <w:ind w:left="0" w:right="0" w:firstLine="720"/>
        <w:jc w:val="both"/>
        <w:rPr/>
      </w:pPr>
      <w:r>
        <w:rPr/>
        <w:t>“</w:t>
      </w:r>
      <w:r>
        <w:rPr>
          <w:rFonts w:ascii="Times New Roman;Times;serif" w:hAnsi="Times New Roman;Times;serif"/>
          <w:b/>
          <w:sz w:val="24"/>
        </w:rPr>
        <w:t>Excluded Swap Obligation</w:t>
      </w:r>
      <w:r>
        <w:rPr>
          <w:rFonts w:ascii="Times New Roman;Times;serif" w:hAnsi="Times New Roman;Times;serif"/>
          <w:sz w:val="20"/>
        </w:rPr>
        <w:t xml:space="preserve">” </w:t>
      </w:r>
      <w:r>
        <w:rPr>
          <w:rFonts w:ascii="Times New Roman;Times;serif" w:hAnsi="Times New Roman;Times;serif"/>
          <w:sz w:val="24"/>
        </w:rPr>
        <w:t>with respect to any Guarantor, (a) any Swap Agreement Obligation if, and to the extent that, and only for so long as, all or a portion of the guarantee of such Guarantor of, or the grant by such Guarantor of a security interest to secure, as applicable, such Swap Agreement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Agreement Obligation. If a Swap Agreement Obligation arises under a master agreement governing more than one Swap Agreement, such exclusion shall apply only to the portion of such Swap Agreement Obligation that is attributable to Swaps for which such guarantee or security interest is or becomes illegal.</w:t>
      </w:r>
    </w:p>
    <w:p>
      <w:pPr>
        <w:pStyle w:val="TextBody"/>
        <w:bidi w:val="0"/>
        <w:spacing w:before="0" w:after="240"/>
        <w:ind w:left="0" w:right="0" w:firstLine="720"/>
        <w:jc w:val="both"/>
        <w:rPr/>
      </w:pPr>
      <w:r>
        <w:rPr/>
        <w:t>“</w:t>
      </w:r>
      <w:r>
        <w:rPr>
          <w:rFonts w:ascii="Times New Roman;Times;serif" w:hAnsi="Times New Roman;Times;serif"/>
          <w:b/>
          <w:sz w:val="24"/>
        </w:rPr>
        <w:t>Excluded Taxes</w:t>
      </w:r>
      <w:r>
        <w:rPr>
          <w:rFonts w:ascii="Times New Roman;Times;serif" w:hAnsi="Times New Roman;Times;serif"/>
          <w:sz w:val="20"/>
        </w:rPr>
        <w:t xml:space="preserve">” </w:t>
      </w:r>
      <w:r>
        <w:rPr>
          <w:rFonts w:ascii="Times New Roman;Times;serif" w:hAnsi="Times New Roman;Times;serif"/>
          <w:sz w:val="24"/>
        </w:rPr>
        <w:t xml:space="preserve">means any of the following Taxes imposed on or with respect to the Administrative Agent, any Issuing Bank, any Lender or any other recipient, or required to be withheld or deducted from any payment to be made by or on account of any obligation of the Parent or any Borrower, as applicable, hereunder, (a) Taxes imposed on (or measured by) its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otherwise are Other Connection Taxes, (b) in the case of a Lender, any U.S. federal withholding Tax that is imposed on amounts payable to or for the account of such Lender with respect to an applicable interest in a Loan or Commitment pursuant to a law in effect on the date on which (i) such Lender becomes a party to this Agreement (other than pursuant to an assignment request by the Borrowers under </w:t>
      </w:r>
      <w:r>
        <w:rPr>
          <w:rFonts w:ascii="Times New Roman;Times;serif" w:hAnsi="Times New Roman;Times;serif"/>
          <w:sz w:val="24"/>
          <w:u w:val="single"/>
        </w:rPr>
        <w:t>Section 2.16(b)</w:t>
      </w:r>
      <w:r>
        <w:rPr>
          <w:rFonts w:ascii="Times New Roman;Times;serif" w:hAnsi="Times New Roman;Times;serif"/>
          <w:sz w:val="24"/>
        </w:rPr>
        <w:t xml:space="preserve">) or (ii) such Lender designates a new lending office, in each case, except to the extent that such Lender (or its assignor, if any) was entitled, at the time of designation of a new lending office or assignment, to receive additional amounts pursuant to </w:t>
      </w:r>
      <w:r>
        <w:rPr>
          <w:rFonts w:ascii="Times New Roman;Times;serif" w:hAnsi="Times New Roman;Times;serif"/>
          <w:sz w:val="24"/>
          <w:u w:val="single"/>
        </w:rPr>
        <w:t>Section 2.14(a)</w:t>
      </w:r>
      <w:r>
        <w:rPr>
          <w:rFonts w:ascii="Times New Roman;Times;serif" w:hAnsi="Times New Roman;Times;serif"/>
          <w:sz w:val="20"/>
        </w:rPr>
        <w:t xml:space="preserve"> </w:t>
      </w:r>
      <w:r>
        <w:rPr>
          <w:rFonts w:ascii="Times New Roman;Times;serif" w:hAnsi="Times New Roman;Times;serif"/>
          <w:sz w:val="24"/>
        </w:rPr>
        <w:t xml:space="preserve">immediately before such Lender became a party hereto or, as applicable, to such Lender immediately before it designated a new lending office, (c) Taxes attributable to such recipient’s failure to comply with </w:t>
      </w:r>
      <w:r>
        <w:rPr>
          <w:rFonts w:ascii="Times New Roman;Times;serif" w:hAnsi="Times New Roman;Times;serif"/>
          <w:sz w:val="24"/>
          <w:u w:val="single"/>
        </w:rPr>
        <w:t>Section 2.14(f)</w:t>
      </w:r>
      <w:r>
        <w:rPr>
          <w:rFonts w:ascii="Times New Roman;Times;serif" w:hAnsi="Times New Roman;Times;serif"/>
          <w:sz w:val="24"/>
        </w:rPr>
        <w:t>, (d)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withholding Taxes imposed under FATCA, (e) any Taxes imposed by Germany solely due to the fact that the Loans are secured by real estate located in Germany (</w:t>
      </w:r>
      <w:r>
        <w:rPr>
          <w:rFonts w:ascii="Times New Roman;Times;serif" w:hAnsi="Times New Roman;Times;serif"/>
          <w:i/>
          <w:sz w:val="24"/>
        </w:rPr>
        <w:t>inländischer Grundbesitz</w:t>
      </w:r>
      <w:r>
        <w:rPr>
          <w:rFonts w:ascii="Times New Roman;Times;serif" w:hAnsi="Times New Roman;Times;serif"/>
          <w:sz w:val="24"/>
        </w:rPr>
        <w:t>) or by German rights subject to the civil code provisions relating to real estate (</w:t>
      </w:r>
      <w:r>
        <w:rPr>
          <w:rFonts w:ascii="Times New Roman;Times;serif" w:hAnsi="Times New Roman;Times;serif"/>
          <w:i/>
          <w:sz w:val="24"/>
        </w:rPr>
        <w:t>inländische Rechte, die den Vorschriften des bürgerlichen Rechts über Grundstücke unterliegen</w:t>
      </w:r>
      <w:r>
        <w:rPr>
          <w:rFonts w:ascii="Times New Roman;Times;serif" w:hAnsi="Times New Roman;Times;serif"/>
          <w:sz w:val="24"/>
        </w:rPr>
        <w:t xml:space="preserve">) (including any withholding requested by the German tax authorities pursuant to Sec. 50a para. 7 German Income Tax Act), (f) any Taxes which are imposed solely because the payment is made with respect to a Lender incorporated, having its place of effective management, or acting through a lending office or office, as the case may be, located in a Non-Cooperative Jurisdiction, (g) withholding required on account of the payee receiving a direction under section 255 of the Australian Taxation Act or section 260-5 of Schedule 1 of the Taxation Administration Act 1953 (Cth) (Australia), (h) Taxes imposed because the payee has not received written notice of that recipient’s tax file number or Australian business number or evidence of any exemption that recipient may have from the need to advise its tax file number or Australian business number; and (i) any Indirect Tax (which, for the avoidance of doubt, shall be handled in accordance with </w:t>
      </w:r>
      <w:r>
        <w:rPr>
          <w:rFonts w:ascii="Times New Roman;Times;serif" w:hAnsi="Times New Roman;Times;serif"/>
          <w:sz w:val="24"/>
          <w:u w:val="single"/>
        </w:rPr>
        <w:t>Section 2.14(i)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Executive Order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3.15(a)(i)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Existing Letters of Credit</w:t>
      </w:r>
      <w:r>
        <w:rPr>
          <w:rFonts w:ascii="Times New Roman;Times;serif" w:hAnsi="Times New Roman;Times;serif"/>
          <w:sz w:val="20"/>
        </w:rPr>
        <w:t xml:space="preserve">” </w:t>
      </w:r>
      <w:r>
        <w:rPr>
          <w:rFonts w:ascii="Times New Roman;Times;serif" w:hAnsi="Times New Roman;Times;serif"/>
          <w:sz w:val="24"/>
        </w:rPr>
        <w:t xml:space="preserve">means each standby letter of credit existing on the Amendment No. 3 Effective Date and identified on </w:t>
      </w:r>
      <w:r>
        <w:rPr>
          <w:rFonts w:ascii="Times New Roman;Times;serif" w:hAnsi="Times New Roman;Times;serif"/>
          <w:sz w:val="24"/>
          <w:u w:val="single"/>
        </w:rPr>
        <w:t>Schedule 2.19</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Factoring Transaction</w:t>
      </w:r>
      <w:r>
        <w:rPr>
          <w:rFonts w:ascii="Times New Roman;Times;serif" w:hAnsi="Times New Roman;Times;serif"/>
          <w:sz w:val="20"/>
        </w:rPr>
        <w:t xml:space="preserve">” </w:t>
      </w:r>
      <w:r>
        <w:rPr>
          <w:rFonts w:ascii="Times New Roman;Times;serif" w:hAnsi="Times New Roman;Times;serif"/>
          <w:sz w:val="24"/>
        </w:rPr>
        <w:t>means any transaction or series of transactions that may be entered into by</w:t>
      </w:r>
      <w:r>
        <w:rPr>
          <w:rFonts w:ascii="Times New Roman;Times;serif" w:hAnsi="Times New Roman;Times;serif"/>
          <w:sz w:val="20"/>
        </w:rPr>
        <w:t xml:space="preserve"> </w:t>
      </w:r>
      <w:r>
        <w:rPr>
          <w:rFonts w:ascii="Times New Roman;Times;serif" w:hAnsi="Times New Roman;Times;serif"/>
          <w:sz w:val="24"/>
        </w:rPr>
        <w:t>the</w:t>
      </w:r>
      <w:r>
        <w:rPr>
          <w:rFonts w:ascii="Times New Roman;Times;serif" w:hAnsi="Times New Roman;Times;serif"/>
          <w:sz w:val="20"/>
        </w:rPr>
        <w:t xml:space="preserve"> </w:t>
      </w:r>
      <w:r>
        <w:rPr>
          <w:rFonts w:ascii="Times New Roman;Times;serif" w:hAnsi="Times New Roman;Times;serif"/>
          <w:sz w:val="24"/>
        </w:rPr>
        <w:t>Parent Borrower or any Subsidiary thereof pursuant to which the Parent Borrower or such Subsidiary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Subsidiary.</w:t>
      </w:r>
    </w:p>
    <w:p>
      <w:pPr>
        <w:pStyle w:val="TextBody"/>
        <w:bidi w:val="0"/>
        <w:spacing w:before="0" w:after="240"/>
        <w:ind w:left="0" w:right="0" w:firstLine="720"/>
        <w:jc w:val="both"/>
        <w:rPr/>
      </w:pPr>
      <w:r>
        <w:rPr/>
        <w:t>“</w:t>
      </w:r>
      <w:r>
        <w:rPr>
          <w:rFonts w:ascii="Times New Roman;Times;serif" w:hAnsi="Times New Roman;Times;serif"/>
          <w:b/>
          <w:sz w:val="24"/>
        </w:rPr>
        <w:t>FATCA</w:t>
      </w:r>
      <w:r>
        <w:rPr>
          <w:rFonts w:ascii="Times New Roman;Times;serif" w:hAnsi="Times New Roman;Times;serif"/>
          <w:sz w:val="20"/>
        </w:rPr>
        <w:t xml:space="preserve">” </w:t>
      </w:r>
      <w:r>
        <w:rPr>
          <w:rFonts w:ascii="Times New Roman;Times;serif" w:hAnsi="Times New Roman;Times;serif"/>
          <w:sz w:val="24"/>
        </w:rPr>
        <w:t>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or any published intergovernmental agreement and any fiscal or regulatory legislation, rules or official practices adopted pursuant to any published intergovernmental agreement entered into in connection with the implementation of such Sections of the Code.</w:t>
      </w:r>
    </w:p>
    <w:p>
      <w:pPr>
        <w:pStyle w:val="TextBody"/>
        <w:bidi w:val="0"/>
        <w:spacing w:before="0" w:after="240"/>
        <w:ind w:left="0" w:right="0" w:firstLine="720"/>
        <w:jc w:val="both"/>
        <w:rPr/>
      </w:pPr>
      <w:r>
        <w:rPr/>
        <w:t>“</w:t>
      </w:r>
      <w:r>
        <w:rPr>
          <w:rFonts w:ascii="Times New Roman;Times;serif" w:hAnsi="Times New Roman;Times;serif"/>
          <w:b/>
          <w:sz w:val="24"/>
        </w:rPr>
        <w:t>Federal Funds Effective Rate</w:t>
      </w:r>
      <w:r>
        <w:rPr>
          <w:rFonts w:ascii="Times New Roman;Times;serif" w:hAnsi="Times New Roman;Times;serif"/>
          <w:sz w:val="20"/>
        </w:rPr>
        <w:t xml:space="preserve">” </w:t>
      </w:r>
      <w:r>
        <w:rPr>
          <w:rFonts w:ascii="Times New Roman;Times;serif" w:hAnsi="Times New Roman;Times;serif"/>
          <w:sz w:val="24"/>
        </w:rPr>
        <w:t xml:space="preserve">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Federal Funds Effective Rate shall be less than zero, such rate shall be deemed to zero for the purposes of this Agreement.</w:t>
      </w:r>
    </w:p>
    <w:p>
      <w:pPr>
        <w:pStyle w:val="TextBody"/>
        <w:bidi w:val="0"/>
        <w:spacing w:before="0" w:after="240"/>
        <w:ind w:left="0" w:right="0" w:firstLine="720"/>
        <w:jc w:val="both"/>
        <w:rPr/>
      </w:pPr>
      <w:r>
        <w:rPr/>
        <w:t>“</w:t>
      </w:r>
      <w:r>
        <w:rPr>
          <w:rFonts w:ascii="Times New Roman;Times;serif" w:hAnsi="Times New Roman;Times;serif"/>
          <w:b/>
          <w:sz w:val="24"/>
        </w:rPr>
        <w:t>Fee Letters</w:t>
      </w:r>
      <w:r>
        <w:rPr>
          <w:rFonts w:ascii="Times New Roman;Times;serif" w:hAnsi="Times New Roman;Times;serif"/>
          <w:sz w:val="20"/>
        </w:rPr>
        <w:t xml:space="preserve">” </w:t>
      </w:r>
      <w:r>
        <w:rPr>
          <w:rFonts w:ascii="Times New Roman;Times;serif" w:hAnsi="Times New Roman;Times;serif"/>
          <w:sz w:val="24"/>
        </w:rPr>
        <w:t>means the Administrative Agent Fee Letter and the Lender Fee Letter.</w:t>
      </w:r>
    </w:p>
    <w:p>
      <w:pPr>
        <w:pStyle w:val="TextBody"/>
        <w:bidi w:val="0"/>
        <w:spacing w:before="0" w:after="240"/>
        <w:ind w:left="0" w:right="0" w:firstLine="720"/>
        <w:jc w:val="both"/>
        <w:rPr/>
      </w:pPr>
      <w:r>
        <w:rPr/>
        <w:t>“</w:t>
      </w:r>
      <w:r>
        <w:rPr>
          <w:rFonts w:ascii="Times New Roman;Times;serif" w:hAnsi="Times New Roman;Times;serif"/>
          <w:b/>
          <w:sz w:val="24"/>
        </w:rPr>
        <w:t>Financial Officer</w:t>
      </w:r>
      <w:r>
        <w:rPr>
          <w:rFonts w:ascii="Times New Roman;Times;serif" w:hAnsi="Times New Roman;Times;serif"/>
          <w:sz w:val="20"/>
        </w:rPr>
        <w:t xml:space="preserve">” </w:t>
      </w:r>
      <w:r>
        <w:rPr>
          <w:rFonts w:ascii="Times New Roman;Times;serif" w:hAnsi="Times New Roman;Times;serif"/>
          <w:sz w:val="24"/>
        </w:rPr>
        <w:t>means, with respect to any Loan Party, the chief financial officer, principal accounting officer, treasurer, vice president of finance or corporate controller of such Loan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Flood Laws</w:t>
      </w:r>
      <w:r>
        <w:rPr>
          <w:rFonts w:ascii="Times New Roman;Times;serif" w:hAnsi="Times New Roman;Times;serif"/>
          <w:sz w:val="20"/>
        </w:rPr>
        <w:t xml:space="preserve">” </w:t>
      </w:r>
      <w:r>
        <w:rPr>
          <w:rFonts w:ascii="Times New Roman;Times;serif" w:hAnsi="Times New Roman;Times;serif"/>
          <w:sz w:val="24"/>
        </w:rPr>
        <w:t>means, collectively, (i) the National Flood Insurance Act of 1968 as now or hereafter in effect or any successor statute thereto, (ii) the Flood Disaster Protection Act of 1973 as now or hereafter in effect or any successor statue thereto, (iii) the National Flood Insurance Reform Act of 1994 as now or hereafter in effect or any successor statute thereto, (iv) the Flood Insurance Reform Act of 2004 as now or hereafter in effect or any successor statute thereto and (v) Biggert-Waters Flood Insurance Reform Act of 2012 as now or hereafter in effect or any successor statute thereto.</w:t>
      </w:r>
    </w:p>
    <w:p>
      <w:pPr>
        <w:pStyle w:val="TextBody"/>
        <w:bidi w:val="0"/>
        <w:spacing w:before="0" w:after="240"/>
        <w:ind w:left="0" w:right="0" w:firstLine="720"/>
        <w:jc w:val="both"/>
        <w:rPr/>
      </w:pPr>
      <w:r>
        <w:rPr/>
        <w:t>“</w:t>
      </w:r>
      <w:r>
        <w:rPr>
          <w:rFonts w:ascii="Times New Roman;Times;serif" w:hAnsi="Times New Roman;Times;serif"/>
          <w:b/>
          <w:sz w:val="24"/>
        </w:rPr>
        <w:t>Floor</w:t>
      </w:r>
      <w:r>
        <w:rPr>
          <w:rFonts w:ascii="Times New Roman;Times;serif" w:hAnsi="Times New Roman;Times;serif"/>
          <w:sz w:val="20"/>
        </w:rPr>
        <w:t xml:space="preserve">” </w:t>
      </w:r>
      <w:r>
        <w:rPr>
          <w:rFonts w:ascii="Times New Roman;Times;serif" w:hAnsi="Times New Roman;Times;serif"/>
          <w:sz w:val="24"/>
        </w:rPr>
        <w:t>means a rate of interest equal to 0.00%.</w:t>
      </w:r>
    </w:p>
    <w:p>
      <w:pPr>
        <w:pStyle w:val="TextBody"/>
        <w:bidi w:val="0"/>
        <w:spacing w:before="0" w:after="240"/>
        <w:ind w:left="0" w:right="0" w:firstLine="720"/>
        <w:jc w:val="both"/>
        <w:rPr/>
      </w:pPr>
      <w:r>
        <w:rPr/>
        <w:t>“</w:t>
      </w:r>
      <w:r>
        <w:rPr>
          <w:rFonts w:ascii="Times New Roman;Times;serif" w:hAnsi="Times New Roman;Times;serif"/>
          <w:b/>
          <w:sz w:val="24"/>
        </w:rPr>
        <w:t>Fluence Energy Philippines</w:t>
      </w:r>
      <w:r>
        <w:rPr>
          <w:rFonts w:ascii="Times New Roman;Times;serif" w:hAnsi="Times New Roman;Times;serif"/>
          <w:sz w:val="20"/>
        </w:rPr>
        <w:t xml:space="preserve">” </w:t>
      </w:r>
      <w:r>
        <w:rPr>
          <w:rFonts w:ascii="Times New Roman;Times;serif" w:hAnsi="Times New Roman;Times;serif"/>
          <w:sz w:val="24"/>
        </w:rPr>
        <w:t>means Fluence Energy, Inc. a corporation organized under the laws of the Philippines, with company registration no. CS201909440.</w:t>
      </w:r>
    </w:p>
    <w:p>
      <w:pPr>
        <w:pStyle w:val="TextBody"/>
        <w:bidi w:val="0"/>
        <w:spacing w:before="0" w:after="240"/>
        <w:ind w:left="0" w:right="0" w:firstLine="720"/>
        <w:jc w:val="both"/>
        <w:rPr/>
      </w:pPr>
      <w:r>
        <w:rPr/>
        <w:t>“</w:t>
      </w:r>
      <w:r>
        <w:rPr>
          <w:rFonts w:ascii="Times New Roman;Times;serif" w:hAnsi="Times New Roman;Times;serif"/>
          <w:b/>
          <w:sz w:val="24"/>
        </w:rPr>
        <w:t>Fluence Energy Philippines Guaranty</w:t>
      </w:r>
      <w:r>
        <w:rPr>
          <w:rFonts w:ascii="Times New Roman;Times;serif" w:hAnsi="Times New Roman;Times;serif"/>
          <w:sz w:val="20"/>
        </w:rPr>
        <w:t xml:space="preserve">” </w:t>
      </w:r>
      <w:r>
        <w:rPr>
          <w:rFonts w:ascii="Times New Roman;Times;serif" w:hAnsi="Times New Roman;Times;serif"/>
          <w:sz w:val="24"/>
        </w:rPr>
        <w:t xml:space="preserve">means each guaranty agreement to be executed by a Philippine Guarantor in favor of the Administrative Agent governed or expressed to be governed by the laws of New York, which agreements shall be granted in accordance with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and the other provisions of this Agreement, in each case, as may be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4"/>
        </w:rPr>
        <w:t>Foreign Guarantor</w:t>
      </w:r>
      <w:r>
        <w:rPr>
          <w:rFonts w:ascii="Times New Roman;Times;serif" w:hAnsi="Times New Roman;Times;serif"/>
          <w:sz w:val="20"/>
        </w:rPr>
        <w:t xml:space="preserve">” </w:t>
      </w:r>
      <w:r>
        <w:rPr>
          <w:rFonts w:ascii="Times New Roman;Times;serif" w:hAnsi="Times New Roman;Times;serif"/>
          <w:sz w:val="24"/>
        </w:rPr>
        <w:t>means each Subsidiary of the Parent that is organized under the laws of a jurisdiction other than the United States (or any State thereof) which is a Guarantor.</w:t>
      </w:r>
    </w:p>
    <w:p>
      <w:pPr>
        <w:pStyle w:val="TextBody"/>
        <w:bidi w:val="0"/>
        <w:spacing w:before="0" w:after="240"/>
        <w:ind w:left="0" w:right="0" w:firstLine="720"/>
        <w:jc w:val="both"/>
        <w:rPr/>
      </w:pPr>
      <w:r>
        <w:rPr/>
        <w:t>“</w:t>
      </w:r>
      <w:r>
        <w:rPr>
          <w:rFonts w:ascii="Times New Roman;Times;serif" w:hAnsi="Times New Roman;Times;serif"/>
          <w:b/>
          <w:sz w:val="24"/>
        </w:rPr>
        <w:t>Foreign Lender</w:t>
      </w:r>
      <w:r>
        <w:rPr>
          <w:rFonts w:ascii="Times New Roman;Times;serif" w:hAnsi="Times New Roman;Times;serif"/>
          <w:sz w:val="20"/>
        </w:rPr>
        <w:t xml:space="preserve">” </w:t>
      </w:r>
      <w:r>
        <w:rPr>
          <w:rFonts w:ascii="Times New Roman;Times;serif" w:hAnsi="Times New Roman;Times;serif"/>
          <w:sz w:val="24"/>
        </w:rPr>
        <w:t>means any Lender that is organized under the laws of a jurisdiction other than the United States of America, each State thereof and the District of Columbia.</w:t>
      </w:r>
    </w:p>
    <w:p>
      <w:pPr>
        <w:pStyle w:val="TextBody"/>
        <w:bidi w:val="0"/>
        <w:spacing w:before="0" w:after="240"/>
        <w:ind w:left="0" w:right="0" w:firstLine="720"/>
        <w:jc w:val="both"/>
        <w:rPr/>
      </w:pPr>
      <w:r>
        <w:rPr/>
        <w:t>“</w:t>
      </w:r>
      <w:r>
        <w:rPr>
          <w:rFonts w:ascii="Times New Roman;Times;serif" w:hAnsi="Times New Roman;Times;serif"/>
          <w:b/>
          <w:sz w:val="24"/>
        </w:rPr>
        <w:t>Foreign Loan Party</w:t>
      </w:r>
      <w:r>
        <w:rPr>
          <w:rFonts w:ascii="Times New Roman;Times;serif" w:hAnsi="Times New Roman;Times;serif"/>
          <w:sz w:val="20"/>
        </w:rPr>
        <w:t xml:space="preserve">” </w:t>
      </w:r>
      <w:r>
        <w:rPr>
          <w:rFonts w:ascii="Times New Roman;Times;serif" w:hAnsi="Times New Roman;Times;serif"/>
          <w:sz w:val="24"/>
        </w:rPr>
        <w:t>means each Foreign Guarantor.</w:t>
      </w:r>
    </w:p>
    <w:p>
      <w:pPr>
        <w:pStyle w:val="TextBody"/>
        <w:bidi w:val="0"/>
        <w:spacing w:before="0" w:after="240"/>
        <w:ind w:left="0" w:right="0" w:firstLine="720"/>
        <w:jc w:val="both"/>
        <w:rPr/>
      </w:pPr>
      <w:r>
        <w:rPr/>
        <w:t>“</w:t>
      </w:r>
      <w:r>
        <w:rPr>
          <w:rFonts w:ascii="Times New Roman;Times;serif" w:hAnsi="Times New Roman;Times;serif"/>
          <w:b/>
          <w:sz w:val="24"/>
        </w:rPr>
        <w:t>Foreign Security Agreement</w:t>
      </w:r>
      <w:r>
        <w:rPr>
          <w:rFonts w:ascii="Times New Roman;Times;serif" w:hAnsi="Times New Roman;Times;serif"/>
          <w:sz w:val="20"/>
        </w:rPr>
        <w:t xml:space="preserve">” </w:t>
      </w:r>
      <w:r>
        <w:rPr>
          <w:rFonts w:ascii="Times New Roman;Times;serif" w:hAnsi="Times New Roman;Times;serif"/>
          <w:sz w:val="24"/>
        </w:rPr>
        <w:t xml:space="preserve">means each of the Australian Security Documents, the Canadian Security Documents, the Dutch Security Documents, the German Security Documents, the Irish Security Documents, the Singapore Security Documents, the Swiss Security Documents, the Philippines Security Documents, the Taiwan Security Documents, the UK Security Documents and each of the other agreements entered into from time to time by any Foreign Guarantor in accordance with </w:t>
      </w:r>
      <w:r>
        <w:rPr>
          <w:rFonts w:ascii="Times New Roman;Times;serif" w:hAnsi="Times New Roman;Times;serif"/>
          <w:sz w:val="24"/>
          <w:u w:val="single"/>
        </w:rPr>
        <w:t>Section 5.11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Foreign Subsidiary</w:t>
      </w:r>
      <w:r>
        <w:rPr>
          <w:rFonts w:ascii="Times New Roman;Times;serif" w:hAnsi="Times New Roman;Times;serif"/>
          <w:sz w:val="20"/>
        </w:rPr>
        <w:t xml:space="preserve">” </w:t>
      </w:r>
      <w:r>
        <w:rPr>
          <w:rFonts w:ascii="Times New Roman;Times;serif" w:hAnsi="Times New Roman;Times;serif"/>
          <w:sz w:val="24"/>
        </w:rPr>
        <w:t>means any Subsidiary of the Parent that is not a Domestic Subsidiary.</w:t>
      </w:r>
    </w:p>
    <w:p>
      <w:pPr>
        <w:pStyle w:val="TextBody"/>
        <w:bidi w:val="0"/>
        <w:spacing w:before="0" w:after="240"/>
        <w:ind w:left="0" w:right="0" w:firstLine="720"/>
        <w:jc w:val="both"/>
        <w:rPr/>
      </w:pPr>
      <w:r>
        <w:rPr/>
        <w:t>“</w:t>
      </w:r>
      <w:r>
        <w:rPr>
          <w:rFonts w:ascii="Times New Roman;Times;serif" w:hAnsi="Times New Roman;Times;serif"/>
          <w:b/>
          <w:sz w:val="24"/>
        </w:rPr>
        <w:t>Fronting Exposure</w:t>
      </w:r>
      <w:r>
        <w:rPr>
          <w:rFonts w:ascii="Times New Roman;Times;serif" w:hAnsi="Times New Roman;Times;serif"/>
          <w:sz w:val="20"/>
        </w:rPr>
        <w:t xml:space="preserve">” </w:t>
      </w:r>
      <w:r>
        <w:rPr>
          <w:rFonts w:ascii="Times New Roman;Times;serif" w:hAnsi="Times New Roman;Times;serif"/>
          <w:sz w:val="24"/>
        </w:rPr>
        <w:t>means, at any time there is a Defaulting Lender, with respect to any Issuing Bank, such Defaulting Lender’s Applicable Percentage of the outstanding Obligations with respect to Letters of Credit issued by such Issuing Bank other than such Obligations as to which such Defaulting Lender’s participation obligation has been reallocated to other Lenders or Cash Collateralized in accordance with the terms hereof.</w:t>
      </w:r>
    </w:p>
    <w:p>
      <w:pPr>
        <w:pStyle w:val="TextBody"/>
        <w:bidi w:val="0"/>
        <w:spacing w:before="0" w:after="240"/>
        <w:ind w:left="0" w:right="0" w:firstLine="720"/>
        <w:jc w:val="both"/>
        <w:rPr/>
      </w:pPr>
      <w:r>
        <w:rPr/>
        <w:t>“</w:t>
      </w:r>
      <w:r>
        <w:rPr>
          <w:rFonts w:ascii="Times New Roman;Times;serif" w:hAnsi="Times New Roman;Times;serif"/>
          <w:b/>
          <w:sz w:val="24"/>
        </w:rPr>
        <w:t>GAAP</w:t>
      </w:r>
      <w:r>
        <w:rPr>
          <w:rFonts w:ascii="Times New Roman;Times;serif" w:hAnsi="Times New Roman;Times;serif"/>
          <w:sz w:val="20"/>
        </w:rPr>
        <w:t xml:space="preserve">” </w:t>
      </w:r>
      <w:r>
        <w:rPr>
          <w:rFonts w:ascii="Times New Roman;Times;serif" w:hAnsi="Times New Roman;Times;serif"/>
          <w:sz w:val="24"/>
        </w:rPr>
        <w:t>means (a) generally accepted accounting principles in the United States of America, as set forth in the Accounting Standards Codification of the Financial Accounting Standards Board from time to time, (b) where applicable with respect to Loan Parties registered, organized or incorporated in jurisdictions other than the United States or Germany, generally accepted accounting principles, standards and practices in such jurisdictions, and (c) with respect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to any Loan Party incorporated or established under the laws of Germany, generally accepted accounting principles (</w:t>
      </w:r>
      <w:r>
        <w:rPr>
          <w:rFonts w:ascii="Times New Roman;Times;serif" w:hAnsi="Times New Roman;Times;serif"/>
          <w:i/>
          <w:sz w:val="24"/>
        </w:rPr>
        <w:t>Grundsätze ordungsgemäßer Buchführung</w:t>
      </w:r>
      <w:r>
        <w:rPr>
          <w:rFonts w:ascii="Times New Roman;Times;serif" w:hAnsi="Times New Roman;Times;serif"/>
          <w:sz w:val="24"/>
        </w:rPr>
        <w:t>) including the German Commercial Code (</w:t>
      </w:r>
      <w:r>
        <w:rPr>
          <w:rFonts w:ascii="Times New Roman;Times;serif" w:hAnsi="Times New Roman;Times;serif"/>
          <w:i/>
          <w:sz w:val="24"/>
        </w:rPr>
        <w:t>Handelsgesetzbuch, HGB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German Guarantor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German GmbH &amp; Co. KG Guarantor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German GmbH Guarantor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German Loan Party</w:t>
      </w:r>
      <w:r>
        <w:rPr>
          <w:rFonts w:ascii="Times New Roman;Times;serif" w:hAnsi="Times New Roman;Times;serif"/>
          <w:sz w:val="20"/>
        </w:rPr>
        <w:t xml:space="preserve">” </w:t>
      </w:r>
      <w:r>
        <w:rPr>
          <w:rFonts w:ascii="Times New Roman;Times;serif" w:hAnsi="Times New Roman;Times;serif"/>
          <w:sz w:val="24"/>
        </w:rPr>
        <w:t>means a Loan Party incorporated or established in Germany.</w:t>
      </w:r>
    </w:p>
    <w:p>
      <w:pPr>
        <w:pStyle w:val="TextBody"/>
        <w:bidi w:val="0"/>
        <w:spacing w:before="0" w:after="240"/>
        <w:ind w:left="0" w:right="0" w:firstLine="720"/>
        <w:jc w:val="both"/>
        <w:rPr/>
      </w:pPr>
      <w:r>
        <w:rPr/>
        <w:t>“</w:t>
      </w:r>
      <w:r>
        <w:rPr>
          <w:rFonts w:ascii="Times New Roman;Times;serif" w:hAnsi="Times New Roman;Times;serif"/>
          <w:b/>
          <w:sz w:val="24"/>
        </w:rPr>
        <w:t>German Security</w:t>
      </w:r>
      <w:r>
        <w:rPr>
          <w:rFonts w:ascii="Times New Roman;Times;serif" w:hAnsi="Times New Roman;Times;serif"/>
          <w:sz w:val="20"/>
        </w:rPr>
        <w:t xml:space="preserve">” </w:t>
      </w:r>
      <w:r>
        <w:rPr>
          <w:rFonts w:ascii="Times New Roman;Times;serif" w:hAnsi="Times New Roman;Times;serif"/>
          <w:sz w:val="24"/>
        </w:rPr>
        <w:t>means any security interest created under the German Security Documents.</w:t>
      </w:r>
    </w:p>
    <w:p>
      <w:pPr>
        <w:pStyle w:val="TextBody"/>
        <w:bidi w:val="0"/>
        <w:spacing w:before="0" w:after="240"/>
        <w:ind w:left="0" w:right="0" w:firstLine="720"/>
        <w:jc w:val="both"/>
        <w:rPr/>
      </w:pPr>
      <w:r>
        <w:rPr/>
        <w:t>“</w:t>
      </w:r>
      <w:r>
        <w:rPr>
          <w:rFonts w:ascii="Times New Roman;Times;serif" w:hAnsi="Times New Roman;Times;serif"/>
          <w:b/>
          <w:sz w:val="24"/>
        </w:rPr>
        <w:t>German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set forth in Section 5(f)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“Germany” which agreements shall be granted in accordance with the Agreed Security Principles, in each case as may be amended, restated, supplemented or otherwise modified from time to time, and any other security agreement, pledge agreement or similar document governed by German law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Governmental Authority</w:t>
      </w:r>
      <w:r>
        <w:rPr>
          <w:rFonts w:ascii="Times New Roman;Times;serif" w:hAnsi="Times New Roman;Times;serif"/>
          <w:sz w:val="20"/>
        </w:rPr>
        <w:t xml:space="preserve">” </w:t>
      </w:r>
      <w:r>
        <w:rPr>
          <w:rFonts w:ascii="Times New Roman;Times;serif" w:hAnsi="Times New Roman;Times;serif"/>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New Roman;Times;serif" w:hAnsi="Times New Roman;Times;serif"/>
          <w:b/>
          <w:sz w:val="24"/>
        </w:rPr>
        <w:t>Guarantee</w:t>
      </w:r>
      <w:r>
        <w:rPr>
          <w:rFonts w:ascii="Times New Roman;Times;serif" w:hAnsi="Times New Roman;Times;serif"/>
          <w:sz w:val="20"/>
        </w:rPr>
        <w:t xml:space="preserve">” </w:t>
      </w:r>
      <w:r>
        <w:rPr>
          <w:rFonts w:ascii="Times New Roman;Times;serif" w:hAnsi="Times New Roman;Times;serif"/>
          <w:sz w:val="24"/>
        </w:rPr>
        <w:t>of or by any Person (the “guarantor”) means any obligation, contingent or otherwise, of the guarantor guaranteeing or having the economic effect of guaranteeing any Indebtedness or other obligation of any other Person (the “</w:t>
      </w:r>
      <w:r>
        <w:rPr>
          <w:rFonts w:ascii="Times New Roman;Times;serif" w:hAnsi="Times New Roman;Times;serif"/>
          <w:b/>
          <w:sz w:val="24"/>
        </w:rPr>
        <w:t>primary obligor</w:t>
      </w:r>
      <w:r>
        <w:rPr>
          <w:rFonts w:ascii="Times New Roman;Times;serif" w:hAnsi="Times New Roman;Times;serif"/>
          <w:sz w:val="20"/>
        </w:rPr>
        <w:t>”</w:t>
      </w:r>
      <w:r>
        <w:rPr>
          <w:rFonts w:ascii="Times New Roman;Times;serif" w:hAnsi="Times New Roman;Times;serif"/>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Times;serif" w:hAnsi="Times New Roman;Times;serif"/>
          <w:sz w:val="24"/>
          <w:u w:val="single"/>
        </w:rPr>
        <w:t>provided</w:t>
      </w:r>
      <w:r>
        <w:rPr>
          <w:rFonts w:ascii="Times New Roman;Times;serif" w:hAnsi="Times New Roman;Times;serif"/>
          <w:sz w:val="24"/>
        </w:rPr>
        <w:t>,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pStyle w:val="TextBody"/>
        <w:bidi w:val="0"/>
        <w:spacing w:before="0" w:after="240"/>
        <w:ind w:left="0" w:right="0" w:firstLine="720"/>
        <w:jc w:val="both"/>
        <w:rPr/>
      </w:pPr>
      <w:r>
        <w:rPr/>
        <w:t>“</w:t>
      </w:r>
      <w:r>
        <w:rPr>
          <w:rFonts w:ascii="Times New Roman;Times;serif" w:hAnsi="Times New Roman;Times;serif"/>
          <w:b/>
          <w:sz w:val="24"/>
        </w:rPr>
        <w:t>Guarantor</w:t>
      </w:r>
      <w:r>
        <w:rPr>
          <w:rFonts w:ascii="Times New Roman;Times;serif" w:hAnsi="Times New Roman;Times;serif"/>
          <w:sz w:val="20"/>
        </w:rPr>
        <w:t xml:space="preserve">” </w:t>
      </w:r>
      <w:r>
        <w:rPr>
          <w:rFonts w:ascii="Times New Roman;Times;serif" w:hAnsi="Times New Roman;Times;serif"/>
          <w:sz w:val="24"/>
        </w:rPr>
        <w:t>means (i) any Subsidiary (not including any Borrower or any Excluded Subsidiary) of the Parent Borrower party hereto as a Guarantor or that has executed a guaranty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supplement pursuant to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9.07</w:t>
      </w:r>
      <w:r>
        <w:rPr>
          <w:rFonts w:ascii="Times New Roman;Times;serif" w:hAnsi="Times New Roman;Times;serif"/>
          <w:sz w:val="24"/>
        </w:rPr>
        <w:t>, (ii) the Parent, (iii) each Dutch Guarantor and (iv) other than with respect to its own Obligations, each Borrower.</w:t>
      </w:r>
    </w:p>
    <w:p>
      <w:pPr>
        <w:pStyle w:val="TextBody"/>
        <w:bidi w:val="0"/>
        <w:spacing w:before="0" w:after="240"/>
        <w:ind w:left="0" w:right="0" w:firstLine="720"/>
        <w:jc w:val="both"/>
        <w:rPr/>
      </w:pPr>
      <w:r>
        <w:rPr/>
        <w:t>“</w:t>
      </w:r>
      <w:r>
        <w:rPr>
          <w:rFonts w:ascii="Times New Roman;Times;serif" w:hAnsi="Times New Roman;Times;serif"/>
          <w:b/>
          <w:sz w:val="24"/>
        </w:rPr>
        <w:t>Guarantor Coverage Test</w:t>
      </w:r>
      <w:r>
        <w:rPr>
          <w:rFonts w:ascii="Times New Roman;Times;serif" w:hAnsi="Times New Roman;Times;serif"/>
          <w:sz w:val="20"/>
        </w:rPr>
        <w:t xml:space="preserve">” </w:t>
      </w:r>
      <w:r>
        <w:rPr>
          <w:rFonts w:ascii="Times New Roman;Times;serif" w:hAnsi="Times New Roman;Times;serif"/>
          <w:sz w:val="24"/>
        </w:rPr>
        <w:t>means the requirement, subject to the Agreed Security Principles, that, as of each Guarantor Coverage Test Date, (a) the total assets (without duplication) of the Loan Parties as a group as of such date is not less than 75% of the Total Assets as of such date and (b) the aggregate revenues (without duplication) of the Loan Parties as a group for the Measurement Period then ended is not less than 75% of Total Revenue for such Measurement Period.</w:t>
      </w:r>
    </w:p>
    <w:p>
      <w:pPr>
        <w:pStyle w:val="TextBody"/>
        <w:bidi w:val="0"/>
        <w:spacing w:before="0" w:after="240"/>
        <w:ind w:left="0" w:right="0" w:firstLine="720"/>
        <w:jc w:val="both"/>
        <w:rPr/>
      </w:pPr>
      <w:r>
        <w:rPr/>
        <w:t>“</w:t>
      </w:r>
      <w:r>
        <w:rPr>
          <w:rFonts w:ascii="Times New Roman;Times;serif" w:hAnsi="Times New Roman;Times;serif"/>
          <w:b/>
          <w:sz w:val="24"/>
        </w:rPr>
        <w:t>Guarantor Coverage Test Date</w:t>
      </w:r>
      <w:r>
        <w:rPr>
          <w:rFonts w:ascii="Times New Roman;Times;serif" w:hAnsi="Times New Roman;Times;serif"/>
          <w:sz w:val="20"/>
        </w:rPr>
        <w:t xml:space="preserve">” </w:t>
      </w:r>
      <w:r>
        <w:rPr>
          <w:rFonts w:ascii="Times New Roman;Times;serif" w:hAnsi="Times New Roman;Times;serif"/>
          <w:sz w:val="24"/>
        </w:rPr>
        <w:t xml:space="preserve">means (i) the date which is 60 days after (and excluding) the Amendment No. 3 Effective Date (or such later date as the </w:t>
      </w:r>
      <w:r>
        <w:rPr>
          <w:rFonts w:ascii="Times New Roman;Times;serif" w:hAnsi="Times New Roman;Times;serif"/>
          <w:b/>
          <w:color w:val="FF0000"/>
          <w:sz w:val="24"/>
        </w:rPr>
        <w:t>Collateral</w:t>
      </w:r>
      <w:r>
        <w:rPr>
          <w:rFonts w:ascii="Times New Roman;Times;serif" w:hAnsi="Times New Roman;Times;serif"/>
          <w:b/>
          <w:color w:val="0000FF"/>
          <w:sz w:val="24"/>
        </w:rPr>
        <w:t>Administrative</w:t>
      </w:r>
      <w:r>
        <w:rPr>
          <w:rFonts w:ascii="Times New Roman;Times;serif" w:hAnsi="Times New Roman;Times;serif"/>
          <w:sz w:val="20"/>
        </w:rPr>
        <w:t xml:space="preserve"> </w:t>
      </w:r>
      <w:r>
        <w:rPr>
          <w:rFonts w:ascii="Times New Roman;Times;serif" w:hAnsi="Times New Roman;Times;serif"/>
          <w:sz w:val="24"/>
        </w:rPr>
        <w:t xml:space="preserve">Agent may in its reasonable discretion agree), by reference to the most recently ended fiscal quarter for which financial statements required by </w:t>
      </w:r>
      <w:r>
        <w:rPr>
          <w:rFonts w:ascii="Times New Roman;Times;serif" w:hAnsi="Times New Roman;Times;serif"/>
          <w:sz w:val="24"/>
          <w:u w:val="single"/>
        </w:rPr>
        <w:t>Section 5.1(b)</w:t>
      </w:r>
      <w:r>
        <w:rPr>
          <w:rFonts w:ascii="Times New Roman;Times;serif" w:hAnsi="Times New Roman;Times;serif"/>
          <w:sz w:val="20"/>
        </w:rPr>
        <w:t xml:space="preserve"> </w:t>
      </w:r>
      <w:r>
        <w:rPr>
          <w:rFonts w:ascii="Times New Roman;Times;serif" w:hAnsi="Times New Roman;Times;serif"/>
          <w:sz w:val="24"/>
        </w:rPr>
        <w:t xml:space="preserve">have been delivered to the Administrative Agent; and (ii) thereafter, the date on which the financial statements are required to be delivered pursuant to </w:t>
      </w:r>
      <w:r>
        <w:rPr>
          <w:rFonts w:ascii="Times New Roman;Times;serif" w:hAnsi="Times New Roman;Times;serif"/>
          <w:sz w:val="24"/>
          <w:u w:val="single"/>
        </w:rPr>
        <w:t>Section 5.1(b)</w:t>
      </w:r>
      <w:r>
        <w:rPr>
          <w:rFonts w:ascii="Times New Roman;Times;serif" w:hAnsi="Times New Roman;Times;serif"/>
          <w:sz w:val="24"/>
        </w:rPr>
        <w:t>, by reference to such financial statements.</w:t>
      </w:r>
    </w:p>
    <w:p>
      <w:pPr>
        <w:pStyle w:val="TextBody"/>
        <w:bidi w:val="0"/>
        <w:spacing w:before="0" w:after="240"/>
        <w:ind w:left="0" w:right="0" w:firstLine="720"/>
        <w:jc w:val="both"/>
        <w:rPr/>
      </w:pPr>
      <w:r>
        <w:rPr/>
        <w:t>“</w:t>
      </w:r>
      <w:r>
        <w:rPr>
          <w:rFonts w:ascii="Times New Roman;Times;serif" w:hAnsi="Times New Roman;Times;serif"/>
          <w:b/>
          <w:sz w:val="24"/>
        </w:rPr>
        <w:t>Guaranty</w:t>
      </w:r>
      <w:r>
        <w:rPr>
          <w:rFonts w:ascii="Times New Roman;Times;serif" w:hAnsi="Times New Roman;Times;serif"/>
          <w:sz w:val="20"/>
        </w:rPr>
        <w:t xml:space="preserve">” </w:t>
      </w:r>
      <w:r>
        <w:rPr>
          <w:rFonts w:ascii="Times New Roman;Times;serif" w:hAnsi="Times New Roman;Times;serif"/>
          <w:sz w:val="24"/>
        </w:rPr>
        <w:t xml:space="preserve">means the guaranty and other provisions in </w:t>
      </w:r>
      <w:r>
        <w:rPr>
          <w:rFonts w:ascii="Times New Roman;Times;serif" w:hAnsi="Times New Roman;Times;serif"/>
          <w:sz w:val="24"/>
          <w:u w:val="single"/>
        </w:rPr>
        <w:t>Article 9</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Guaranty Subordinated Debt</w:t>
      </w:r>
      <w:r>
        <w:rPr>
          <w:rFonts w:ascii="Times New Roman;Times;serif" w:hAnsi="Times New Roman;Times;serif"/>
          <w:sz w:val="20"/>
        </w:rPr>
        <w:t xml:space="preserve">” </w:t>
      </w:r>
      <w:r>
        <w:rPr>
          <w:rFonts w:ascii="Times New Roman;Times;serif" w:hAnsi="Times New Roman;Times;serif"/>
          <w:sz w:val="24"/>
        </w:rPr>
        <w:t>has the meaning specified in</w:t>
      </w:r>
      <w:r>
        <w:rPr>
          <w:rFonts w:ascii="Times New Roman;Times;serif" w:hAnsi="Times New Roman;Times;serif"/>
          <w:sz w:val="20"/>
          <w:u w:val="single"/>
        </w:rPr>
        <w:t xml:space="preserve"> </w:t>
      </w:r>
      <w:r>
        <w:rPr>
          <w:rFonts w:ascii="Times New Roman;Times;serif" w:hAnsi="Times New Roman;Times;serif"/>
          <w:sz w:val="24"/>
          <w:u w:val="single"/>
        </w:rPr>
        <w:t>Section 9.02(b)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Hazardous Materials</w:t>
      </w:r>
      <w:r>
        <w:rPr>
          <w:rFonts w:ascii="Times New Roman;Times;serif" w:hAnsi="Times New Roman;Times;serif"/>
          <w:sz w:val="20"/>
        </w:rPr>
        <w:t xml:space="preserve">” </w:t>
      </w:r>
      <w:r>
        <w:rPr>
          <w:rFonts w:ascii="Times New Roman;Times;serif" w:hAnsi="Times New Roman;Times;serif"/>
          <w:sz w:val="24"/>
        </w:rPr>
        <w:t>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pStyle w:val="TextBody"/>
        <w:bidi w:val="0"/>
        <w:spacing w:before="0" w:after="240"/>
        <w:ind w:left="0" w:right="0" w:firstLine="720"/>
        <w:jc w:val="both"/>
        <w:rPr/>
      </w:pPr>
      <w:r>
        <w:rPr/>
        <w:t>“</w:t>
      </w:r>
      <w:r>
        <w:rPr>
          <w:rFonts w:ascii="Times New Roman;Times;serif" w:hAnsi="Times New Roman;Times;serif"/>
          <w:b/>
          <w:sz w:val="24"/>
        </w:rPr>
        <w:t>Immaterial Subsidiary</w:t>
      </w:r>
      <w:r>
        <w:rPr>
          <w:rFonts w:ascii="Times New Roman;Times;serif" w:hAnsi="Times New Roman;Times;serif"/>
          <w:sz w:val="20"/>
        </w:rPr>
        <w:t xml:space="preserve">” </w:t>
      </w:r>
      <w:r>
        <w:rPr>
          <w:rFonts w:ascii="Times New Roman;Times;serif" w:hAnsi="Times New Roman;Times;serif"/>
          <w:sz w:val="24"/>
        </w:rPr>
        <w:t xml:space="preserve">means any Subsidiary that (a) did not, as of the last day of the fiscal quarter of the Parent most recently ended for which financials have been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4"/>
        </w:rPr>
        <w:t xml:space="preserve">, have (i) total assets with a value in excess of 5% of the Total Assets, or (ii) revenues representing in excess of 5% of the Total Revenues, for the four fiscal quarters ended as of such date and (b) taken together with all Immaterial Subsidiaries as of the last day of the fiscal quarter of the Parent most recently ended for which financials have been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4"/>
        </w:rPr>
        <w:t xml:space="preserve">, did not have (i) total assets with a value in excess of 10% of the Total Assets, or (ii) revenues representing in excess of 10% of the Total Revenues for the four fiscal quarters ended as of such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(v) no Borrower may be deemed an Immaterial Subsidiary, (w) no Subsidiary that is then a Loan Party shall be deemed an Immaterial Subsidiary, (x) no Material Foreign Subsidiary that is required to become a Guarantor under the Guarantor Coverage Test shall be deemed an Immaterial Subsidiary, (y) no Immaterial Subsidiary may hold Equity Interests in any Loan Party, and (z) except as permitted by </w:t>
      </w:r>
      <w:r>
        <w:rPr>
          <w:rFonts w:ascii="Times New Roman;Times;serif" w:hAnsi="Times New Roman;Times;serif"/>
          <w:sz w:val="24"/>
          <w:u w:val="single"/>
        </w:rPr>
        <w:t>Section 6.14</w:t>
      </w:r>
      <w:r>
        <w:rPr>
          <w:rFonts w:ascii="Times New Roman;Times;serif" w:hAnsi="Times New Roman;Times;serif"/>
          <w:sz w:val="24"/>
        </w:rPr>
        <w:t xml:space="preserve">, no Immaterial Subsidiary may own or have an exclusive license to any Intellectual Property that is material to the business of the Parent Borrower and its Subsidiaries (taken as a whole). Each Immaterial Subsidiary as of the Amendment No. 3 Effective Date shall be set forth in </w:t>
      </w:r>
      <w:r>
        <w:rPr>
          <w:rFonts w:ascii="Times New Roman;Times;serif" w:hAnsi="Times New Roman;Times;serif"/>
          <w:sz w:val="24"/>
          <w:u w:val="single"/>
        </w:rPr>
        <w:t>Schedule 3.13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Impacted EURIBOR Rate Interest Period</w:t>
      </w:r>
      <w:r>
        <w:rPr>
          <w:rFonts w:ascii="Times New Roman;Times;serif" w:hAnsi="Times New Roman;Times;serif"/>
          <w:sz w:val="20"/>
        </w:rPr>
        <w:t xml:space="preserve">” </w:t>
      </w:r>
      <w:r>
        <w:rPr>
          <w:rFonts w:ascii="Times New Roman;Times;serif" w:hAnsi="Times New Roman;Times;serif"/>
          <w:sz w:val="24"/>
        </w:rPr>
        <w:t>has the meaning specified</w:t>
      </w:r>
      <w:r>
        <w:rPr>
          <w:rFonts w:ascii="Times New Roman;Times;serif" w:hAnsi="Times New Roman;Times;serif"/>
          <w:sz w:val="20"/>
        </w:rPr>
        <w:t xml:space="preserve"> </w:t>
      </w:r>
      <w:r>
        <w:rPr>
          <w:rFonts w:ascii="Times New Roman;Times;serif" w:hAnsi="Times New Roman;Times;serif"/>
          <w:sz w:val="24"/>
        </w:rPr>
        <w:t>in the definition of “EURIBOR Rate.”</w:t>
      </w:r>
    </w:p>
    <w:p>
      <w:pPr>
        <w:pStyle w:val="TextBody"/>
        <w:bidi w:val="0"/>
        <w:spacing w:before="0" w:after="240"/>
        <w:ind w:left="0" w:right="0" w:firstLine="720"/>
        <w:jc w:val="both"/>
        <w:rPr/>
      </w:pPr>
      <w:r>
        <w:rPr/>
        <w:t>“</w:t>
      </w:r>
      <w:r>
        <w:rPr>
          <w:rFonts w:ascii="Times New Roman;Times;serif" w:hAnsi="Times New Roman;Times;serif"/>
          <w:b/>
          <w:sz w:val="24"/>
        </w:rPr>
        <w:t>Increased Amount Date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Incremental Amount</w:t>
      </w:r>
      <w:r>
        <w:rPr>
          <w:rFonts w:ascii="Times New Roman;Times;serif" w:hAnsi="Times New Roman;Times;serif"/>
          <w:sz w:val="20"/>
        </w:rPr>
        <w:t xml:space="preserve">” </w:t>
      </w:r>
      <w:r>
        <w:rPr>
          <w:rFonts w:ascii="Times New Roman;Times;serif" w:hAnsi="Times New Roman;Times;serif"/>
          <w:sz w:val="24"/>
        </w:rPr>
        <w:t xml:space="preserve">means </w:t>
      </w:r>
      <w:r>
        <w:rPr>
          <w:rFonts w:ascii="Times New Roman;Times;serif" w:hAnsi="Times New Roman;Times;serif"/>
          <w:b/>
          <w:color w:val="0000FF"/>
          <w:sz w:val="24"/>
        </w:rPr>
        <w:t>at any time (a) prior to the Trigger Date, $100,000,000 and (b) from and after the Trigger Date,</w:t>
      </w:r>
      <w:r>
        <w:rPr>
          <w:rFonts w:ascii="Times New Roman;Times;serif" w:hAnsi="Times New Roman;Times;serif"/>
          <w:color w:val="0000FF"/>
          <w:sz w:val="20"/>
          <w:u w:val="single"/>
        </w:rPr>
        <w:t xml:space="preserve"> </w:t>
      </w:r>
      <w:r>
        <w:rPr>
          <w:rFonts w:ascii="Times New Roman;Times;serif" w:hAnsi="Times New Roman;Times;serif"/>
          <w:sz w:val="24"/>
        </w:rPr>
        <w:t>$150,000,000.</w:t>
      </w:r>
    </w:p>
    <w:p>
      <w:pPr>
        <w:pStyle w:val="TextBody"/>
        <w:bidi w:val="0"/>
        <w:spacing w:before="0" w:after="240"/>
        <w:ind w:left="0" w:right="0" w:firstLine="720"/>
        <w:jc w:val="both"/>
        <w:rPr/>
      </w:pPr>
      <w:r>
        <w:rPr/>
        <w:t>“</w:t>
      </w:r>
      <w:r>
        <w:rPr>
          <w:rFonts w:ascii="Times New Roman;Times;serif" w:hAnsi="Times New Roman;Times;serif"/>
          <w:b/>
          <w:sz w:val="24"/>
        </w:rPr>
        <w:t>Indebtedness</w:t>
      </w:r>
      <w:r>
        <w:rPr>
          <w:rFonts w:ascii="Times New Roman;Times;serif" w:hAnsi="Times New Roman;Times;serif"/>
          <w:sz w:val="20"/>
        </w:rPr>
        <w:t xml:space="preserve">” </w:t>
      </w:r>
      <w:r>
        <w:rPr>
          <w:rFonts w:ascii="Times New Roman;Times;serif" w:hAnsi="Times New Roman;Times;serif"/>
          <w:sz w:val="24"/>
        </w:rPr>
        <w:t>of any Person at any date means, without duplication, (a) all indebtedness of such Person for borrowed money, (b) all obligations of such Person for any earn-outs or similar obligations or the deferred purchase price of property or services, in each case, to the extent required to be included as a liability on the balance sheet of such Person at such time in accordance with GAAP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obligations of such Person in respect of Disqualified Equity Interests, (h) all Guarantees of such Person in respect of obligations of the kind referred to in clauses (a) through (g) above, and (i) all obligations of the kind referred to in clauses (a) through (h)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before="0" w:after="240"/>
        <w:ind w:left="0" w:right="0" w:firstLine="720"/>
        <w:jc w:val="both"/>
        <w:rPr/>
      </w:pPr>
      <w:r>
        <w:rPr/>
        <w:t>“</w:t>
      </w:r>
      <w:r>
        <w:rPr>
          <w:rFonts w:ascii="Times New Roman;Times;serif" w:hAnsi="Times New Roman;Times;serif"/>
          <w:b/>
          <w:sz w:val="24"/>
        </w:rPr>
        <w:t>Indemnified Taxes</w:t>
      </w:r>
      <w:r>
        <w:rPr>
          <w:rFonts w:ascii="Times New Roman;Times;serif" w:hAnsi="Times New Roman;Times;serif"/>
          <w:sz w:val="20"/>
        </w:rPr>
        <w:t xml:space="preserve">” </w:t>
      </w:r>
      <w:r>
        <w:rPr>
          <w:rFonts w:ascii="Times New Roman;Times;serif" w:hAnsi="Times New Roman;Times;serif"/>
          <w:sz w:val="24"/>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before="0" w:after="240"/>
        <w:ind w:left="0" w:right="0" w:firstLine="720"/>
        <w:jc w:val="both"/>
        <w:rPr/>
      </w:pPr>
      <w:r>
        <w:rPr/>
        <w:t>“</w:t>
      </w:r>
      <w:r>
        <w:rPr>
          <w:rFonts w:ascii="Times New Roman;Times;serif" w:hAnsi="Times New Roman;Times;serif"/>
          <w:b/>
          <w:sz w:val="24"/>
        </w:rPr>
        <w:t>Indemnitee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10.03(b)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Indirect Tax</w:t>
      </w:r>
      <w:r>
        <w:rPr>
          <w:rFonts w:ascii="Times New Roman;Times;serif" w:hAnsi="Times New Roman;Times;serif"/>
          <w:sz w:val="20"/>
        </w:rPr>
        <w:t xml:space="preserve">” </w:t>
      </w:r>
      <w:r>
        <w:rPr>
          <w:rFonts w:ascii="Times New Roman;Times;serif" w:hAnsi="Times New Roman;Times;serif"/>
          <w:sz w:val="24"/>
        </w:rPr>
        <w:t>means any goods and services tax (including Australian GST and goods and services tax imposed in Singapore), consumption tax, value added tax or any tax of a similar nature imposed by any Governmental Authority, including any interest, additions to indirect tax and penalties applicable thereto.</w:t>
      </w:r>
    </w:p>
    <w:p>
      <w:pPr>
        <w:pStyle w:val="TextBody"/>
        <w:bidi w:val="0"/>
        <w:spacing w:before="0" w:after="240"/>
        <w:ind w:left="0" w:right="0" w:firstLine="720"/>
        <w:jc w:val="both"/>
        <w:rPr/>
      </w:pPr>
      <w:r>
        <w:rPr/>
        <w:t>“</w:t>
      </w:r>
      <w:r>
        <w:rPr>
          <w:rFonts w:ascii="Times New Roman;Times;serif" w:hAnsi="Times New Roman;Times;serif"/>
          <w:b/>
          <w:sz w:val="24"/>
        </w:rPr>
        <w:t>Information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Intellectual Property</w:t>
      </w:r>
      <w:r>
        <w:rPr>
          <w:rFonts w:ascii="Times New Roman;Times;serif" w:hAnsi="Times New Roman;Times;serif"/>
          <w:sz w:val="20"/>
        </w:rPr>
        <w:t xml:space="preserve">” </w:t>
      </w:r>
      <w:r>
        <w:rPr>
          <w:rFonts w:ascii="Times New Roman;Times;serif" w:hAnsi="Times New Roman;Times;serif"/>
          <w:sz w:val="24"/>
        </w:rPr>
        <w:t>means the collective reference to all rights, priorities and privileges relating to intellectual property, whether arising under United States, Canadian, multinational or foreign laws or other applicable laws, including, without limitation, all Copyrights, Patents, industrial designs, industrial design licenses, Trademarks, proprietary rights in technology, trade secrets, know-how and processes, and all registrations and applications therefor.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Intercompany Subordination Agreement</w:t>
      </w:r>
      <w:r>
        <w:rPr>
          <w:rFonts w:ascii="Times New Roman;Times;serif" w:hAnsi="Times New Roman;Times;serif"/>
          <w:sz w:val="20"/>
        </w:rPr>
        <w:t xml:space="preserve">” </w:t>
      </w:r>
      <w:r>
        <w:rPr>
          <w:rFonts w:ascii="Times New Roman;Times;serif" w:hAnsi="Times New Roman;Times;serif"/>
          <w:sz w:val="24"/>
        </w:rPr>
        <w:t>means an intercompany subordination agreement, dated as of the Effective Date, executed and delivered by each of the Loan Parties, each of their respective Subsidiaries party thereto, and the Administrative Agent, the form and substance of which is reasonably satisfactory to the Administrative Agent.</w:t>
      </w:r>
    </w:p>
    <w:p>
      <w:pPr>
        <w:pStyle w:val="TextBody"/>
        <w:bidi w:val="0"/>
        <w:spacing w:before="0" w:after="240"/>
        <w:ind w:left="0" w:right="0" w:firstLine="720"/>
        <w:jc w:val="both"/>
        <w:rPr/>
      </w:pPr>
      <w:r>
        <w:rPr/>
        <w:t>“</w:t>
      </w:r>
      <w:r>
        <w:rPr>
          <w:rFonts w:ascii="Times New Roman;Times;serif" w:hAnsi="Times New Roman;Times;serif"/>
          <w:b/>
          <w:sz w:val="24"/>
        </w:rPr>
        <w:t>Interest Election Request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2.05(b)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Interest Expense</w:t>
      </w:r>
      <w:r>
        <w:rPr>
          <w:rFonts w:ascii="Times New Roman;Times;serif" w:hAnsi="Times New Roman;Times;serif"/>
          <w:sz w:val="20"/>
        </w:rPr>
        <w:t xml:space="preserve">” </w:t>
      </w:r>
      <w:r>
        <w:rPr>
          <w:rFonts w:ascii="Times New Roman;Times;serif" w:hAnsi="Times New Roman;Times;serif"/>
          <w:sz w:val="24"/>
        </w:rPr>
        <w:t>means, with reference to any period, total cash interest expense (including that attributable to Capital Lease Obligations) of the Parent and its Subsidiaries for such period with respect to all outstanding Indebtedness of the Parent and its Subsidiaries (including all net payments and receipts (if any) under Swap Agreements in respect of interest rates to the extent such net payments and receipts are made in cash in such period and allocable to such period in accordance with GAAP), calculated on a consolidated basis for the Parent and its Subsidiaries for such period in accordance with GAAP.</w:t>
      </w:r>
    </w:p>
    <w:p>
      <w:pPr>
        <w:pStyle w:val="TextBody"/>
        <w:bidi w:val="0"/>
        <w:spacing w:before="0" w:after="240"/>
        <w:ind w:left="0" w:right="0" w:firstLine="720"/>
        <w:jc w:val="both"/>
        <w:rPr/>
      </w:pPr>
      <w:r>
        <w:rPr/>
        <w:t>“</w:t>
      </w:r>
      <w:r>
        <w:rPr>
          <w:rFonts w:ascii="Times New Roman;Times;serif" w:hAnsi="Times New Roman;Times;serif"/>
          <w:b/>
          <w:sz w:val="24"/>
        </w:rPr>
        <w:t>Interest Payment Date</w:t>
      </w:r>
      <w:r>
        <w:rPr>
          <w:rFonts w:ascii="Times New Roman;Times;serif" w:hAnsi="Times New Roman;Times;serif"/>
          <w:sz w:val="20"/>
        </w:rPr>
        <w:t xml:space="preserve">” </w:t>
      </w:r>
      <w:r>
        <w:rPr>
          <w:rFonts w:ascii="Times New Roman;Times;serif" w:hAnsi="Times New Roman;Times;serif"/>
          <w:sz w:val="24"/>
        </w:rPr>
        <w:t>means (a) with respect to any ABR Loan, the last Business Day of each March, June, September and December, (b) with respect to any RFR Loan, (1) the last Business Day of each March, June, September and December and (2) the Maturity Date, and (c)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w:t>
      </w:r>
    </w:p>
    <w:p>
      <w:pPr>
        <w:pStyle w:val="TextBody"/>
        <w:bidi w:val="0"/>
        <w:spacing w:before="0" w:after="240"/>
        <w:ind w:left="0" w:right="0" w:firstLine="720"/>
        <w:jc w:val="both"/>
        <w:rPr/>
      </w:pPr>
      <w:r>
        <w:rPr/>
        <w:t>“</w:t>
      </w:r>
      <w:r>
        <w:rPr>
          <w:rFonts w:ascii="Times New Roman;Times;serif" w:hAnsi="Times New Roman;Times;serif"/>
          <w:b/>
          <w:sz w:val="24"/>
        </w:rPr>
        <w:t>Interest Period</w:t>
      </w:r>
      <w:r>
        <w:rPr>
          <w:rFonts w:ascii="Times New Roman;Times;serif" w:hAnsi="Times New Roman;Times;serif"/>
          <w:sz w:val="20"/>
        </w:rPr>
        <w:t xml:space="preserve">” </w:t>
      </w:r>
      <w:r>
        <w:rPr>
          <w:rFonts w:ascii="Times New Roman;Times;serif" w:hAnsi="Times New Roman;Times;serif"/>
          <w:sz w:val="24"/>
        </w:rPr>
        <w:t xml:space="preserve">means, with respect to any Term Benchmark Borrowing, the period commencing on the date of such Borrowing and ending on the numerically corresponding day in the calendar month that is one, three or six months (or, with the consent of each Lender, twelve months or less than one month) thereafter, (in each case, subject to the availability for the Benchmark applicable to the relevant Loan or Commitment for any Agreed Currency) as the Borrowers may elect; </w:t>
      </w:r>
      <w:r>
        <w:rPr>
          <w:rFonts w:ascii="Times New Roman;Times;serif" w:hAnsi="Times New Roman;Times;serif"/>
          <w:sz w:val="24"/>
          <w:u w:val="single"/>
        </w:rPr>
        <w:t>provided</w:t>
      </w:r>
      <w:r>
        <w:rPr>
          <w:rFonts w:ascii="Times New Roman;Times;serif" w:hAnsi="Times New Roman;Times;serif"/>
          <w:sz w:val="24"/>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Term Benchmark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ind w:left="0" w:right="0" w:firstLine="720"/>
        <w:jc w:val="both"/>
        <w:rPr/>
      </w:pPr>
      <w:r>
        <w:rPr/>
        <w:t>“</w:t>
      </w:r>
      <w:r>
        <w:rPr>
          <w:rFonts w:ascii="Times New Roman;Times;serif" w:hAnsi="Times New Roman;Times;serif"/>
          <w:b/>
          <w:sz w:val="24"/>
        </w:rPr>
        <w:t>Interest Rate Determination Date</w:t>
      </w:r>
      <w:r>
        <w:rPr>
          <w:rFonts w:ascii="Times New Roman;Times;serif" w:hAnsi="Times New Roman;Times;serif"/>
          <w:sz w:val="20"/>
        </w:rPr>
        <w:t xml:space="preserve">” </w:t>
      </w:r>
      <w:r>
        <w:rPr>
          <w:rFonts w:ascii="Times New Roman;Times;serif" w:hAnsi="Times New Roman;Times;serif"/>
          <w:sz w:val="24"/>
        </w:rPr>
        <w:t>means, with respect to any Interest Period, the date that is two Business Days prior to the first day of such Interest Period.</w:t>
      </w:r>
    </w:p>
    <w:p>
      <w:pPr>
        <w:pStyle w:val="TextBody"/>
        <w:bidi w:val="0"/>
        <w:spacing w:before="0" w:after="240"/>
        <w:ind w:left="0" w:right="0" w:firstLine="720"/>
        <w:jc w:val="both"/>
        <w:rPr/>
      </w:pPr>
      <w:r>
        <w:rPr/>
        <w:t>“</w:t>
      </w:r>
      <w:r>
        <w:rPr>
          <w:rFonts w:ascii="Times New Roman;Times;serif" w:hAnsi="Times New Roman;Times;serif"/>
          <w:b/>
          <w:sz w:val="24"/>
        </w:rPr>
        <w:t>Investment</w:t>
      </w:r>
      <w:r>
        <w:rPr>
          <w:rFonts w:ascii="Times New Roman;Times;serif" w:hAnsi="Times New Roman;Times;serif"/>
          <w:sz w:val="20"/>
        </w:rPr>
        <w:t xml:space="preserve">” </w:t>
      </w:r>
      <w:r>
        <w:rPr>
          <w:rFonts w:ascii="Times New Roman;Times;serif" w:hAnsi="Times New Roman;Times;serif"/>
          <w:sz w:val="24"/>
        </w:rPr>
        <w:t xml:space="preserve">has the meaning given to such term in </w:t>
      </w:r>
      <w:r>
        <w:rPr>
          <w:rFonts w:ascii="Times New Roman;Times;serif" w:hAnsi="Times New Roman;Times;serif"/>
          <w:sz w:val="24"/>
          <w:u w:val="single"/>
        </w:rPr>
        <w:t>Section 6.04</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Irish Companies Act</w:t>
      </w:r>
      <w:r>
        <w:rPr>
          <w:rFonts w:ascii="Times New Roman;Times;serif" w:hAnsi="Times New Roman;Times;serif"/>
          <w:sz w:val="20"/>
        </w:rPr>
        <w:t xml:space="preserve">” </w:t>
      </w:r>
      <w:r>
        <w:rPr>
          <w:rFonts w:ascii="Times New Roman;Times;serif" w:hAnsi="Times New Roman;Times;serif"/>
          <w:sz w:val="24"/>
        </w:rPr>
        <w:t>means the Companies Act 2014 of Ireland.</w:t>
      </w:r>
    </w:p>
    <w:p>
      <w:pPr>
        <w:pStyle w:val="TextBody"/>
        <w:bidi w:val="0"/>
        <w:spacing w:before="0" w:after="240"/>
        <w:ind w:left="0" w:right="0" w:firstLine="720"/>
        <w:jc w:val="both"/>
        <w:rPr/>
      </w:pPr>
      <w:r>
        <w:rPr/>
        <w:t>“</w:t>
      </w:r>
      <w:r>
        <w:rPr>
          <w:rFonts w:ascii="Times New Roman;Times;serif" w:hAnsi="Times New Roman;Times;serif"/>
          <w:b/>
          <w:sz w:val="24"/>
        </w:rPr>
        <w:t>Irish Loan Party</w:t>
      </w:r>
      <w:r>
        <w:rPr>
          <w:rFonts w:ascii="Times New Roman;Times;serif" w:hAnsi="Times New Roman;Times;serif"/>
          <w:sz w:val="20"/>
        </w:rPr>
        <w:t xml:space="preserve">” </w:t>
      </w:r>
      <w:r>
        <w:rPr>
          <w:rFonts w:ascii="Times New Roman;Times;serif" w:hAnsi="Times New Roman;Times;serif"/>
          <w:sz w:val="24"/>
        </w:rPr>
        <w:t>means a Loan Party that is incorporated or organized under the laws of Ireland.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4"/>
        </w:rPr>
        <w:t>Irish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set forth in Section 4(g)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“Ireland” which agreements shall be granted in accordance with the Agreed Security Principles, in each case as may be amended, restated, supplemented or otherwise modified from time to time, and any other security agreement, pledge agreement or similar document governed by the laws of Ireland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Irish Subsidiary</w:t>
      </w:r>
      <w:r>
        <w:rPr>
          <w:rFonts w:ascii="Times New Roman;Times;serif" w:hAnsi="Times New Roman;Times;serif"/>
          <w:sz w:val="20"/>
        </w:rPr>
        <w:t xml:space="preserve">” </w:t>
      </w:r>
      <w:r>
        <w:rPr>
          <w:rFonts w:ascii="Times New Roman;Times;serif" w:hAnsi="Times New Roman;Times;serif"/>
          <w:sz w:val="24"/>
        </w:rPr>
        <w:t>means a Subsidiary of the</w:t>
      </w:r>
      <w:r>
        <w:rPr>
          <w:rFonts w:ascii="Times New Roman;Times;serif" w:hAnsi="Times New Roman;Times;serif"/>
          <w:sz w:val="20"/>
        </w:rPr>
        <w:t xml:space="preserve"> </w:t>
      </w:r>
      <w:r>
        <w:rPr>
          <w:rFonts w:ascii="Times New Roman;Times;serif" w:hAnsi="Times New Roman;Times;serif"/>
          <w:sz w:val="24"/>
        </w:rPr>
        <w:t>Parent</w:t>
      </w:r>
      <w:r>
        <w:rPr>
          <w:rFonts w:ascii="Times New Roman;Times;serif" w:hAnsi="Times New Roman;Times;serif"/>
          <w:sz w:val="20"/>
        </w:rPr>
        <w:t xml:space="preserve"> </w:t>
      </w:r>
      <w:r>
        <w:rPr>
          <w:rFonts w:ascii="Times New Roman;Times;serif" w:hAnsi="Times New Roman;Times;serif"/>
          <w:sz w:val="24"/>
        </w:rPr>
        <w:t>Borrower that is incorporated or organized under the laws of Ireland.</w:t>
      </w:r>
    </w:p>
    <w:p>
      <w:pPr>
        <w:pStyle w:val="TextBody"/>
        <w:bidi w:val="0"/>
        <w:spacing w:before="0" w:after="240"/>
        <w:ind w:left="0" w:right="0" w:firstLine="720"/>
        <w:jc w:val="both"/>
        <w:rPr/>
      </w:pPr>
      <w:r>
        <w:rPr/>
        <w:t>“</w:t>
      </w:r>
      <w:r>
        <w:rPr>
          <w:rFonts w:ascii="Times New Roman;Times;serif" w:hAnsi="Times New Roman;Times;serif"/>
          <w:b/>
          <w:sz w:val="24"/>
        </w:rPr>
        <w:t>IRS</w:t>
      </w:r>
      <w:r>
        <w:rPr>
          <w:rFonts w:ascii="Times New Roman;Times;serif" w:hAnsi="Times New Roman;Times;serif"/>
          <w:sz w:val="20"/>
        </w:rPr>
        <w:t xml:space="preserve">” </w:t>
      </w:r>
      <w:r>
        <w:rPr>
          <w:rFonts w:ascii="Times New Roman;Times;serif" w:hAnsi="Times New Roman;Times;serif"/>
          <w:sz w:val="24"/>
        </w:rPr>
        <w:t>means the U.S. Internal Revenue Service.</w:t>
      </w:r>
    </w:p>
    <w:p>
      <w:pPr>
        <w:pStyle w:val="TextBody"/>
        <w:bidi w:val="0"/>
        <w:spacing w:before="0" w:after="240"/>
        <w:ind w:left="0" w:right="0" w:firstLine="720"/>
        <w:jc w:val="both"/>
        <w:rPr/>
      </w:pPr>
      <w:r>
        <w:rPr/>
        <w:t>“</w:t>
      </w:r>
      <w:r>
        <w:rPr>
          <w:rFonts w:ascii="Times New Roman;Times;serif" w:hAnsi="Times New Roman;Times;serif"/>
          <w:b/>
          <w:sz w:val="24"/>
        </w:rPr>
        <w:t>Issuing Bank</w:t>
      </w:r>
      <w:r>
        <w:rPr>
          <w:rFonts w:ascii="Times New Roman;Times;serif" w:hAnsi="Times New Roman;Times;serif"/>
          <w:sz w:val="20"/>
        </w:rPr>
        <w:t xml:space="preserve">” </w:t>
      </w:r>
      <w:r>
        <w:rPr>
          <w:rFonts w:ascii="Times New Roman;Times;serif" w:hAnsi="Times New Roman;Times;serif"/>
          <w:sz w:val="24"/>
        </w:rPr>
        <w:t xml:space="preserve">means, with respect to a particular Letter of Credit, (a) each Lender identified as an “Issuing Bank” on </w:t>
      </w:r>
      <w:r>
        <w:rPr>
          <w:rFonts w:ascii="Times New Roman;Times;serif" w:hAnsi="Times New Roman;Times;serif"/>
          <w:sz w:val="24"/>
          <w:u w:val="single"/>
        </w:rPr>
        <w:t>Schedule 2.01</w:t>
      </w:r>
      <w:r>
        <w:rPr>
          <w:rFonts w:ascii="Times New Roman;Times;serif" w:hAnsi="Times New Roman;Times;serif"/>
          <w:sz w:val="20"/>
        </w:rPr>
        <w:t xml:space="preserve"> </w:t>
      </w:r>
      <w:r>
        <w:rPr>
          <w:rFonts w:ascii="Times New Roman;Times;serif" w:hAnsi="Times New Roman;Times;serif"/>
          <w:sz w:val="24"/>
        </w:rPr>
        <w:t xml:space="preserve">in its capacity as the issuer of such Letter of Credit, and its successors in such capacity as provided in </w:t>
      </w:r>
      <w:r>
        <w:rPr>
          <w:rFonts w:ascii="Times New Roman;Times;serif" w:hAnsi="Times New Roman;Times;serif"/>
          <w:sz w:val="24"/>
          <w:u w:val="single"/>
        </w:rPr>
        <w:t>Section 2.19(j)</w:t>
      </w:r>
      <w:r>
        <w:rPr>
          <w:rFonts w:ascii="Times New Roman;Times;serif" w:hAnsi="Times New Roman;Times;serif"/>
          <w:sz w:val="24"/>
        </w:rPr>
        <w:t>, (b) such other Lender selected by the Borrowers from time to time to issue such Letter of Credit hereunder upon receipt by the Administrative Agent of documentation in form and substance reasonably satisfactory to the Administrative Agent pursuant to which such Lender agrees to assume the rights and obligations of an Issuing Bank hereunder (provided that no Lender shall be required to become an Issuing Bank pursuant to this subclause (b) without such Lender’s consent), and/or (c) any Lender selected by the Borrowers (with the prior consent of the Administrative Agent (not to be unreasonably withheld, delayed or conditioned)) to replace a Lender who is a Defaulting Lender at the time of such Lender’s appointment as an Issuing Bank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 Lender shall be required to become an Issuing Bank pursuant to this subclause (c) without such Lender’s consent) or any successor in such capacity as provided in </w:t>
      </w:r>
      <w:r>
        <w:rPr>
          <w:rFonts w:ascii="Times New Roman;Times;serif" w:hAnsi="Times New Roman;Times;serif"/>
          <w:sz w:val="24"/>
          <w:u w:val="single"/>
        </w:rPr>
        <w:t>Section 2.19(j)</w:t>
      </w:r>
      <w:r>
        <w:rPr>
          <w:rFonts w:ascii="Times New Roman;Times;serif" w:hAnsi="Times New Roman;Times;serif"/>
          <w:sz w:val="24"/>
        </w:rPr>
        <w:t>. Any Issuing Bank may, in its reasonable discretion, arrange for one or more Letters of Credit to be issued by Affiliates or branches of such Issuing Bank, in which case the term “Issuing Bank” shall include any such Affiliate with respect to Letters of Credit issued by such Affiliate or branch.</w:t>
      </w:r>
    </w:p>
    <w:p>
      <w:pPr>
        <w:pStyle w:val="TextBody"/>
        <w:bidi w:val="0"/>
        <w:spacing w:before="0" w:after="240"/>
        <w:ind w:left="0" w:right="0" w:firstLine="720"/>
        <w:jc w:val="both"/>
        <w:rPr/>
      </w:pPr>
      <w:r>
        <w:rPr/>
        <w:t>“</w:t>
      </w:r>
      <w:r>
        <w:rPr>
          <w:rFonts w:ascii="Times New Roman;Times;serif" w:hAnsi="Times New Roman;Times;serif"/>
          <w:b/>
          <w:sz w:val="24"/>
        </w:rPr>
        <w:t>Junior Debt</w:t>
      </w:r>
      <w:r>
        <w:rPr>
          <w:rFonts w:ascii="Times New Roman;Times;serif" w:hAnsi="Times New Roman;Times;serif"/>
          <w:sz w:val="20"/>
        </w:rPr>
        <w:t xml:space="preserve">” </w:t>
      </w:r>
      <w:r>
        <w:rPr>
          <w:rFonts w:ascii="Times New Roman;Times;serif" w:hAnsi="Times New Roman;Times;serif"/>
          <w:sz w:val="24"/>
        </w:rPr>
        <w:t xml:space="preserve">means (i) any junior lien secured Indebtedness that is subordinated to the Liens of the Secured Parties, (ii) any unsecured Indebtedness, and (iii) any subordinated Indebtedness;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Indebtedness in respect of any Parent Convertible Notes shall not constitute Junior Debt. For the avoidance of doubt, Capital Lease Obligations and Purchase Money Indebtedness shall not constitute Junior Debt.</w:t>
      </w:r>
    </w:p>
    <w:p>
      <w:pPr>
        <w:pStyle w:val="TextBody"/>
        <w:bidi w:val="0"/>
        <w:spacing w:before="0" w:after="240"/>
        <w:ind w:left="0" w:right="0" w:firstLine="720"/>
        <w:jc w:val="both"/>
        <w:rPr/>
      </w:pPr>
      <w:r>
        <w:rPr/>
        <w:t>“</w:t>
      </w:r>
      <w:r>
        <w:rPr>
          <w:rFonts w:ascii="Times New Roman;Times;serif" w:hAnsi="Times New Roman;Times;serif"/>
          <w:b/>
          <w:sz w:val="24"/>
        </w:rPr>
        <w:t>LC Commitment</w:t>
      </w:r>
      <w:r>
        <w:rPr>
          <w:rFonts w:ascii="Times New Roman;Times;serif" w:hAnsi="Times New Roman;Times;serif"/>
          <w:sz w:val="20"/>
        </w:rPr>
        <w:t xml:space="preserve">” </w:t>
      </w:r>
      <w:r>
        <w:rPr>
          <w:rFonts w:ascii="Times New Roman;Times;serif" w:hAnsi="Times New Roman;Times;serif"/>
          <w:sz w:val="24"/>
        </w:rPr>
        <w:t xml:space="preserve">means, with respect to any Issuing Bank, the amount set forth on </w:t>
      </w:r>
      <w:r>
        <w:rPr>
          <w:rFonts w:ascii="Times New Roman;Times;serif" w:hAnsi="Times New Roman;Times;serif"/>
          <w:sz w:val="24"/>
          <w:u w:val="single"/>
        </w:rPr>
        <w:t>Schedule 2.01</w:t>
      </w:r>
      <w:r>
        <w:rPr>
          <w:rFonts w:ascii="Times New Roman;Times;serif" w:hAnsi="Times New Roman;Times;serif"/>
          <w:sz w:val="20"/>
        </w:rPr>
        <w:t xml:space="preserve"> </w:t>
      </w:r>
      <w:r>
        <w:rPr>
          <w:rFonts w:ascii="Times New Roman;Times;serif" w:hAnsi="Times New Roman;Times;serif"/>
          <w:sz w:val="24"/>
        </w:rPr>
        <w:t>opposite such Issuing Bank’s name under the caption “LC Commitment”.</w:t>
      </w:r>
    </w:p>
    <w:p>
      <w:pPr>
        <w:pStyle w:val="TextBody"/>
        <w:bidi w:val="0"/>
        <w:spacing w:before="0" w:after="240"/>
        <w:ind w:left="0" w:right="0" w:firstLine="720"/>
        <w:jc w:val="both"/>
        <w:rPr/>
      </w:pPr>
      <w:r>
        <w:rPr/>
        <w:t>“</w:t>
      </w:r>
      <w:r>
        <w:rPr>
          <w:rFonts w:ascii="Times New Roman;Times;serif" w:hAnsi="Times New Roman;Times;serif"/>
          <w:b/>
          <w:sz w:val="24"/>
        </w:rPr>
        <w:t>LC Disbursement</w:t>
      </w:r>
      <w:r>
        <w:rPr>
          <w:rFonts w:ascii="Times New Roman;Times;serif" w:hAnsi="Times New Roman;Times;serif"/>
          <w:sz w:val="20"/>
        </w:rPr>
        <w:t xml:space="preserve">” </w:t>
      </w:r>
      <w:r>
        <w:rPr>
          <w:rFonts w:ascii="Times New Roman;Times;serif" w:hAnsi="Times New Roman;Times;serif"/>
          <w:sz w:val="24"/>
        </w:rPr>
        <w:t>means a payment made by an Issuing Bank pursuant to a Letter of Credit.</w:t>
      </w:r>
    </w:p>
    <w:p>
      <w:pPr>
        <w:pStyle w:val="TextBody"/>
        <w:bidi w:val="0"/>
        <w:spacing w:before="0" w:after="240"/>
        <w:ind w:left="0" w:right="0" w:firstLine="720"/>
        <w:jc w:val="both"/>
        <w:rPr/>
      </w:pPr>
      <w:r>
        <w:rPr/>
        <w:t>“</w:t>
      </w:r>
      <w:r>
        <w:rPr>
          <w:rFonts w:ascii="Times New Roman;Times;serif" w:hAnsi="Times New Roman;Times;serif"/>
          <w:b/>
          <w:sz w:val="24"/>
        </w:rPr>
        <w:t>LC Exposure</w:t>
      </w:r>
      <w:r>
        <w:rPr>
          <w:rFonts w:ascii="Times New Roman;Times;serif" w:hAnsi="Times New Roman;Times;serif"/>
          <w:sz w:val="20"/>
        </w:rPr>
        <w:t xml:space="preserve">” </w:t>
      </w:r>
      <w:r>
        <w:rPr>
          <w:rFonts w:ascii="Times New Roman;Times;serif" w:hAnsi="Times New Roman;Times;serif"/>
          <w:sz w:val="24"/>
        </w:rPr>
        <w:t xml:space="preserve">means, at any time, the sum of (a) the aggregate undrawn amount of all outstanding Letters of Credit at such time </w:t>
      </w:r>
      <w:r>
        <w:rPr>
          <w:rFonts w:ascii="Times New Roman;Times;serif" w:hAnsi="Times New Roman;Times;serif"/>
          <w:sz w:val="24"/>
          <w:u w:val="single"/>
        </w:rPr>
        <w:t>plus</w:t>
      </w:r>
      <w:r>
        <w:rPr>
          <w:rFonts w:ascii="Times New Roman;Times;serif" w:hAnsi="Times New Roman;Times;serif"/>
          <w:sz w:val="20"/>
        </w:rPr>
        <w:t xml:space="preserve"> </w:t>
      </w:r>
      <w:r>
        <w:rPr>
          <w:rFonts w:ascii="Times New Roman;Times;serif" w:hAnsi="Times New Roman;Times;serif"/>
          <w:sz w:val="24"/>
        </w:rPr>
        <w:t>(b) the aggregate amount of all LC Disbursements that have not yet been reimbursed by or on behalf of the Borrowers at such time. The LC Exposure of any Lender at any time shall be its Applicable Percentage of the total LC Exposure at such time.</w:t>
      </w:r>
    </w:p>
    <w:p>
      <w:pPr>
        <w:pStyle w:val="TextBody"/>
        <w:bidi w:val="0"/>
        <w:spacing w:before="0" w:after="240"/>
        <w:ind w:left="0" w:right="0" w:firstLine="720"/>
        <w:jc w:val="both"/>
        <w:rPr/>
      </w:pPr>
      <w:r>
        <w:rPr/>
        <w:t>“</w:t>
      </w:r>
      <w:r>
        <w:rPr>
          <w:rFonts w:ascii="Times New Roman;Times;serif" w:hAnsi="Times New Roman;Times;serif"/>
          <w:b/>
          <w:sz w:val="24"/>
        </w:rPr>
        <w:t>LC Sublimit</w:t>
      </w:r>
      <w:r>
        <w:rPr>
          <w:rFonts w:ascii="Times New Roman;Times;serif" w:hAnsi="Times New Roman;Times;serif"/>
          <w:sz w:val="20"/>
        </w:rPr>
        <w:t xml:space="preserve">” </w:t>
      </w:r>
      <w:r>
        <w:rPr>
          <w:rFonts w:ascii="Times New Roman;Times;serif" w:hAnsi="Times New Roman;Times;serif"/>
          <w:sz w:val="24"/>
        </w:rPr>
        <w:t xml:space="preserve">means the lesser of (a) $500,000,000 and (b) the aggregate unused amount of the Commitments then in effect;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Issuing Bank shall be required to issue Letters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Credit in an aggregate amount outstanding at any time in excess of the LC Commitment of such Issuing Bank.</w:t>
      </w:r>
    </w:p>
    <w:p>
      <w:pPr>
        <w:pStyle w:val="TextBody"/>
        <w:bidi w:val="0"/>
        <w:spacing w:before="0" w:after="240"/>
        <w:ind w:left="0" w:right="0" w:firstLine="720"/>
        <w:jc w:val="both"/>
        <w:rPr/>
      </w:pPr>
      <w:r>
        <w:rPr/>
        <w:t>“</w:t>
      </w:r>
      <w:r>
        <w:rPr>
          <w:rFonts w:ascii="Times New Roman;Times;serif" w:hAnsi="Times New Roman;Times;serif"/>
          <w:b/>
          <w:sz w:val="24"/>
        </w:rPr>
        <w:t>Legal Reservations</w:t>
      </w:r>
      <w:r>
        <w:rPr>
          <w:rFonts w:ascii="Times New Roman;Times;serif" w:hAnsi="Times New Roman;Times;serif"/>
          <w:sz w:val="20"/>
        </w:rPr>
        <w:t xml:space="preserve">” </w:t>
      </w:r>
      <w:r>
        <w:rPr>
          <w:rFonts w:ascii="Times New Roman;Times;serif" w:hAnsi="Times New Roman;Times;serif"/>
          <w:sz w:val="24"/>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principle that equitable remedies may be granted or refused at the discretion of a court and the limitation of enforcement by laws relating to insolvency, judicial management, reorganisation and other laws generally affecting the rights of creditors;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time barring of claims under the Statutes of Limitation, 1957 and 1991 of Ireland, the possibility that an undertaking to assume liability for or indemnify a person against non-payment of stamp duty may be void and defences of set-off or counterclaim;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similar principles, rights and remedies under the laws of (i) the jurisdiction of incorporation of any Loan Party or of any jurisdiction where it conducts its business, (ii) the jurisdiction where any asset subject to or intended to be subject to any Security Document is situation and (iii) the jurisdiction whose laws govern the perfection of any Security Document;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any other matters which are set out as qualifications or reservations as to matters of law of general application in any legal opinions supplied to the Administrative Agent in connection with this Agreement.</w:t>
      </w:r>
    </w:p>
    <w:p>
      <w:pPr>
        <w:pStyle w:val="TextBody"/>
        <w:bidi w:val="0"/>
        <w:spacing w:before="0" w:after="240"/>
        <w:ind w:left="0" w:right="0" w:firstLine="720"/>
        <w:jc w:val="both"/>
        <w:rPr/>
      </w:pPr>
      <w:r>
        <w:rPr/>
        <w:t>“</w:t>
      </w:r>
      <w:r>
        <w:rPr>
          <w:rFonts w:ascii="Times New Roman;Times;serif" w:hAnsi="Times New Roman;Times;serif"/>
          <w:b/>
          <w:sz w:val="24"/>
        </w:rPr>
        <w:t>Lender Fee Letter</w:t>
      </w:r>
      <w:r>
        <w:rPr>
          <w:rFonts w:ascii="Times New Roman;Times;serif" w:hAnsi="Times New Roman;Times;serif"/>
          <w:sz w:val="20"/>
        </w:rPr>
        <w:t xml:space="preserve">” </w:t>
      </w:r>
      <w:r>
        <w:rPr>
          <w:rFonts w:ascii="Times New Roman;Times;serif" w:hAnsi="Times New Roman;Times;serif"/>
          <w:sz w:val="24"/>
        </w:rPr>
        <w:t>means that certain Lender Fee Letter, dated as of the Amendment No. 3 Effective Date, by and among the Borrowers, the Lenders and the Administrative Agent.</w:t>
      </w:r>
    </w:p>
    <w:p>
      <w:pPr>
        <w:pStyle w:val="TextBody"/>
        <w:bidi w:val="0"/>
        <w:spacing w:before="0" w:after="240"/>
        <w:ind w:left="0" w:right="0" w:firstLine="720"/>
        <w:jc w:val="both"/>
        <w:rPr/>
      </w:pPr>
      <w:r>
        <w:rPr/>
        <w:t>“</w:t>
      </w:r>
      <w:r>
        <w:rPr>
          <w:rFonts w:ascii="Times New Roman;Times;serif" w:hAnsi="Times New Roman;Times;serif"/>
          <w:b/>
          <w:sz w:val="24"/>
        </w:rPr>
        <w:t>Lender Joinder Agreement</w:t>
      </w:r>
      <w:r>
        <w:rPr>
          <w:rFonts w:ascii="Times New Roman;Times;serif" w:hAnsi="Times New Roman;Times;serif"/>
          <w:sz w:val="20"/>
        </w:rPr>
        <w:t xml:space="preserve">” </w:t>
      </w:r>
      <w:r>
        <w:rPr>
          <w:rFonts w:ascii="Times New Roman;Times;serif" w:hAnsi="Times New Roman;Times;serif"/>
          <w:sz w:val="24"/>
        </w:rPr>
        <w:t>means a lender joinder agreement in form and substance reasonably satisfactory to the Administrative Agent.</w:t>
      </w:r>
    </w:p>
    <w:p>
      <w:pPr>
        <w:pStyle w:val="TextBody"/>
        <w:bidi w:val="0"/>
        <w:spacing w:before="0" w:after="240"/>
        <w:ind w:left="0" w:right="0" w:firstLine="720"/>
        <w:jc w:val="both"/>
        <w:rPr/>
      </w:pPr>
      <w:r>
        <w:rPr/>
        <w:t>“</w:t>
      </w:r>
      <w:r>
        <w:rPr>
          <w:rFonts w:ascii="Times New Roman;Times;serif" w:hAnsi="Times New Roman;Times;serif"/>
          <w:b/>
          <w:sz w:val="24"/>
        </w:rPr>
        <w:t>Lenders</w:t>
      </w:r>
      <w:r>
        <w:rPr>
          <w:rFonts w:ascii="Times New Roman;Times;serif" w:hAnsi="Times New Roman;Times;serif"/>
          <w:sz w:val="20"/>
        </w:rPr>
        <w:t xml:space="preserve">” </w:t>
      </w:r>
      <w:r>
        <w:rPr>
          <w:rFonts w:ascii="Times New Roman;Times;serif" w:hAnsi="Times New Roman;Times;serif"/>
          <w:sz w:val="24"/>
        </w:rPr>
        <w:t xml:space="preserve">means the Persons listed on </w:t>
      </w:r>
      <w:r>
        <w:rPr>
          <w:rFonts w:ascii="Times New Roman;Times;serif" w:hAnsi="Times New Roman;Times;serif"/>
          <w:sz w:val="24"/>
          <w:u w:val="single"/>
        </w:rPr>
        <w:t>Schedule 2.01</w:t>
      </w:r>
      <w:r>
        <w:rPr>
          <w:rFonts w:ascii="Times New Roman;Times;serif" w:hAnsi="Times New Roman;Times;serif"/>
          <w:sz w:val="20"/>
        </w:rPr>
        <w:t xml:space="preserve"> </w:t>
      </w:r>
      <w:r>
        <w:rPr>
          <w:rFonts w:ascii="Times New Roman;Times;serif" w:hAnsi="Times New Roman;Times;serif"/>
          <w:sz w:val="24"/>
        </w:rPr>
        <w:t>and any other Person that shall have become a party hereto pursuant to an Assignment and Assumption, other than any such Person that ceases to be a party hereto pursuant to an Assignment and Assumption. Unless the context otherwise requires, the term “Lenders” includes the Issuing Banks.</w:t>
      </w:r>
    </w:p>
    <w:p>
      <w:pPr>
        <w:pStyle w:val="TextBody"/>
        <w:bidi w:val="0"/>
        <w:spacing w:before="0" w:after="240"/>
        <w:ind w:left="0" w:right="0" w:firstLine="720"/>
        <w:jc w:val="both"/>
        <w:rPr/>
      </w:pPr>
      <w:r>
        <w:rPr/>
        <w:t>“</w:t>
      </w:r>
      <w:r>
        <w:rPr>
          <w:rFonts w:ascii="Times New Roman;Times;serif" w:hAnsi="Times New Roman;Times;serif"/>
          <w:b/>
          <w:sz w:val="24"/>
        </w:rPr>
        <w:t>Letter of Credit</w:t>
      </w:r>
      <w:r>
        <w:rPr>
          <w:rFonts w:ascii="Times New Roman;Times;serif" w:hAnsi="Times New Roman;Times;serif"/>
          <w:sz w:val="20"/>
        </w:rPr>
        <w:t xml:space="preserve">” </w:t>
      </w:r>
      <w:r>
        <w:rPr>
          <w:rFonts w:ascii="Times New Roman;Times;serif" w:hAnsi="Times New Roman;Times;serif"/>
          <w:sz w:val="24"/>
        </w:rPr>
        <w:t>means any letter of credit issued (or deemed to be issued) under and pursuant to this Agreement. A Letter of Credit may be issued in Dollars or in any Alternative Currency.</w:t>
      </w:r>
    </w:p>
    <w:p>
      <w:pPr>
        <w:pStyle w:val="TextBody"/>
        <w:bidi w:val="0"/>
        <w:spacing w:before="0" w:after="240"/>
        <w:ind w:left="0" w:right="0" w:firstLine="720"/>
        <w:jc w:val="both"/>
        <w:rPr/>
      </w:pPr>
      <w:r>
        <w:rPr/>
        <w:t>“</w:t>
      </w:r>
      <w:r>
        <w:rPr>
          <w:rFonts w:ascii="Times New Roman;Times;serif" w:hAnsi="Times New Roman;Times;serif"/>
          <w:b/>
          <w:sz w:val="24"/>
        </w:rPr>
        <w:t>Letter of Credit Request</w:t>
      </w:r>
      <w:r>
        <w:rPr>
          <w:rFonts w:ascii="Times New Roman;Times;serif" w:hAnsi="Times New Roman;Times;serif"/>
          <w:sz w:val="20"/>
        </w:rPr>
        <w:t xml:space="preserve">” </w:t>
      </w:r>
      <w:r>
        <w:rPr>
          <w:rFonts w:ascii="Times New Roman;Times;serif" w:hAnsi="Times New Roman;Times;serif"/>
          <w:sz w:val="24"/>
        </w:rPr>
        <w:t xml:space="preserve">means a request by any Borrower for a Letter of Credit in accordance with </w:t>
      </w:r>
      <w:r>
        <w:rPr>
          <w:rFonts w:ascii="Times New Roman;Times;serif" w:hAnsi="Times New Roman;Times;serif"/>
          <w:sz w:val="24"/>
          <w:u w:val="single"/>
        </w:rPr>
        <w:t>Section 2.19</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Lien</w:t>
      </w:r>
      <w:r>
        <w:rPr>
          <w:rFonts w:ascii="Times New Roman;Times;serif" w:hAnsi="Times New Roman;Times;serif"/>
          <w:sz w:val="20"/>
        </w:rPr>
        <w:t xml:space="preserve">” </w:t>
      </w:r>
      <w:r>
        <w:rPr>
          <w:rFonts w:ascii="Times New Roman;Times;serif" w:hAnsi="Times New Roman;Times;serif"/>
          <w:sz w:val="24"/>
        </w:rPr>
        <w:t>means, with respect to any asset or right, (a) any mortgage, deed of trust, lien, pledge, hypothecation, encumbrance, charge , privilege (</w:t>
      </w:r>
      <w:r>
        <w:rPr>
          <w:rFonts w:ascii="Times New Roman;Times;serif" w:hAnsi="Times New Roman;Times;serif"/>
          <w:i/>
          <w:sz w:val="24"/>
        </w:rPr>
        <w:t>voorrecht</w:t>
      </w:r>
      <w:r>
        <w:rPr>
          <w:rFonts w:ascii="Times New Roman;Times;serif" w:hAnsi="Times New Roman;Times;serif"/>
          <w:sz w:val="24"/>
        </w:rPr>
        <w:t>), any right in rem (</w:t>
      </w:r>
      <w:r>
        <w:rPr>
          <w:rFonts w:ascii="Times New Roman;Times;serif" w:hAnsi="Times New Roman;Times;serif"/>
          <w:i/>
          <w:sz w:val="24"/>
        </w:rPr>
        <w:t>beperkt recht</w:t>
      </w:r>
      <w:r>
        <w:rPr>
          <w:rFonts w:ascii="Times New Roman;Times;serif" w:hAnsi="Times New Roman;Times;serif"/>
          <w:sz w:val="24"/>
        </w:rPr>
        <w:t>) created for the purpose of granting security (</w:t>
      </w:r>
      <w:r>
        <w:rPr>
          <w:rFonts w:ascii="Times New Roman;Times;serif" w:hAnsi="Times New Roman;Times;serif"/>
          <w:i/>
          <w:sz w:val="24"/>
        </w:rPr>
        <w:t>goederenrechtelijk zekerheidsrecht</w:t>
      </w:r>
      <w:r>
        <w:rPr>
          <w:rFonts w:ascii="Times New Roman;Times;serif" w:hAnsi="Times New Roman;Times;serif"/>
          <w:sz w:val="24"/>
        </w:rPr>
        <w:t>) or other security interest in, on or of such asset or right (including a “security interest” within the meaning of section 12(1) and section 12(2) of the Australian PPSA, but not section 12(3) unless that security interest in substance secures payment or performance of an obligation), and (b) the interest of a vendor or a lessor under any conditional sale agreement, capital lease, right of retention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retentierecht</w:t>
      </w:r>
      <w:r>
        <w:rPr>
          <w:rFonts w:ascii="Times New Roman;Times;serif" w:hAnsi="Times New Roman;Times;serif"/>
          <w:sz w:val="24"/>
        </w:rPr>
        <w:t>), privilege (</w:t>
      </w:r>
      <w:r>
        <w:rPr>
          <w:rFonts w:ascii="Times New Roman;Times;serif" w:hAnsi="Times New Roman;Times;serif"/>
          <w:i/>
          <w:sz w:val="24"/>
        </w:rPr>
        <w:t>voorrecht</w:t>
      </w:r>
      <w:r>
        <w:rPr>
          <w:rFonts w:ascii="Times New Roman;Times;serif" w:hAnsi="Times New Roman;Times;serif"/>
          <w:sz w:val="24"/>
        </w:rPr>
        <w:t>), retention of title arrangements (</w:t>
      </w:r>
      <w:r>
        <w:rPr>
          <w:rFonts w:ascii="Times New Roman;Times;serif" w:hAnsi="Times New Roman;Times;serif"/>
          <w:i/>
          <w:sz w:val="24"/>
        </w:rPr>
        <w:t>eigendomsvoorbehoud</w:t>
      </w:r>
      <w:r>
        <w:rPr>
          <w:rFonts w:ascii="Times New Roman;Times;serif" w:hAnsi="Times New Roman;Times;serif"/>
          <w:sz w:val="24"/>
        </w:rPr>
        <w:t>) or right of reclamation (</w:t>
      </w:r>
      <w:r>
        <w:rPr>
          <w:rFonts w:ascii="Times New Roman;Times;serif" w:hAnsi="Times New Roman;Times;serif"/>
          <w:i/>
          <w:sz w:val="24"/>
        </w:rPr>
        <w:t>recht van reclame</w:t>
      </w:r>
      <w:r>
        <w:rPr>
          <w:rFonts w:ascii="Times New Roman;Times;serif" w:hAnsi="Times New Roman;Times;serif"/>
          <w:sz w:val="24"/>
        </w:rPr>
        <w:t>) or other title retention agreement (or any financing lease having substantially the same economic effect as any of the foregoing) relating to such asset or right and (c) in the case of securities, any purchase option, call or similar right of a third party with respect to such securities.</w:t>
      </w:r>
    </w:p>
    <w:p>
      <w:pPr>
        <w:pStyle w:val="TextBody"/>
        <w:bidi w:val="0"/>
        <w:spacing w:before="0" w:after="240"/>
        <w:ind w:left="0" w:right="0" w:firstLine="720"/>
        <w:jc w:val="both"/>
        <w:rPr/>
      </w:pPr>
      <w:r>
        <w:rPr/>
        <w:t>“</w:t>
      </w:r>
      <w:r>
        <w:rPr>
          <w:rFonts w:ascii="Times New Roman;Times;serif" w:hAnsi="Times New Roman;Times;serif"/>
          <w:b/>
          <w:sz w:val="24"/>
        </w:rPr>
        <w:t>Limitation Event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Liquidity Impairment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Loan Documents</w:t>
      </w:r>
      <w:r>
        <w:rPr>
          <w:rFonts w:ascii="Times New Roman;Times;serif" w:hAnsi="Times New Roman;Times;serif"/>
          <w:sz w:val="20"/>
        </w:rPr>
        <w:t xml:space="preserve">” </w:t>
      </w:r>
      <w:r>
        <w:rPr>
          <w:rFonts w:ascii="Times New Roman;Times;serif" w:hAnsi="Times New Roman;Times;serif"/>
          <w:sz w:val="24"/>
        </w:rPr>
        <w:t xml:space="preserve">means this Agreement (including any amendment hereto or waiver hereunder), the Notes (if any), the Intercompany Subordination Agreement, any Lender Joinder Agreement, any guaranty supplement delivered pursuant to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hereof, the Security Documents, the Australian Security Trust Deed, the Fee Letters, the Reaffirmation Agreement and any other agreement, instrument or document executed by one or more Loan Parties after the Effective Date and designated by its terms as a Loan Document.</w:t>
      </w:r>
    </w:p>
    <w:p>
      <w:pPr>
        <w:pStyle w:val="TextBody"/>
        <w:bidi w:val="0"/>
        <w:spacing w:before="0" w:after="240"/>
        <w:ind w:left="0" w:right="0" w:firstLine="720"/>
        <w:jc w:val="both"/>
        <w:rPr/>
      </w:pPr>
      <w:r>
        <w:rPr/>
        <w:t>“</w:t>
      </w:r>
      <w:r>
        <w:rPr>
          <w:rFonts w:ascii="Times New Roman;Times;serif" w:hAnsi="Times New Roman;Times;serif"/>
          <w:b/>
          <w:sz w:val="24"/>
        </w:rPr>
        <w:t>Loan Parties</w:t>
      </w:r>
      <w:r>
        <w:rPr>
          <w:rFonts w:ascii="Times New Roman;Times;serif" w:hAnsi="Times New Roman;Times;serif"/>
          <w:sz w:val="20"/>
        </w:rPr>
        <w:t xml:space="preserve">” </w:t>
      </w:r>
      <w:r>
        <w:rPr>
          <w:rFonts w:ascii="Times New Roman;Times;serif" w:hAnsi="Times New Roman;Times;serif"/>
          <w:sz w:val="24"/>
        </w:rPr>
        <w:t>means the Borrowers and the Guarantors, and “</w:t>
      </w:r>
      <w:r>
        <w:rPr>
          <w:rFonts w:ascii="Times New Roman;Times;serif" w:hAnsi="Times New Roman;Times;serif"/>
          <w:b/>
          <w:sz w:val="24"/>
        </w:rPr>
        <w:t>Loan Party</w:t>
      </w:r>
      <w:r>
        <w:rPr>
          <w:rFonts w:ascii="Times New Roman;Times;serif" w:hAnsi="Times New Roman;Times;serif"/>
          <w:sz w:val="20"/>
        </w:rPr>
        <w:t xml:space="preserve">” </w:t>
      </w:r>
      <w:r>
        <w:rPr>
          <w:rFonts w:ascii="Times New Roman;Times;serif" w:hAnsi="Times New Roman;Times;serif"/>
          <w:sz w:val="24"/>
        </w:rPr>
        <w:t>means any one of the Loan Parties.</w:t>
      </w:r>
    </w:p>
    <w:p>
      <w:pPr>
        <w:pStyle w:val="TextBody"/>
        <w:bidi w:val="0"/>
        <w:spacing w:before="0" w:after="240"/>
        <w:ind w:left="0" w:right="0" w:firstLine="720"/>
        <w:jc w:val="both"/>
        <w:rPr/>
      </w:pPr>
      <w:r>
        <w:rPr/>
        <w:t>“</w:t>
      </w:r>
      <w:r>
        <w:rPr>
          <w:rFonts w:ascii="Times New Roman;Times;serif" w:hAnsi="Times New Roman;Times;serif"/>
          <w:b/>
          <w:sz w:val="24"/>
        </w:rPr>
        <w:t>Loans</w:t>
      </w:r>
      <w:r>
        <w:rPr>
          <w:rFonts w:ascii="Times New Roman;Times;serif" w:hAnsi="Times New Roman;Times;serif"/>
          <w:sz w:val="20"/>
        </w:rPr>
        <w:t xml:space="preserve">” </w:t>
      </w:r>
      <w:r>
        <w:rPr>
          <w:rFonts w:ascii="Times New Roman;Times;serif" w:hAnsi="Times New Roman;Times;serif"/>
          <w:sz w:val="24"/>
        </w:rPr>
        <w:t>means the loans made by the Lenders to any Borrower pursuant to this Agreement, including Protective Advances.</w:t>
      </w:r>
    </w:p>
    <w:p>
      <w:pPr>
        <w:pStyle w:val="TextBody"/>
        <w:bidi w:val="0"/>
        <w:spacing w:before="0" w:after="240"/>
        <w:ind w:left="0" w:right="0" w:firstLine="720"/>
        <w:jc w:val="both"/>
        <w:rPr/>
      </w:pPr>
      <w:r>
        <w:rPr/>
        <w:t>“</w:t>
      </w:r>
      <w:r>
        <w:rPr>
          <w:rFonts w:ascii="Times New Roman;Times;serif" w:hAnsi="Times New Roman;Times;serif"/>
          <w:b/>
          <w:sz w:val="24"/>
        </w:rPr>
        <w:t>Local Time</w:t>
      </w:r>
      <w:r>
        <w:rPr>
          <w:rFonts w:ascii="Times New Roman;Times;serif" w:hAnsi="Times New Roman;Times;serif"/>
          <w:sz w:val="20"/>
        </w:rPr>
        <w:t xml:space="preserve">” </w:t>
      </w:r>
      <w:r>
        <w:rPr>
          <w:rFonts w:ascii="Times New Roman;Times;serif" w:hAnsi="Times New Roman;Times;serif"/>
          <w:sz w:val="24"/>
        </w:rPr>
        <w:t>means (a) in the case of a Loan, Borrowing or LC Disbursement denominated in Dollars, New York City time, and (b) in the case of a Loan, Borrowing or LC Disbursement denominated in an Alternative Currency, London, England time unless otherwise notified by the Administrative Agent.</w:t>
      </w:r>
    </w:p>
    <w:p>
      <w:pPr>
        <w:pStyle w:val="TextBody"/>
        <w:bidi w:val="0"/>
        <w:spacing w:before="0" w:after="240"/>
        <w:ind w:left="0" w:right="0" w:firstLine="720"/>
        <w:jc w:val="both"/>
        <w:rPr/>
      </w:pPr>
      <w:r>
        <w:rPr/>
        <w:t>“</w:t>
      </w:r>
      <w:r>
        <w:rPr>
          <w:rFonts w:ascii="Times New Roman;Times;serif" w:hAnsi="Times New Roman;Times;serif"/>
          <w:b/>
          <w:sz w:val="24"/>
        </w:rPr>
        <w:t>Management Notification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9.09(d)</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Material Adverse Effect</w:t>
      </w:r>
      <w:r>
        <w:rPr>
          <w:rFonts w:ascii="Times New Roman;Times;serif" w:hAnsi="Times New Roman;Times;serif"/>
          <w:sz w:val="20"/>
        </w:rPr>
        <w:t xml:space="preserve">” </w:t>
      </w:r>
      <w:r>
        <w:rPr>
          <w:rFonts w:ascii="Times New Roman;Times;serif" w:hAnsi="Times New Roman;Times;serif"/>
          <w:sz w:val="24"/>
        </w:rPr>
        <w:t>means a material adverse effect on (a) the business, property, financial condition or results of operations of the Parent and its Subsidiaries taken as a whole, (b) the ability of the Parent or any Borrower to perform any of its payment obligations under this Agreement or any other Loan Document or (c) the rights of or remedies available to the Agents and the Lenders, taken as a whole, under this Agreement or any other Loan Document.</w:t>
      </w:r>
    </w:p>
    <w:p>
      <w:pPr>
        <w:pStyle w:val="TextBody"/>
        <w:bidi w:val="0"/>
        <w:spacing w:before="0" w:after="240"/>
        <w:ind w:left="0" w:right="0" w:firstLine="720"/>
        <w:jc w:val="both"/>
        <w:rPr/>
      </w:pPr>
      <w:r>
        <w:rPr/>
        <w:t>“</w:t>
      </w:r>
      <w:r>
        <w:rPr>
          <w:rFonts w:ascii="Times New Roman;Times;serif" w:hAnsi="Times New Roman;Times;serif"/>
          <w:b/>
          <w:sz w:val="24"/>
        </w:rPr>
        <w:t>Material Foreign Subsidiary</w:t>
      </w:r>
      <w:r>
        <w:rPr>
          <w:rFonts w:ascii="Times New Roman;Times;serif" w:hAnsi="Times New Roman;Times;serif"/>
          <w:sz w:val="20"/>
        </w:rPr>
        <w:t xml:space="preserve">” </w:t>
      </w:r>
      <w:r>
        <w:rPr>
          <w:rFonts w:ascii="Times New Roman;Times;serif" w:hAnsi="Times New Roman;Times;serif"/>
          <w:sz w:val="24"/>
        </w:rPr>
        <w:t xml:space="preserve">means, subject to the Agreed Security Principles, any Foreign Subsidiary (other than any Foreign Subsidiary organized or incorporated under the laws of a Covered Jurisdiction) that, (a) as of the last day of the fiscal quarter of the Parent most recently ended for which financial statements have been (or were required to have been)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0"/>
        </w:rPr>
        <w:t xml:space="preserve"> </w:t>
      </w:r>
      <w:r>
        <w:rPr>
          <w:rFonts w:ascii="Times New Roman;Times;serif" w:hAnsi="Times New Roman;Times;serif"/>
          <w:sz w:val="24"/>
        </w:rPr>
        <w:t>for the Measurement Period then ended, taken together with all Foreign Subsidiaries organized or incorporated under the same jurisdiction, had (i) total assets with a value in excess of 20% of the Total Assets, or (ii) revenues representing in excess of 20% of the Total Revenues for the four fiscal quarters ended as of such date, or (b) owns any Intellectual Property that is material to the business of the Parent and its Subsidiaries (taken as a whole).</w:t>
      </w:r>
    </w:p>
    <w:p>
      <w:pPr>
        <w:pStyle w:val="TextBody"/>
        <w:bidi w:val="0"/>
        <w:spacing w:before="0" w:after="240"/>
        <w:ind w:left="0" w:right="0" w:firstLine="720"/>
        <w:jc w:val="both"/>
        <w:rPr/>
      </w:pPr>
      <w:r>
        <w:rPr/>
        <w:t>“</w:t>
      </w:r>
      <w:r>
        <w:rPr>
          <w:rFonts w:ascii="Times New Roman;Times;serif" w:hAnsi="Times New Roman;Times;serif"/>
          <w:b/>
          <w:sz w:val="24"/>
        </w:rPr>
        <w:t>Material Indebtedness</w:t>
      </w:r>
      <w:r>
        <w:rPr>
          <w:rFonts w:ascii="Times New Roman;Times;serif" w:hAnsi="Times New Roman;Times;serif"/>
          <w:sz w:val="20"/>
        </w:rPr>
        <w:t xml:space="preserve">” </w:t>
      </w:r>
      <w:r>
        <w:rPr>
          <w:rFonts w:ascii="Times New Roman;Times;serif" w:hAnsi="Times New Roman;Times;serif"/>
          <w:sz w:val="24"/>
        </w:rPr>
        <w:t>means Indebtedness (other than any Indebtedness under the Loan Documents and Letters of Credit hereunder), or obligations in respect of one or more Swap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Agreements, of any one or more of the Parent and its Subsidiaries having an outstanding principal amount exceeding $25,000,000. For purposes of determining Material Indebtedness, the “principal amount” of the obligations of the Parent or any Subsidiary in respect of any Swap Agreement at any time shall be the maximum aggregate amount (giving effect to any netting agreements) that the Parent or such Subsidiary would be required to pay if such Swap Agreement were terminated at such time.</w:t>
      </w:r>
    </w:p>
    <w:p>
      <w:pPr>
        <w:pStyle w:val="TextBody"/>
        <w:bidi w:val="0"/>
        <w:spacing w:before="0" w:after="240"/>
        <w:ind w:left="0" w:right="0" w:firstLine="720"/>
        <w:jc w:val="both"/>
        <w:rPr/>
      </w:pPr>
      <w:r>
        <w:rPr/>
        <w:t>“</w:t>
      </w:r>
      <w:r>
        <w:rPr>
          <w:rFonts w:ascii="Times New Roman;Times;serif" w:hAnsi="Times New Roman;Times;serif"/>
          <w:b/>
          <w:sz w:val="24"/>
        </w:rPr>
        <w:t>Maturity Date</w:t>
      </w:r>
      <w:r>
        <w:rPr>
          <w:rFonts w:ascii="Times New Roman;Times;serif" w:hAnsi="Times New Roman;Times;serif"/>
          <w:sz w:val="20"/>
        </w:rPr>
        <w:t xml:space="preserve">” </w:t>
      </w:r>
      <w:r>
        <w:rPr>
          <w:rFonts w:ascii="Times New Roman;Times;serif" w:hAnsi="Times New Roman;Times;serif"/>
          <w:sz w:val="24"/>
        </w:rPr>
        <w:t>means November 22, 2027.</w:t>
      </w:r>
    </w:p>
    <w:p>
      <w:pPr>
        <w:pStyle w:val="TextBody"/>
        <w:bidi w:val="0"/>
        <w:spacing w:before="0" w:after="240"/>
        <w:ind w:left="0" w:right="0" w:firstLine="720"/>
        <w:jc w:val="both"/>
        <w:rPr/>
      </w:pPr>
      <w:r>
        <w:rPr/>
        <w:t>“</w:t>
      </w:r>
      <w:r>
        <w:rPr>
          <w:rFonts w:ascii="Times New Roman;Times;serif" w:hAnsi="Times New Roman;Times;serif"/>
          <w:b/>
          <w:sz w:val="24"/>
        </w:rPr>
        <w:t>Maximum ASR Amount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6.05(a)(vi)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Maximum Rate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10.13</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Measurement Period</w:t>
      </w:r>
      <w:r>
        <w:rPr>
          <w:rFonts w:ascii="Times New Roman;Times;serif" w:hAnsi="Times New Roman;Times;serif"/>
          <w:sz w:val="20"/>
        </w:rPr>
        <w:t xml:space="preserve">” </w:t>
      </w:r>
      <w:r>
        <w:rPr>
          <w:rFonts w:ascii="Times New Roman;Times;serif" w:hAnsi="Times New Roman;Times;serif"/>
          <w:sz w:val="24"/>
        </w:rPr>
        <w:t xml:space="preserve">means, as of any date of determination, the most recently ended period of four consecutive fiscal quarters of the Parent ended on or prior to such date for which financial statements with respect to each fiscal quarter included in such period have been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5.01(b)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Minimum Collateral Amount</w:t>
      </w:r>
      <w:r>
        <w:rPr>
          <w:rFonts w:ascii="Times New Roman;Times;serif" w:hAnsi="Times New Roman;Times;serif"/>
          <w:sz w:val="20"/>
        </w:rPr>
        <w:t xml:space="preserve">” </w:t>
      </w:r>
      <w:r>
        <w:rPr>
          <w:rFonts w:ascii="Times New Roman;Times;serif" w:hAnsi="Times New Roman;Times;serif"/>
          <w:sz w:val="24"/>
        </w:rPr>
        <w:t>means, at any time, with respect to Cash Collateral consisting of cash or deposit account balances, an amount equal to 103% of the Fronting Exposure of an Issuing Bank with respect to Letters of Credit (105% for any Fronting Exposure with respect to Letters of Credit denominated in a currency other than Dollars) issued and outstanding at such time</w:t>
      </w:r>
      <w:r>
        <w:rPr>
          <w:rFonts w:ascii="Times New Roman;Times;serif" w:hAnsi="Times New Roman;Times;serif"/>
          <w:b/>
          <w:color w:val="0000FF"/>
          <w:sz w:val="24"/>
        </w:rPr>
        <w:t>; provided that, for purposes of Section 5.15, the Minimum Collateral Amount means $50,000,000</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Moody’s</w:t>
      </w:r>
      <w:r>
        <w:rPr>
          <w:rFonts w:ascii="Times New Roman;Times;serif" w:hAnsi="Times New Roman;Times;serif"/>
          <w:sz w:val="20"/>
        </w:rPr>
        <w:t xml:space="preserve">” </w:t>
      </w:r>
      <w:r>
        <w:rPr>
          <w:rFonts w:ascii="Times New Roman;Times;serif" w:hAnsi="Times New Roman;Times;serif"/>
          <w:sz w:val="24"/>
        </w:rPr>
        <w:t>means Moody’s Investors Service, Inc.</w:t>
      </w:r>
    </w:p>
    <w:p>
      <w:pPr>
        <w:pStyle w:val="TextBody"/>
        <w:bidi w:val="0"/>
        <w:spacing w:before="0" w:after="240"/>
        <w:ind w:left="0" w:right="0" w:firstLine="720"/>
        <w:jc w:val="both"/>
        <w:rPr/>
      </w:pPr>
      <w:r>
        <w:rPr/>
        <w:t>“</w:t>
      </w:r>
      <w:r>
        <w:rPr>
          <w:rFonts w:ascii="Times New Roman;Times;serif" w:hAnsi="Times New Roman;Times;serif"/>
          <w:b/>
          <w:sz w:val="24"/>
        </w:rPr>
        <w:t>Mortgages</w:t>
      </w:r>
      <w:r>
        <w:rPr>
          <w:rFonts w:ascii="Times New Roman;Times;serif" w:hAnsi="Times New Roman;Times;serif"/>
          <w:sz w:val="20"/>
        </w:rPr>
        <w:t xml:space="preserve">” </w:t>
      </w:r>
      <w:r>
        <w:rPr>
          <w:rFonts w:ascii="Times New Roman;Times;serif" w:hAnsi="Times New Roman;Times;serif"/>
          <w:sz w:val="24"/>
        </w:rPr>
        <w:t>means, individually and collectively, one or more mortgages, charges, debentures, deeds of trust, deeds of hypothec or deeds to secure debt, executed and delivered by a Loan Party in favor of the Administrative Agent, in form and substance reasonably satisfactory to the Administrative Agent, that encumber the real property included in the Collateral.</w:t>
      </w:r>
    </w:p>
    <w:p>
      <w:pPr>
        <w:pStyle w:val="TextBody"/>
        <w:bidi w:val="0"/>
        <w:spacing w:before="0" w:after="240"/>
        <w:ind w:left="0" w:right="0" w:firstLine="720"/>
        <w:jc w:val="both"/>
        <w:rPr/>
      </w:pPr>
      <w:r>
        <w:rPr/>
        <w:t>“</w:t>
      </w:r>
      <w:r>
        <w:rPr>
          <w:rFonts w:ascii="Times New Roman;Times;serif" w:hAnsi="Times New Roman;Times;serif"/>
          <w:b/>
          <w:sz w:val="24"/>
        </w:rPr>
        <w:t>Multiemployer Plan</w:t>
      </w:r>
      <w:r>
        <w:rPr>
          <w:rFonts w:ascii="Times New Roman;Times;serif" w:hAnsi="Times New Roman;Times;serif"/>
          <w:sz w:val="20"/>
        </w:rPr>
        <w:t xml:space="preserve">” </w:t>
      </w:r>
      <w:r>
        <w:rPr>
          <w:rFonts w:ascii="Times New Roman;Times;serif" w:hAnsi="Times New Roman;Times;serif"/>
          <w:sz w:val="24"/>
        </w:rPr>
        <w:t>means any multiemployer plan as defined in Section 4001(a)(3) of ERISA, which is contributed to by (or to which there is or would be an obligation to contribute of) the Parent, any Borrower or a Subsidiary or an ERISA Affiliate, and each such plan for the five- year period immediately following the latest date on which the Parent, any Borrower, or a Subsidiary or an ERISA Affiliate contributed to or had an obligation to contribute to such plan.</w:t>
      </w:r>
    </w:p>
    <w:p>
      <w:pPr>
        <w:pStyle w:val="TextBody"/>
        <w:bidi w:val="0"/>
        <w:spacing w:before="0" w:after="240"/>
        <w:ind w:left="0" w:right="0" w:firstLine="720"/>
        <w:jc w:val="both"/>
        <w:rPr/>
      </w:pPr>
      <w:r>
        <w:rPr/>
        <w:t>“</w:t>
      </w:r>
      <w:r>
        <w:rPr>
          <w:rFonts w:ascii="Times New Roman;Times;serif" w:hAnsi="Times New Roman;Times;serif"/>
          <w:b/>
          <w:sz w:val="24"/>
        </w:rPr>
        <w:t>Net Assets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9.09(a)(i)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Net Debt for Borrowed Money</w:t>
      </w:r>
      <w:r>
        <w:rPr>
          <w:rFonts w:ascii="Times New Roman;Times;serif" w:hAnsi="Times New Roman;Times;serif"/>
          <w:sz w:val="20"/>
        </w:rPr>
        <w:t xml:space="preserve">” </w:t>
      </w:r>
      <w:r>
        <w:rPr>
          <w:rFonts w:ascii="Times New Roman;Times;serif" w:hAnsi="Times New Roman;Times;serif"/>
          <w:sz w:val="24"/>
        </w:rPr>
        <w:t>means, as to the Parent and its Subsidiaries at any time of determination on a consolidated basis, an amount equal to (i) the sum (without duplication) of (a) the outstanding principal amount of all Indebtedness for borrowed money, (b) all obligations evidenced by notes, bonds, debentures or other similar instruments, (c) the stated amount of all outstanding letters of credit (including, without limitation, the undrawn portion of any Letters of Credit as well as reimbursement obligations with respect to any drawn letters of credit), (d) all Indebtedness in respect of any Parent Convertible Notes outstanding (excluding up to $750,000,000 of the outstanding principal amount of such Parent Convertible Notes), (e)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aggregate amount of all Capital Lease Obligations and purchase money Indebtedness of the Parent and its Subsidiaries, and (f) to the extent not duplicative with the Indebtedness and obligations specified in clauses (a)-(c) above, all Guarantees of the Parent and its Subsidiaries with respect to outstanding Indebtedness and obligations of the types specified in clauses (a)-(c) above of other Persons, minus (ii) all cash and Cash Equivalents (except, for the avoidance of doubt, any Restricted Cash and any amounts subject to Cash Pooling Arrangements) of the Parent and its Subsidiaries in an aggregate amount not to exceed $75,000,000.</w:t>
      </w:r>
    </w:p>
    <w:p>
      <w:pPr>
        <w:pStyle w:val="TextBody"/>
        <w:bidi w:val="0"/>
        <w:spacing w:before="0" w:after="240"/>
        <w:ind w:left="0" w:right="0" w:firstLine="720"/>
        <w:jc w:val="both"/>
        <w:rPr/>
      </w:pPr>
      <w:r>
        <w:rPr/>
        <w:t>“</w:t>
      </w:r>
      <w:r>
        <w:rPr>
          <w:rFonts w:ascii="Times New Roman;Times;serif" w:hAnsi="Times New Roman;Times;serif"/>
          <w:b/>
          <w:sz w:val="24"/>
        </w:rPr>
        <w:t>Netherlands</w:t>
      </w:r>
      <w:r>
        <w:rPr>
          <w:rFonts w:ascii="Times New Roman;Times;serif" w:hAnsi="Times New Roman;Times;serif"/>
          <w:sz w:val="20"/>
        </w:rPr>
        <w:t xml:space="preserve">” </w:t>
      </w:r>
      <w:r>
        <w:rPr>
          <w:rFonts w:ascii="Times New Roman;Times;serif" w:hAnsi="Times New Roman;Times;serif"/>
          <w:sz w:val="24"/>
        </w:rPr>
        <w:t>means the European territory of the Kingdom of the Netherlands and “Dutch” is in or from the Netherlands.</w:t>
      </w:r>
    </w:p>
    <w:p>
      <w:pPr>
        <w:pStyle w:val="TextBody"/>
        <w:bidi w:val="0"/>
        <w:spacing w:before="0" w:after="240"/>
        <w:ind w:left="0" w:right="0" w:firstLine="720"/>
        <w:jc w:val="both"/>
        <w:rPr/>
      </w:pPr>
      <w:r>
        <w:rPr/>
        <w:t>“</w:t>
      </w:r>
      <w:r>
        <w:rPr>
          <w:rFonts w:ascii="Times New Roman;Times;serif" w:hAnsi="Times New Roman;Times;serif"/>
          <w:b/>
          <w:sz w:val="24"/>
        </w:rPr>
        <w:t>New Commitments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New Lender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New Loans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Non-Consenting Lender</w:t>
      </w:r>
      <w:r>
        <w:rPr>
          <w:rFonts w:ascii="Times New Roman;Times;serif" w:hAnsi="Times New Roman;Times;serif"/>
          <w:sz w:val="20"/>
        </w:rPr>
        <w:t xml:space="preserve">” </w:t>
      </w:r>
      <w:r>
        <w:rPr>
          <w:rFonts w:ascii="Times New Roman;Times;serif" w:hAnsi="Times New Roman;Times;serif"/>
          <w:sz w:val="24"/>
        </w:rPr>
        <w:t xml:space="preserve">means any Lender that does not approve any consent, waiver or amendment that (i) requires the approval of all Lenders or all affected Lenders in accordance with the terms of </w:t>
      </w:r>
      <w:r>
        <w:rPr>
          <w:rFonts w:ascii="Times New Roman;Times;serif" w:hAnsi="Times New Roman;Times;serif"/>
          <w:sz w:val="24"/>
          <w:u w:val="single"/>
        </w:rPr>
        <w:t>Section 10.02</w:t>
      </w:r>
      <w:r>
        <w:rPr>
          <w:rFonts w:ascii="Times New Roman;Times;serif" w:hAnsi="Times New Roman;Times;serif"/>
          <w:sz w:val="20"/>
        </w:rPr>
        <w:t xml:space="preserve"> </w:t>
      </w:r>
      <w:r>
        <w:rPr>
          <w:rFonts w:ascii="Times New Roman;Times;serif" w:hAnsi="Times New Roman;Times;serif"/>
          <w:sz w:val="24"/>
        </w:rPr>
        <w:t>and (ii) has been approved by the Required Lenders.</w:t>
      </w:r>
    </w:p>
    <w:p>
      <w:pPr>
        <w:pStyle w:val="TextBody"/>
        <w:bidi w:val="0"/>
        <w:spacing w:before="0" w:after="240"/>
        <w:ind w:left="0" w:right="0" w:firstLine="720"/>
        <w:jc w:val="both"/>
        <w:rPr/>
      </w:pPr>
      <w:r>
        <w:rPr/>
        <w:t>“</w:t>
      </w:r>
      <w:r>
        <w:rPr>
          <w:rFonts w:ascii="Times New Roman;Times;serif" w:hAnsi="Times New Roman;Times;serif"/>
          <w:b/>
          <w:sz w:val="24"/>
        </w:rPr>
        <w:t>Non-Cooperative Jurisdiction</w:t>
      </w:r>
      <w:r>
        <w:rPr>
          <w:rFonts w:ascii="Times New Roman;Times;serif" w:hAnsi="Times New Roman;Times;serif"/>
          <w:sz w:val="20"/>
        </w:rPr>
        <w:t xml:space="preserve">” </w:t>
      </w:r>
      <w:r>
        <w:rPr>
          <w:rFonts w:ascii="Times New Roman;Times;serif" w:hAnsi="Times New Roman;Times;serif"/>
          <w:sz w:val="24"/>
        </w:rPr>
        <w:t>means a “non-cooperative tax jurisdiction” (</w:t>
      </w:r>
      <w:r>
        <w:rPr>
          <w:rFonts w:ascii="Times New Roman;Times;serif" w:hAnsi="Times New Roman;Times;serif"/>
          <w:i/>
          <w:sz w:val="24"/>
        </w:rPr>
        <w:t>nicht kooperatives Steuerhoheitsgebiet</w:t>
      </w:r>
      <w:r>
        <w:rPr>
          <w:rFonts w:ascii="Times New Roman;Times;serif" w:hAnsi="Times New Roman;Times;serif"/>
          <w:sz w:val="24"/>
        </w:rPr>
        <w:t>) as set out in the German Act to avert tax evasion and unfair tax competition (</w:t>
      </w:r>
      <w:r>
        <w:rPr>
          <w:rFonts w:ascii="Times New Roman;Times;serif" w:hAnsi="Times New Roman;Times;serif"/>
          <w:i/>
          <w:sz w:val="24"/>
        </w:rPr>
        <w:t>Gesetz zur Abwehr von Steuervermeidung und unfairem Steuerwettbewerb</w:t>
      </w:r>
      <w:r>
        <w:rPr>
          <w:rFonts w:ascii="Times New Roman;Times;serif" w:hAnsi="Times New Roman;Times;serif"/>
          <w:sz w:val="24"/>
        </w:rPr>
        <w:t>) and the respective legislative decree (</w:t>
      </w:r>
      <w:r>
        <w:rPr>
          <w:rFonts w:ascii="Times New Roman;Times;serif" w:hAnsi="Times New Roman;Times;serif"/>
          <w:i/>
          <w:sz w:val="24"/>
        </w:rPr>
        <w:t>Rechtsverordnung</w:t>
      </w:r>
      <w:r>
        <w:rPr>
          <w:rFonts w:ascii="Times New Roman;Times;serif" w:hAnsi="Times New Roman;Times;serif"/>
          <w:sz w:val="24"/>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4"/>
        </w:rPr>
        <w:t>Non-Defaulting Lender</w:t>
      </w:r>
      <w:r>
        <w:rPr>
          <w:rFonts w:ascii="Times New Roman;Times;serif" w:hAnsi="Times New Roman;Times;serif"/>
          <w:sz w:val="20"/>
        </w:rPr>
        <w:t xml:space="preserve">” </w:t>
      </w:r>
      <w:r>
        <w:rPr>
          <w:rFonts w:ascii="Times New Roman;Times;serif" w:hAnsi="Times New Roman;Times;serif"/>
          <w:sz w:val="24"/>
        </w:rPr>
        <w:t>means, at any time, each Lender that is not a Defaulting Lender at such time.</w:t>
      </w:r>
    </w:p>
    <w:p>
      <w:pPr>
        <w:pStyle w:val="TextBody"/>
        <w:bidi w:val="0"/>
        <w:spacing w:before="0" w:after="240"/>
        <w:ind w:left="0" w:right="0" w:firstLine="720"/>
        <w:jc w:val="both"/>
        <w:rPr/>
      </w:pPr>
      <w:r>
        <w:rPr/>
        <w:t>“</w:t>
      </w:r>
      <w:r>
        <w:rPr>
          <w:rFonts w:ascii="Times New Roman;Times;serif" w:hAnsi="Times New Roman;Times;serif"/>
          <w:b/>
          <w:sz w:val="24"/>
        </w:rPr>
        <w:t>Non-U.S. Plan</w:t>
      </w:r>
      <w:r>
        <w:rPr>
          <w:rFonts w:ascii="Times New Roman;Times;serif" w:hAnsi="Times New Roman;Times;serif"/>
          <w:sz w:val="20"/>
        </w:rPr>
        <w:t xml:space="preserve">” </w:t>
      </w:r>
      <w:r>
        <w:rPr>
          <w:rFonts w:ascii="Times New Roman;Times;serif" w:hAnsi="Times New Roman;Times;serif"/>
          <w:sz w:val="24"/>
        </w:rPr>
        <w:t>means any plan, fund (including, without limitation, any superannuation fund) or other similar program established, contributed to (regardless of whether through direct contributions or through employee withholding) or maintained outside the United States by the Parent, any Borrower or one or more Subsidiaries primarily for the benefit of employees of the Parent, any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before="0" w:after="240"/>
        <w:ind w:left="0" w:right="0" w:firstLine="720"/>
        <w:jc w:val="both"/>
        <w:rPr/>
      </w:pPr>
      <w:r>
        <w:rPr/>
        <w:t>“</w:t>
      </w:r>
      <w:r>
        <w:rPr>
          <w:rFonts w:ascii="Times New Roman;Times;serif" w:hAnsi="Times New Roman;Times;serif"/>
          <w:b/>
          <w:sz w:val="24"/>
        </w:rPr>
        <w:t>Not Otherwise Applied</w:t>
      </w:r>
      <w:r>
        <w:rPr>
          <w:rFonts w:ascii="Times New Roman;Times;serif" w:hAnsi="Times New Roman;Times;serif"/>
          <w:sz w:val="20"/>
        </w:rPr>
        <w:t xml:space="preserve">” </w:t>
      </w:r>
      <w:r>
        <w:rPr>
          <w:rFonts w:ascii="Times New Roman;Times;serif" w:hAnsi="Times New Roman;Times;serif"/>
          <w:sz w:val="24"/>
        </w:rPr>
        <w:t>means, with reference to any amount otherwise eligible for inclusion in the Available Equity Amount, that such amount (a) was not previously applied to prepay the Obligations, (b) was not previously utilized (meaning such funds remain available for application as Available Equity Amount) for some other purpose (including, without limitation, to finance any capital expenditures), and (c) was not committed to be applied, provided that such commitment remains outstanding or has not otherwise terminated or expired, for some other purpose.</w:t>
      </w:r>
    </w:p>
    <w:p>
      <w:pPr>
        <w:pStyle w:val="TextBody"/>
        <w:bidi w:val="0"/>
        <w:spacing w:before="0" w:after="240"/>
        <w:ind w:left="0" w:right="0" w:firstLine="720"/>
        <w:jc w:val="both"/>
        <w:rPr/>
      </w:pPr>
      <w:r>
        <w:rPr/>
        <w:t>“</w:t>
      </w:r>
      <w:r>
        <w:rPr>
          <w:rFonts w:ascii="Times New Roman;Times;serif" w:hAnsi="Times New Roman;Times;serif"/>
          <w:b/>
          <w:sz w:val="24"/>
        </w:rPr>
        <w:t>Note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2.07</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NYFRB</w:t>
      </w:r>
      <w:r>
        <w:rPr>
          <w:rFonts w:ascii="Times New Roman;Times;serif" w:hAnsi="Times New Roman;Times;serif"/>
          <w:sz w:val="20"/>
        </w:rPr>
        <w:t xml:space="preserve">” </w:t>
      </w:r>
      <w:r>
        <w:rPr>
          <w:rFonts w:ascii="Times New Roman;Times;serif" w:hAnsi="Times New Roman;Times;serif"/>
          <w:sz w:val="24"/>
        </w:rPr>
        <w:t>means the Federal Reserve Bank of New York.</w:t>
      </w:r>
    </w:p>
    <w:p>
      <w:pPr>
        <w:pStyle w:val="TextBody"/>
        <w:bidi w:val="0"/>
        <w:spacing w:before="0" w:after="240"/>
        <w:ind w:left="0" w:right="0" w:firstLine="720"/>
        <w:jc w:val="both"/>
        <w:rPr/>
      </w:pPr>
      <w:r>
        <w:rPr/>
        <w:t>“</w:t>
      </w:r>
      <w:r>
        <w:rPr>
          <w:rFonts w:ascii="Times New Roman;Times;serif" w:hAnsi="Times New Roman;Times;serif"/>
          <w:b/>
          <w:sz w:val="24"/>
        </w:rPr>
        <w:t>NYFRB Rate</w:t>
      </w:r>
      <w:r>
        <w:rPr>
          <w:rFonts w:ascii="Times New Roman;Times;serif" w:hAnsi="Times New Roman;Times;serif"/>
          <w:sz w:val="20"/>
        </w:rPr>
        <w:t xml:space="preserve">” </w:t>
      </w:r>
      <w:r>
        <w:rPr>
          <w:rFonts w:ascii="Times New Roman;Times;serif" w:hAnsi="Times New Roman;Times;serif"/>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if any of the aforesaid rates shall be less than zero, such rate shall be deemed to be zero for purposes of this Agreement.</w:t>
      </w:r>
    </w:p>
    <w:p>
      <w:pPr>
        <w:pStyle w:val="TextBody"/>
        <w:bidi w:val="0"/>
        <w:spacing w:before="0" w:after="240"/>
        <w:ind w:left="0" w:right="0" w:firstLine="720"/>
        <w:jc w:val="both"/>
        <w:rPr/>
      </w:pPr>
      <w:r>
        <w:rPr/>
        <w:t>“</w:t>
      </w:r>
      <w:r>
        <w:rPr>
          <w:rFonts w:ascii="Times New Roman;Times;serif" w:hAnsi="Times New Roman;Times;serif"/>
          <w:b/>
          <w:sz w:val="24"/>
        </w:rPr>
        <w:t>Obligations</w:t>
      </w:r>
      <w:r>
        <w:rPr>
          <w:rFonts w:ascii="Times New Roman;Times;serif" w:hAnsi="Times New Roman;Times;serif"/>
          <w:sz w:val="20"/>
        </w:rPr>
        <w:t xml:space="preserve">” </w:t>
      </w:r>
      <w:r>
        <w:rPr>
          <w:rFonts w:ascii="Times New Roman;Times;serif" w:hAnsi="Times New Roman;Times;serif"/>
          <w:sz w:val="24"/>
        </w:rPr>
        <w:t>means all amounts owing by any Loan Party to the Administrative Agent, any Issuing Bank or any Lender (or, in the case of (x) Specified Cash Management Agreements, any Affiliate of any Lender and (y) Specified Swap Agreements, any Affiliate of any Lender or any other Approved Counterparty) pursuant to the terms of this Agreement or any other Loan Document, including any obligation to provide Cash Collateral, or in respect of any Letter of Credit, any Specified Swap Agreement or any Specified Cash Management Agreement and obligations to pay, discharge and satisfy the Erroneous Payment Subrogation Rights (including all interest which accrues after the commencement of any case or proceeding in bankruptcy after the insolvency of, judicial management of, or for the reorganization of the Parent or any of its Subsidiaries, whether or not allowed in such case or proceeding).</w:t>
      </w:r>
    </w:p>
    <w:p>
      <w:pPr>
        <w:pStyle w:val="TextBody"/>
        <w:bidi w:val="0"/>
        <w:spacing w:before="0" w:after="240"/>
        <w:ind w:left="0" w:right="0" w:firstLine="720"/>
        <w:jc w:val="both"/>
        <w:rPr/>
      </w:pPr>
      <w:r>
        <w:rPr/>
        <w:t>“</w:t>
      </w:r>
      <w:r>
        <w:rPr>
          <w:rFonts w:ascii="Times New Roman;Times;serif" w:hAnsi="Times New Roman;Times;serif"/>
          <w:b/>
          <w:sz w:val="24"/>
        </w:rPr>
        <w:t>Other Connection Taxes</w:t>
      </w:r>
      <w:r>
        <w:rPr>
          <w:rFonts w:ascii="Times New Roman;Times;serif" w:hAnsi="Times New Roman;Times;serif"/>
          <w:sz w:val="20"/>
        </w:rPr>
        <w:t xml:space="preserve">” </w:t>
      </w:r>
      <w:r>
        <w:rPr>
          <w:rFonts w:ascii="Times New Roman;Times;serif" w:hAnsi="Times New Roman;Times;serif"/>
          <w:sz w:val="24"/>
        </w:rPr>
        <w:t>means, with respect to the Administrative Agent, any Issuing Bank, any Lender or any other recipient of any payment to be made by or on account of any obligation of the Parent or any Borrower, as applicable, hereunder, Taxes imposed as a result of a present or former connection between such Administrative Agent, Issuing Bank, Lender or other recipient and the jurisdiction imposing such Tax (other than connections arising solely from such Administrative Agent, Issuing Bank, Lender or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240"/>
        <w:ind w:left="0" w:right="0" w:firstLine="720"/>
        <w:jc w:val="both"/>
        <w:rPr/>
      </w:pPr>
      <w:r>
        <w:rPr/>
        <w:t>“</w:t>
      </w:r>
      <w:r>
        <w:rPr>
          <w:rFonts w:ascii="Times New Roman;Times;serif" w:hAnsi="Times New Roman;Times;serif"/>
          <w:b/>
          <w:sz w:val="24"/>
        </w:rPr>
        <w:t>Other Taxes</w:t>
      </w:r>
      <w:r>
        <w:rPr>
          <w:rFonts w:ascii="Times New Roman;Times;serif" w:hAnsi="Times New Roman;Times;serif"/>
          <w:sz w:val="20"/>
        </w:rPr>
        <w:t xml:space="preserve">” </w:t>
      </w:r>
      <w:r>
        <w:rPr>
          <w:rFonts w:ascii="Times New Roman;Times;serif" w:hAnsi="Times New Roman;Times;serif"/>
          <w:sz w:val="24"/>
        </w:rPr>
        <w:t xml:space="preserve">means any and all present or future stamp, court or documentary taxes or any other excise, property, intangible, recording, filing or similar Taxes which arise from any payment made,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Parent Borrower’s request pursuant to </w:t>
      </w:r>
      <w:r>
        <w:rPr>
          <w:rFonts w:ascii="Times New Roman;Times;serif" w:hAnsi="Times New Roman;Times;serif"/>
          <w:sz w:val="24"/>
          <w:u w:val="single"/>
        </w:rPr>
        <w:t>Section 2.16(b)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Overnight Bank Funding Rate</w:t>
      </w:r>
      <w:r>
        <w:rPr>
          <w:rFonts w:ascii="Times New Roman;Times;serif" w:hAnsi="Times New Roman;Times;serif"/>
          <w:sz w:val="20"/>
        </w:rPr>
        <w:t xml:space="preserve">” </w:t>
      </w:r>
      <w:r>
        <w:rPr>
          <w:rFonts w:ascii="Times New Roman;Times;serif" w:hAnsi="Times New Roman;Times;serif"/>
          <w:sz w:val="24"/>
        </w:rPr>
        <w:t>means, for any day, the rate comprised of both overnight federal funds and overnight Term Benchmark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Parallel Debt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10.20(a)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Parent</w:t>
      </w:r>
      <w:r>
        <w:rPr>
          <w:rFonts w:ascii="Times New Roman;Times;serif" w:hAnsi="Times New Roman;Times;serif"/>
          <w:sz w:val="20"/>
        </w:rPr>
        <w:t xml:space="preserve">” </w:t>
      </w:r>
      <w:r>
        <w:rPr>
          <w:rFonts w:ascii="Times New Roman;Times;serif" w:hAnsi="Times New Roman;Times;serif"/>
          <w:sz w:val="24"/>
        </w:rPr>
        <w:t>has the meaning specified in the preamble to this Agreement.</w:t>
      </w:r>
    </w:p>
    <w:p>
      <w:pPr>
        <w:pStyle w:val="TextBody"/>
        <w:bidi w:val="0"/>
        <w:spacing w:before="0" w:after="240"/>
        <w:ind w:left="0" w:right="0" w:firstLine="720"/>
        <w:jc w:val="both"/>
        <w:rPr/>
      </w:pPr>
      <w:r>
        <w:rPr/>
        <w:t>“</w:t>
      </w:r>
      <w:r>
        <w:rPr>
          <w:rFonts w:ascii="Times New Roman;Times;serif" w:hAnsi="Times New Roman;Times;serif"/>
          <w:b/>
          <w:sz w:val="24"/>
        </w:rPr>
        <w:t>Parent Borrower</w:t>
      </w:r>
      <w:r>
        <w:rPr>
          <w:rFonts w:ascii="Times New Roman;Times;serif" w:hAnsi="Times New Roman;Times;serif"/>
          <w:sz w:val="20"/>
        </w:rPr>
        <w:t xml:space="preserve">” </w:t>
      </w:r>
      <w:r>
        <w:rPr>
          <w:rFonts w:ascii="Times New Roman;Times;serif" w:hAnsi="Times New Roman;Times;serif"/>
          <w:sz w:val="24"/>
        </w:rPr>
        <w:t>has the meaning specified in the preamble to this Agreement.</w:t>
      </w:r>
    </w:p>
    <w:p>
      <w:pPr>
        <w:pStyle w:val="TextBody"/>
        <w:bidi w:val="0"/>
        <w:spacing w:before="0" w:after="240"/>
        <w:ind w:left="0" w:right="0" w:firstLine="720"/>
        <w:jc w:val="both"/>
        <w:rPr/>
      </w:pPr>
      <w:r>
        <w:rPr/>
        <w:t>“</w:t>
      </w:r>
      <w:r>
        <w:rPr>
          <w:rFonts w:ascii="Times New Roman;Times;serif" w:hAnsi="Times New Roman;Times;serif"/>
          <w:b/>
          <w:sz w:val="24"/>
        </w:rPr>
        <w:t>Parent Convertible Notes</w:t>
      </w:r>
      <w:r>
        <w:rPr>
          <w:rFonts w:ascii="Times New Roman;Times;serif" w:hAnsi="Times New Roman;Times;serif"/>
          <w:sz w:val="20"/>
        </w:rPr>
        <w:t xml:space="preserve">” </w:t>
      </w:r>
      <w:r>
        <w:rPr>
          <w:rFonts w:ascii="Times New Roman;Times;serif" w:hAnsi="Times New Roman;Times;serif"/>
          <w:sz w:val="24"/>
        </w:rPr>
        <w:t>means senior unsecured convertible notes issued by the Parent which (a) are not guaranteed by or otherwise recourse to the Parent Borrower or any of its Subsidiaries, (b) do not mature or require any principal payments prior to the date that is 180 days following the Maturity Date and (c) contain terms which (i) are customary for similar types of Indebtedness at such time (as reasonably determined by the Parent) and (ii) are not more restrictive on the Parent and its Subsidiaries than this Agreement and do not contain any financial maintenance covenants.</w:t>
      </w:r>
    </w:p>
    <w:p>
      <w:pPr>
        <w:pStyle w:val="TextBody"/>
        <w:bidi w:val="0"/>
        <w:spacing w:before="0" w:after="240"/>
        <w:ind w:left="0" w:right="0" w:firstLine="720"/>
        <w:jc w:val="both"/>
        <w:rPr/>
      </w:pPr>
      <w:r>
        <w:rPr/>
        <w:t>“</w:t>
      </w:r>
      <w:r>
        <w:rPr>
          <w:rFonts w:ascii="Times New Roman;Times;serif" w:hAnsi="Times New Roman;Times;serif"/>
          <w:b/>
          <w:sz w:val="24"/>
        </w:rPr>
        <w:t>Participant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10.04(c)(i)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Participant Register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10.04(c)(iii)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Participating Member State</w:t>
      </w:r>
      <w:r>
        <w:rPr>
          <w:rFonts w:ascii="Times New Roman;Times;serif" w:hAnsi="Times New Roman;Times;serif"/>
          <w:sz w:val="20"/>
        </w:rPr>
        <w:t xml:space="preserve">” </w:t>
      </w:r>
      <w:r>
        <w:rPr>
          <w:rFonts w:ascii="Times New Roman;Times;serif" w:hAnsi="Times New Roman;Times;serif"/>
          <w:sz w:val="24"/>
        </w:rPr>
        <w:t>means any member state of the European Union that has the euro as its lawful currency in accordance with legislation of the European Union relating to Economic and Monetary Union.</w:t>
      </w:r>
    </w:p>
    <w:p>
      <w:pPr>
        <w:pStyle w:val="TextBody"/>
        <w:bidi w:val="0"/>
        <w:spacing w:before="0" w:after="240"/>
        <w:ind w:left="0" w:right="0" w:firstLine="720"/>
        <w:jc w:val="both"/>
        <w:rPr/>
      </w:pPr>
      <w:r>
        <w:rPr/>
        <w:t>“</w:t>
      </w:r>
      <w:r>
        <w:rPr>
          <w:rFonts w:ascii="Times New Roman;Times;serif" w:hAnsi="Times New Roman;Times;serif"/>
          <w:b/>
          <w:sz w:val="24"/>
        </w:rPr>
        <w:t>Patents</w:t>
      </w:r>
      <w:r>
        <w:rPr>
          <w:rFonts w:ascii="Times New Roman;Times;serif" w:hAnsi="Times New Roman;Times;serif"/>
          <w:sz w:val="20"/>
        </w:rPr>
        <w:t xml:space="preserve">” </w:t>
      </w:r>
      <w:r>
        <w:rPr>
          <w:rFonts w:ascii="Times New Roman;Times;serif" w:hAnsi="Times New Roman;Times;serif"/>
          <w:sz w:val="24"/>
        </w:rPr>
        <w:t>has the meaning specified in the applicable Security Document.</w:t>
      </w:r>
    </w:p>
    <w:p>
      <w:pPr>
        <w:pStyle w:val="TextBody"/>
        <w:bidi w:val="0"/>
        <w:spacing w:before="0" w:after="240"/>
        <w:ind w:left="0" w:right="0" w:firstLine="720"/>
        <w:jc w:val="both"/>
        <w:rPr/>
      </w:pPr>
      <w:r>
        <w:rPr/>
        <w:t>“</w:t>
      </w:r>
      <w:r>
        <w:rPr>
          <w:rFonts w:ascii="Times New Roman;Times;serif" w:hAnsi="Times New Roman;Times;serif"/>
          <w:b/>
          <w:sz w:val="24"/>
        </w:rPr>
        <w:t>Payment Recipient</w:t>
      </w:r>
      <w:r>
        <w:rPr>
          <w:rFonts w:ascii="Times New Roman;Times;serif" w:hAnsi="Times New Roman;Times;serif"/>
          <w:sz w:val="20"/>
        </w:rPr>
        <w:t xml:space="preserve">” </w:t>
      </w:r>
      <w:r>
        <w:rPr>
          <w:rFonts w:ascii="Times New Roman;Times;serif" w:hAnsi="Times New Roman;Times;serif"/>
          <w:sz w:val="24"/>
        </w:rPr>
        <w:t xml:space="preserve">has the meaning assigned to it in </w:t>
      </w:r>
      <w:r>
        <w:rPr>
          <w:rFonts w:ascii="Times New Roman;Times;serif" w:hAnsi="Times New Roman;Times;serif"/>
          <w:sz w:val="24"/>
          <w:u w:val="single"/>
        </w:rPr>
        <w:t>Section 8.11(a)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PBGC</w:t>
      </w:r>
      <w:r>
        <w:rPr>
          <w:rFonts w:ascii="Times New Roman;Times;serif" w:hAnsi="Times New Roman;Times;serif"/>
          <w:sz w:val="20"/>
        </w:rPr>
        <w:t xml:space="preserve">” </w:t>
      </w:r>
      <w:r>
        <w:rPr>
          <w:rFonts w:ascii="Times New Roman;Times;serif" w:hAnsi="Times New Roman;Times;serif"/>
          <w:sz w:val="24"/>
        </w:rPr>
        <w:t>means the Pension Benefit Guaranty Corporation referred to and defined in ERISA and any successor entity performing similar functions.</w:t>
      </w:r>
    </w:p>
    <w:p>
      <w:pPr>
        <w:pStyle w:val="TextBody"/>
        <w:bidi w:val="0"/>
        <w:spacing w:before="0" w:after="240"/>
        <w:ind w:left="0" w:right="0" w:firstLine="720"/>
        <w:jc w:val="both"/>
        <w:rPr/>
      </w:pPr>
      <w:r>
        <w:rPr/>
        <w:t>“</w:t>
      </w:r>
      <w:r>
        <w:rPr>
          <w:rFonts w:ascii="Times New Roman;Times;serif" w:hAnsi="Times New Roman;Times;serif"/>
          <w:b/>
          <w:sz w:val="24"/>
        </w:rPr>
        <w:t>Perfection Certificate</w:t>
      </w:r>
      <w:r>
        <w:rPr>
          <w:rFonts w:ascii="Times New Roman;Times;serif" w:hAnsi="Times New Roman;Times;serif"/>
          <w:sz w:val="20"/>
        </w:rPr>
        <w:t xml:space="preserve">” </w:t>
      </w:r>
      <w:r>
        <w:rPr>
          <w:rFonts w:ascii="Times New Roman;Times;serif" w:hAnsi="Times New Roman;Times;serif"/>
          <w:sz w:val="24"/>
        </w:rPr>
        <w:t xml:space="preserve">means a certificate in the form of </w:t>
      </w:r>
      <w:r>
        <w:rPr>
          <w:rFonts w:ascii="Times New Roman;Times;serif" w:hAnsi="Times New Roman;Times;serif"/>
          <w:sz w:val="24"/>
          <w:u w:val="single"/>
        </w:rPr>
        <w:t>Exhibit I</w:t>
      </w:r>
      <w:r>
        <w:rPr>
          <w:rFonts w:ascii="Times New Roman;Times;serif" w:hAnsi="Times New Roman;Times;serif"/>
          <w:sz w:val="20"/>
        </w:rPr>
        <w:t xml:space="preserve"> </w:t>
      </w:r>
      <w:r>
        <w:rPr>
          <w:rFonts w:ascii="Times New Roman;Times;serif" w:hAnsi="Times New Roman;Times;serif"/>
          <w:sz w:val="24"/>
        </w:rPr>
        <w:t>hereto.</w:t>
      </w:r>
    </w:p>
    <w:p>
      <w:pPr>
        <w:pStyle w:val="TextBody"/>
        <w:bidi w:val="0"/>
        <w:spacing w:before="0" w:after="240"/>
        <w:ind w:left="0" w:right="0" w:firstLine="720"/>
        <w:jc w:val="both"/>
        <w:rPr/>
      </w:pPr>
      <w:r>
        <w:rPr/>
        <w:t>“</w:t>
      </w:r>
      <w:r>
        <w:rPr>
          <w:rFonts w:ascii="Times New Roman;Times;serif" w:hAnsi="Times New Roman;Times;serif"/>
          <w:b/>
          <w:sz w:val="24"/>
        </w:rPr>
        <w:t>Permitted Bond Hedge Transaction</w:t>
      </w:r>
      <w:r>
        <w:rPr>
          <w:rFonts w:ascii="Times New Roman;Times;serif" w:hAnsi="Times New Roman;Times;serif"/>
          <w:sz w:val="20"/>
        </w:rPr>
        <w:t xml:space="preserve">” </w:t>
      </w:r>
      <w:r>
        <w:rPr>
          <w:rFonts w:ascii="Times New Roman;Times;serif" w:hAnsi="Times New Roman;Times;serif"/>
          <w:sz w:val="24"/>
        </w:rPr>
        <w:t xml:space="preserve">means any call or capped call option (or substantively equivalent derivative transaction) on the Parent’s common Equity Interests purchased by the Parent in connection with the issuance of the Parent Convertible Notes;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purchase price for such Permitted Bond Hedge Transaction, less the proceeds received by the Parent from the sale of any related Permitted Warrant Transaction, does not exceed the net proceeds received by the Parent from the sale of such Parent Convertible Notes issued in connection with the Permitted Bond Hedge Transaction.</w:t>
      </w:r>
    </w:p>
    <w:p>
      <w:pPr>
        <w:pStyle w:val="TextBody"/>
        <w:bidi w:val="0"/>
        <w:spacing w:before="0" w:after="240"/>
        <w:ind w:left="0" w:right="0" w:firstLine="720"/>
        <w:jc w:val="both"/>
        <w:rPr/>
      </w:pPr>
      <w:r>
        <w:rPr/>
        <w:t>“</w:t>
      </w:r>
      <w:r>
        <w:rPr>
          <w:rFonts w:ascii="Times New Roman;Times;serif" w:hAnsi="Times New Roman;Times;serif"/>
          <w:b/>
          <w:sz w:val="24"/>
        </w:rPr>
        <w:t>Permitted Discretion</w:t>
      </w:r>
      <w:r>
        <w:rPr>
          <w:rFonts w:ascii="Times New Roman;Times;serif" w:hAnsi="Times New Roman;Times;serif"/>
          <w:sz w:val="20"/>
        </w:rPr>
        <w:t xml:space="preserve">” </w:t>
      </w:r>
      <w:r>
        <w:rPr>
          <w:rFonts w:ascii="Times New Roman;Times;serif" w:hAnsi="Times New Roman;Times;serif"/>
          <w:sz w:val="24"/>
        </w:rPr>
        <w:t>means a determination made in good faith and in the exercise of reasonable (from the perspective of a secured lender similarly situated) business judgment.</w:t>
      </w:r>
    </w:p>
    <w:p>
      <w:pPr>
        <w:pStyle w:val="TextBody"/>
        <w:bidi w:val="0"/>
        <w:spacing w:before="0" w:after="240"/>
        <w:ind w:left="0" w:right="0" w:firstLine="720"/>
        <w:jc w:val="both"/>
        <w:rPr/>
      </w:pPr>
      <w:r>
        <w:rPr/>
        <w:t>“</w:t>
      </w:r>
      <w:r>
        <w:rPr>
          <w:rFonts w:ascii="Times New Roman;Times;serif" w:hAnsi="Times New Roman;Times;serif"/>
          <w:b/>
          <w:sz w:val="24"/>
        </w:rPr>
        <w:t>Permitted Encumbrances</w:t>
      </w:r>
      <w:r>
        <w:rPr>
          <w:rFonts w:ascii="Times New Roman;Times;serif" w:hAnsi="Times New Roman;Times;serif"/>
          <w:sz w:val="20"/>
        </w:rPr>
        <w:t xml:space="preserve">” </w:t>
      </w:r>
      <w:r>
        <w:rPr>
          <w:rFonts w:ascii="Times New Roman;Times;serif" w:hAnsi="Times New Roman;Times;serif"/>
          <w:sz w:val="24"/>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Liens imposed by law for taxes, assessments or governmental charges or levies that are not yet delinquent or are being contested in compliance with </w:t>
      </w:r>
      <w:r>
        <w:rPr>
          <w:rFonts w:ascii="Times New Roman;Times;serif" w:hAnsi="Times New Roman;Times;serif"/>
          <w:sz w:val="24"/>
          <w:u w:val="single"/>
        </w:rPr>
        <w:t>Section 5.04</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carriers’, warehousemen’s, mechanics’, materialmen’s, landlord’s, supplier’s, repairmen’s and other like Liens imposed by law (for the avoidance of doubt, including any Lien to secure amounts payable in respect of any real estate leased or licensed by a Subsidiary Guarantor domiciled in the Federal Republic of Germany and any landlord’s pledge (</w:t>
      </w:r>
      <w:r>
        <w:rPr>
          <w:rFonts w:ascii="Times New Roman;Times;serif" w:hAnsi="Times New Roman;Times;serif"/>
          <w:i/>
          <w:sz w:val="24"/>
        </w:rPr>
        <w:t>Vermieterpfandrecht</w:t>
      </w:r>
      <w:r>
        <w:rPr>
          <w:rFonts w:ascii="Times New Roman;Times;serif" w:hAnsi="Times New Roman;Times;serif"/>
          <w:sz w:val="24"/>
        </w:rPr>
        <w:t xml:space="preserve">) arising by operation of law in favor of the relevant third party landlord), arising in the ordinary course of business and securing obligations that are not overdue by more than 90 days or are being contested in compliance with </w:t>
      </w:r>
      <w:r>
        <w:rPr>
          <w:rFonts w:ascii="Times New Roman;Times;serif" w:hAnsi="Times New Roman;Times;serif"/>
          <w:sz w:val="24"/>
          <w:u w:val="single"/>
        </w:rPr>
        <w:t>Section 5.04</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pledges and deposits made in the ordinary course of business in compliance with workers’ compensation, unemployment insurance and other social security laws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Liens (other than any Lien imposed under ERISA or Section 430(k) of the Code) to secure the performance of bids, trade contracts, leases, statutory obligations, surety and appeal bonds, performance bonds and other obligations of a like nature, in each case incurred in the ordinary course of business and to secure surety and appeal bonds in respect of judgments that do not constitute an Event of Default under </w:t>
      </w:r>
      <w:r>
        <w:rPr>
          <w:rFonts w:ascii="Times New Roman;Times;serif" w:hAnsi="Times New Roman;Times;serif"/>
          <w:sz w:val="24"/>
          <w:u w:val="single"/>
        </w:rPr>
        <w:t>Section 7.01(l)</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Liens</w:t>
      </w:r>
      <w:r>
        <w:rPr>
          <w:rFonts w:ascii="Times New Roman;Times;serif" w:hAnsi="Times New Roman;Times;serif"/>
          <w:sz w:val="20"/>
        </w:rPr>
        <w:t xml:space="preserve"> </w:t>
      </w:r>
      <w:r>
        <w:rPr>
          <w:rFonts w:ascii="Times New Roman;Times;serif" w:hAnsi="Times New Roman;Times;serif"/>
          <w:sz w:val="24"/>
        </w:rPr>
        <w:t xml:space="preserve">in respect of judgments that do not constitute an Event of Default under </w:t>
      </w:r>
      <w:r>
        <w:rPr>
          <w:rFonts w:ascii="Times New Roman;Times;serif" w:hAnsi="Times New Roman;Times;serif"/>
          <w:sz w:val="24"/>
          <w:u w:val="single"/>
        </w:rPr>
        <w:t>Section 7.01(k)</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any Borrower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UCC</w:t>
      </w:r>
      <w:r>
        <w:rPr>
          <w:rFonts w:ascii="Times New Roman;Times;serif" w:hAnsi="Times New Roman;Times;serif"/>
          <w:sz w:val="20"/>
        </w:rPr>
        <w:t xml:space="preserve"> </w:t>
      </w:r>
      <w:r>
        <w:rPr>
          <w:rFonts w:ascii="Times New Roman;Times;serif" w:hAnsi="Times New Roman;Times;serif"/>
          <w:sz w:val="24"/>
        </w:rPr>
        <w:t>financing statements filed (or similar filings under applicable law, including the Canadian PPSA) solely as a precautionary measure in connection with 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leases or subleases not prohibited under this Agreement which are granted to other Persons and not interfering in any material respect, individually or taken as a whole, with the business of the lessor or sublessor;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Liens in favor of customs and revenue authorities arising as a matter of law to secure payment of customs duties in connection with the importation of goods;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deposits made or other security provided to secure liabilities to insurance carriers under insurance or self-insurance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rights of consignors of goods in goods consigned</w:t>
      </w:r>
      <w:r>
        <w:rPr>
          <w:rFonts w:ascii="Times New Roman;Times;serif" w:hAnsi="Times New Roman;Times;serif"/>
          <w:sz w:val="20"/>
        </w:rPr>
        <w:t xml:space="preserve"> </w:t>
      </w:r>
      <w:r>
        <w:rPr>
          <w:rFonts w:ascii="Times New Roman;Times;serif" w:hAnsi="Times New Roman;Times;serif"/>
          <w:sz w:val="24"/>
        </w:rPr>
        <w:t>in the ordinary course of business, whether or not perfected by the filing of a financing statement or other registration, recording or filing;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Liens (i) of a collection bank arising under Section 4-210 of the UCC or any comparable or successor provision on items in the course of collection, (ii) in favor of the commodities broker or intermediary attaching to commodity trading accounts or other commodity brokerage accounts incurred in the ordinary course of business and not for speculative purposes and (iii) in favor of banking institutions</w:t>
      </w:r>
      <w:r>
        <w:rPr>
          <w:rFonts w:ascii="Times New Roman;Times;serif" w:hAnsi="Times New Roman;Times;serif"/>
          <w:sz w:val="20"/>
        </w:rPr>
        <w:t xml:space="preserve"> </w:t>
      </w:r>
      <w:r>
        <w:rPr>
          <w:rFonts w:ascii="Times New Roman;Times;serif" w:hAnsi="Times New Roman;Times;serif"/>
          <w:sz w:val="24"/>
        </w:rPr>
        <w:t>arising as a matter of law or under other customary general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terms and conditions encumbering deposits maintained with such banking institutions (including the right of set-off)</w:t>
      </w:r>
      <w:r>
        <w:rPr>
          <w:rFonts w:ascii="Times New Roman;Times;serif" w:hAnsi="Times New Roman;Times;serif"/>
          <w:sz w:val="20"/>
        </w:rPr>
        <w:t xml:space="preserve"> </w:t>
      </w:r>
      <w:r>
        <w:rPr>
          <w:rFonts w:ascii="Times New Roman;Times;serif" w:hAnsi="Times New Roman;Times;serif"/>
          <w:sz w:val="24"/>
        </w:rPr>
        <w:t>which Liens secure obligations related to the maintenance of such accounts and do not secure Indebtedness for borrowed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Liens given to a public utility or any Governmental Authority when required by such utility or Governmental Authority in connection with the operations of that Person in the ordinary course of its business; provided that such Liens do not materially interfere with the ordinary conduct of business of the Parent, any Borrower or any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operating leases of vehicles or equipment which are entered into in the ordinary course of the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with respect to any German Loan Party, (i) any netting or set-off arrangement entered into by such German Loan Party in the ordinary course of its banking arrangements for the purpose of netting debit and credit balances of such German Loan Party (including cash pooling or similar arrangements); (ii) any Lien over bank accounts used in the ordinary course of business granted as part of a bank’s customary terms and conditions; and (iii) any Lien created pursuant to § 8a of the German Old Age Employees Part Time Act (</w:t>
      </w:r>
      <w:r>
        <w:rPr>
          <w:rFonts w:ascii="Times New Roman;Times;serif" w:hAnsi="Times New Roman;Times;serif"/>
          <w:i/>
          <w:sz w:val="24"/>
        </w:rPr>
        <w:t>Altersteilzeitgesetz</w:t>
      </w:r>
      <w:r>
        <w:rPr>
          <w:rFonts w:ascii="Times New Roman;Times;serif" w:hAnsi="Times New Roman;Times;serif"/>
          <w:sz w:val="24"/>
        </w:rPr>
        <w:t>) or § 7e of the Fourth Book of the German Social Code (</w:t>
      </w:r>
      <w:r>
        <w:rPr>
          <w:rFonts w:ascii="Times New Roman;Times;serif" w:hAnsi="Times New Roman;Times;serif"/>
          <w:i/>
          <w:sz w:val="24"/>
        </w:rPr>
        <w:t>Sozialgesetzbuch IV</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4"/>
        </w:rPr>
        <w:t>customary restrictions in any license agreement with the Parent</w:t>
      </w:r>
      <w:r>
        <w:rPr>
          <w:rFonts w:ascii="Times New Roman;Times;serif" w:hAnsi="Times New Roman;Times;serif"/>
          <w:sz w:val="20"/>
        </w:rPr>
        <w:t xml:space="preserve"> </w:t>
      </w:r>
      <w:r>
        <w:rPr>
          <w:rFonts w:ascii="Times New Roman;Times;serif" w:hAnsi="Times New Roman;Times;serif"/>
          <w:sz w:val="24"/>
        </w:rPr>
        <w:t>Borrower as a licensee, including without limitation, with respect to the sale of inventory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Parent Borrower shall give the Administrative Agent prompt notice of the execution of any such license</w:t>
      </w:r>
      <w:r>
        <w:rPr>
          <w:rFonts w:ascii="Times New Roman;Times;serif" w:hAnsi="Times New Roman;Times;serif"/>
          <w:sz w:val="20"/>
        </w:rPr>
        <w:t xml:space="preserve"> </w:t>
      </w:r>
      <w:r>
        <w:rPr>
          <w:rFonts w:ascii="Times New Roman;Times;serif" w:hAnsi="Times New Roman;Times;serif"/>
          <w:sz w:val="24"/>
        </w:rPr>
        <w:t>agreement).</w:t>
      </w:r>
    </w:p>
    <w:p>
      <w:pPr>
        <w:pStyle w:val="TextBody"/>
        <w:bidi w:val="0"/>
        <w:spacing w:before="0" w:after="240"/>
        <w:ind w:left="0" w:right="0" w:firstLine="720"/>
        <w:jc w:val="both"/>
        <w:rPr/>
      </w:pPr>
      <w:r>
        <w:rPr/>
        <w:t>“</w:t>
      </w:r>
      <w:r>
        <w:rPr>
          <w:rFonts w:ascii="Times New Roman;Times;serif" w:hAnsi="Times New Roman;Times;serif"/>
          <w:b/>
          <w:sz w:val="24"/>
        </w:rPr>
        <w:t>Permitted Factoring Net Investment</w:t>
      </w:r>
      <w:r>
        <w:rPr>
          <w:rFonts w:ascii="Times New Roman;Times;serif" w:hAnsi="Times New Roman;Times;serif"/>
          <w:sz w:val="20"/>
        </w:rPr>
        <w:t xml:space="preserve">” </w:t>
      </w:r>
      <w:r>
        <w:rPr>
          <w:rFonts w:ascii="Times New Roman;Times;serif" w:hAnsi="Times New Roman;Times;serif"/>
          <w:sz w:val="24"/>
        </w:rPr>
        <w:t>means the aggregate cash amount paid by the purchasers under any Permitted Factoring Transactions in connection with their purchase of Receivables Assets, as the same may be reduced from time to time by collections with respect to such Receivables Assets or otherwise</w:t>
      </w:r>
      <w:r>
        <w:rPr>
          <w:rFonts w:ascii="Times New Roman;Times;serif" w:hAnsi="Times New Roman;Times;serif"/>
          <w:sz w:val="20"/>
        </w:rPr>
        <w:t xml:space="preserve"> </w:t>
      </w:r>
      <w:r>
        <w:rPr>
          <w:rFonts w:ascii="Times New Roman;Times;serif" w:hAnsi="Times New Roman;Times;serif"/>
          <w:sz w:val="24"/>
        </w:rPr>
        <w:t>in accordance with the terms of such Permitted Factoring Transactions (but excluding any such collections used to make payments of commissions, discounts, yield and other fees and charges incurred in connection with any Permitted Factoring Transactions which are payable to any Person other than the Parent, any Borrower or any of their Subsidiaries).</w:t>
      </w:r>
    </w:p>
    <w:p>
      <w:pPr>
        <w:pStyle w:val="TextBody"/>
        <w:bidi w:val="0"/>
        <w:spacing w:before="0" w:after="240"/>
        <w:ind w:left="0" w:right="0" w:firstLine="720"/>
        <w:jc w:val="both"/>
        <w:rPr/>
      </w:pPr>
      <w:r>
        <w:rPr/>
        <w:t>“</w:t>
      </w:r>
      <w:r>
        <w:rPr>
          <w:rFonts w:ascii="Times New Roman;Times;serif" w:hAnsi="Times New Roman;Times;serif"/>
          <w:b/>
          <w:sz w:val="24"/>
        </w:rPr>
        <w:t>Permitted Factoring Transaction</w:t>
      </w:r>
      <w:r>
        <w:rPr>
          <w:rFonts w:ascii="Times New Roman;Times;serif" w:hAnsi="Times New Roman;Times;serif"/>
          <w:sz w:val="20"/>
        </w:rPr>
        <w:t xml:space="preserve">” </w:t>
      </w:r>
      <w:r>
        <w:rPr>
          <w:rFonts w:ascii="Times New Roman;Times;serif" w:hAnsi="Times New Roman;Times;serif"/>
          <w:sz w:val="24"/>
        </w:rPr>
        <w:t>means</w:t>
      </w:r>
      <w:r>
        <w:rPr>
          <w:rFonts w:ascii="Times New Roman;Times;serif" w:hAnsi="Times New Roman;Times;serif"/>
          <w:sz w:val="20"/>
        </w:rPr>
        <w:t xml:space="preserve"> </w:t>
      </w:r>
      <w:r>
        <w:rPr>
          <w:rFonts w:ascii="Times New Roman;Times;serif" w:hAnsi="Times New Roman;Times;serif"/>
          <w:sz w:val="24"/>
        </w:rPr>
        <w:t>any Factoring Transaction</w:t>
      </w:r>
      <w:r>
        <w:rPr>
          <w:rFonts w:ascii="Times New Roman;Times;serif" w:hAnsi="Times New Roman;Times;serif"/>
          <w:sz w:val="20"/>
        </w:rPr>
        <w:t xml:space="preserve"> </w:t>
      </w:r>
      <w:r>
        <w:rPr>
          <w:rFonts w:ascii="Times New Roman;Times;serif" w:hAnsi="Times New Roman;Times;serif"/>
          <w:sz w:val="24"/>
        </w:rPr>
        <w:t>so long as (a) such Factoring Transaction is non-recourse to, and does not obligate, the Parent, any Borrower or any Subsidiary</w:t>
      </w:r>
      <w:r>
        <w:rPr>
          <w:rFonts w:ascii="Times New Roman;Times;serif" w:hAnsi="Times New Roman;Times;serif"/>
          <w:sz w:val="20"/>
        </w:rPr>
        <w:t xml:space="preserve"> </w:t>
      </w:r>
      <w:r>
        <w:rPr>
          <w:rFonts w:ascii="Times New Roman;Times;serif" w:hAnsi="Times New Roman;Times;serif"/>
          <w:sz w:val="24"/>
        </w:rPr>
        <w:t>thereof, or their respective properties or assets (other than Receivables Assets) in any way other than pursuant to Standard Securitization Undertakings,</w:t>
      </w:r>
      <w:r>
        <w:rPr>
          <w:rFonts w:ascii="Times New Roman;Times;serif" w:hAnsi="Times New Roman;Times;serif"/>
          <w:sz w:val="20"/>
        </w:rPr>
        <w:t xml:space="preserve"> </w:t>
      </w:r>
      <w:r>
        <w:rPr>
          <w:rFonts w:ascii="Times New Roman;Times;serif" w:hAnsi="Times New Roman;Times;serif"/>
          <w:sz w:val="24"/>
        </w:rPr>
        <w:t>(b) all sales, conveyances and/or assignments of Receivables Assets by the Parent Borrower or any Subsidiary thereof in connection with such Factoring Transaction are made at fair market value (as determined in good faith by the Parent Borrower</w:t>
      </w:r>
      <w:r>
        <w:rPr>
          <w:rFonts w:ascii="Times New Roman;Times;serif" w:hAnsi="Times New Roman;Times;serif"/>
          <w:sz w:val="20"/>
        </w:rPr>
        <w:t xml:space="preserve"> </w:t>
      </w:r>
      <w:r>
        <w:rPr>
          <w:rFonts w:ascii="Times New Roman;Times;serif" w:hAnsi="Times New Roman;Times;serif"/>
          <w:sz w:val="24"/>
        </w:rPr>
        <w:t>or any applicable Subsidiary), and 100% of the proceeds of such sales, conveyances and/or assignments are received in cash, (c) such Factoring Transaction (including financing terms, covenants, termination events (if any) and other provisions thereof) is on market terms at the time such Factoring Transaction is first entered into (as determined in good faith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the Parent Borrower</w:t>
      </w:r>
      <w:r>
        <w:rPr>
          <w:rFonts w:ascii="Times New Roman;Times;serif" w:hAnsi="Times New Roman;Times;serif"/>
          <w:sz w:val="20"/>
        </w:rPr>
        <w:t xml:space="preserve"> </w:t>
      </w:r>
      <w:r>
        <w:rPr>
          <w:rFonts w:ascii="Times New Roman;Times;serif" w:hAnsi="Times New Roman;Times;serif"/>
          <w:sz w:val="24"/>
        </w:rPr>
        <w:t>or any applicable Subsidiary) and may include Standard Securitization Undertakings, and (d) such Factoring Transaction shall be in compliance with each of the Receivables Financing Limitations. The grant of a security interest in any accounts receivable of the Parent Borrower or any of its Subsidiaries (other than a Receivables Subsidiary) to secure any credit agreement shall not be deemed a</w:t>
      </w:r>
      <w:r>
        <w:rPr>
          <w:rFonts w:ascii="Times New Roman;Times;serif" w:hAnsi="Times New Roman;Times;serif"/>
          <w:sz w:val="20"/>
        </w:rPr>
        <w:t xml:space="preserve"> </w:t>
      </w:r>
      <w:r>
        <w:rPr>
          <w:rFonts w:ascii="Times New Roman;Times;serif" w:hAnsi="Times New Roman;Times;serif"/>
          <w:sz w:val="24"/>
        </w:rPr>
        <w:t>Permitted Factoring</w:t>
      </w:r>
      <w:r>
        <w:rPr>
          <w:rFonts w:ascii="Times New Roman;Times;serif" w:hAnsi="Times New Roman;Times;serif"/>
          <w:sz w:val="20"/>
        </w:rPr>
        <w:t xml:space="preserve"> </w:t>
      </w:r>
      <w:r>
        <w:rPr>
          <w:rFonts w:ascii="Times New Roman;Times;serif" w:hAnsi="Times New Roman;Times;serif"/>
          <w:sz w:val="24"/>
        </w:rPr>
        <w:t>Transaction in and of itself.</w:t>
      </w:r>
    </w:p>
    <w:p>
      <w:pPr>
        <w:pStyle w:val="TextBody"/>
        <w:bidi w:val="0"/>
        <w:spacing w:before="0" w:after="240"/>
        <w:ind w:left="0" w:right="0" w:firstLine="720"/>
        <w:jc w:val="both"/>
        <w:rPr/>
      </w:pPr>
      <w:r>
        <w:rPr/>
        <w:t>“</w:t>
      </w:r>
      <w:r>
        <w:rPr>
          <w:rFonts w:ascii="Times New Roman;Times;serif" w:hAnsi="Times New Roman;Times;serif"/>
          <w:b/>
          <w:sz w:val="24"/>
        </w:rPr>
        <w:t>Permitted Holders</w:t>
      </w:r>
      <w:r>
        <w:rPr>
          <w:rFonts w:ascii="Times New Roman;Times;serif" w:hAnsi="Times New Roman;Times;serif"/>
          <w:sz w:val="20"/>
        </w:rPr>
        <w:t xml:space="preserve">” </w:t>
      </w:r>
      <w:r>
        <w:rPr>
          <w:rFonts w:ascii="Times New Roman;Times;serif" w:hAnsi="Times New Roman;Times;serif"/>
          <w:sz w:val="24"/>
        </w:rPr>
        <w:t>means one or more of AES</w:t>
      </w:r>
      <w:r>
        <w:rPr>
          <w:rFonts w:ascii="Times New Roman;Times;serif" w:hAnsi="Times New Roman;Times;serif"/>
          <w:sz w:val="20"/>
        </w:rPr>
        <w:t xml:space="preserve"> </w:t>
      </w:r>
      <w:r>
        <w:rPr>
          <w:rFonts w:ascii="Times New Roman;Times;serif" w:hAnsi="Times New Roman;Times;serif"/>
          <w:sz w:val="24"/>
        </w:rPr>
        <w:t>and</w:t>
      </w:r>
      <w:r>
        <w:rPr>
          <w:rFonts w:ascii="Times New Roman;Times;serif" w:hAnsi="Times New Roman;Times;serif"/>
          <w:sz w:val="20"/>
        </w:rPr>
        <w:t xml:space="preserve"> </w:t>
      </w:r>
      <w:r>
        <w:rPr>
          <w:rFonts w:ascii="Times New Roman;Times;serif" w:hAnsi="Times New Roman;Times;serif"/>
          <w:sz w:val="24"/>
        </w:rPr>
        <w:t>Siemens.</w:t>
      </w:r>
    </w:p>
    <w:p>
      <w:pPr>
        <w:pStyle w:val="TextBody"/>
        <w:bidi w:val="0"/>
        <w:spacing w:before="0" w:after="240"/>
        <w:ind w:left="0" w:right="0" w:firstLine="720"/>
        <w:jc w:val="both"/>
        <w:rPr/>
      </w:pPr>
      <w:r>
        <w:rPr/>
        <w:t>“</w:t>
      </w:r>
      <w:r>
        <w:rPr>
          <w:rFonts w:ascii="Times New Roman;Times;serif" w:hAnsi="Times New Roman;Times;serif"/>
          <w:b/>
          <w:sz w:val="24"/>
        </w:rPr>
        <w:t>Permitted Receivables Facility</w:t>
      </w:r>
      <w:r>
        <w:rPr>
          <w:rFonts w:ascii="Times New Roman;Times;serif" w:hAnsi="Times New Roman;Times;serif"/>
          <w:sz w:val="20"/>
        </w:rPr>
        <w:t xml:space="preserve">” </w:t>
      </w:r>
      <w:r>
        <w:rPr>
          <w:rFonts w:ascii="Times New Roman;Times;serif" w:hAnsi="Times New Roman;Times;serif"/>
          <w:sz w:val="24"/>
        </w:rPr>
        <w:t>means any Receivables Facility so long as (a) such Receivables Facility does not obligate the Parent, any Borrower or any Subsidiary thereof, or their respective properties or assets (other than Receivables Assets) in any way other than pursuant to Standard Securitization Undertakings, (b) all sales,</w:t>
      </w:r>
      <w:r>
        <w:rPr>
          <w:rFonts w:ascii="Times New Roman;Times;serif" w:hAnsi="Times New Roman;Times;serif"/>
          <w:sz w:val="20"/>
        </w:rPr>
        <w:t xml:space="preserve"> </w:t>
      </w:r>
      <w:r>
        <w:rPr>
          <w:rFonts w:ascii="Times New Roman;Times;serif" w:hAnsi="Times New Roman;Times;serif"/>
          <w:sz w:val="24"/>
        </w:rPr>
        <w:t>contributions,</w:t>
      </w:r>
      <w:r>
        <w:rPr>
          <w:rFonts w:ascii="Times New Roman;Times;serif" w:hAnsi="Times New Roman;Times;serif"/>
          <w:sz w:val="20"/>
        </w:rPr>
        <w:t xml:space="preserve"> </w:t>
      </w:r>
      <w:r>
        <w:rPr>
          <w:rFonts w:ascii="Times New Roman;Times;serif" w:hAnsi="Times New Roman;Times;serif"/>
          <w:sz w:val="24"/>
        </w:rPr>
        <w:t>conveyances</w:t>
      </w:r>
      <w:r>
        <w:rPr>
          <w:rFonts w:ascii="Times New Roman;Times;serif" w:hAnsi="Times New Roman;Times;serif"/>
          <w:sz w:val="20"/>
        </w:rPr>
        <w:t xml:space="preserve"> </w:t>
      </w:r>
      <w:r>
        <w:rPr>
          <w:rFonts w:ascii="Times New Roman;Times;serif" w:hAnsi="Times New Roman;Times;serif"/>
          <w:sz w:val="24"/>
        </w:rPr>
        <w:t>and/or</w:t>
      </w:r>
      <w:r>
        <w:rPr>
          <w:rFonts w:ascii="Times New Roman;Times;serif" w:hAnsi="Times New Roman;Times;serif"/>
          <w:sz w:val="20"/>
        </w:rPr>
        <w:t xml:space="preserve"> </w:t>
      </w:r>
      <w:r>
        <w:rPr>
          <w:rFonts w:ascii="Times New Roman;Times;serif" w:hAnsi="Times New Roman;Times;serif"/>
          <w:sz w:val="24"/>
        </w:rPr>
        <w:t>assignments of Receivables Assets by the Parent Borrower or any Subsidiary to any Receivables Subsidiary in connection with such Receivables Facility are made at fair market value (as determined in good faith by the Parent Borrower or any applicable Subsidiary), (c) the proceeds from the sale, contribution, conveyance and/or assignment of such Receivables Assets by the Parent, any Borrower or any Subsidiary thereof are received in cash or a dollar for dollar increase in the value of the Equity Interest of the Parent, such Borrower or such Subsidiary, as applicable, in the Receivables Subsidiary,</w:t>
      </w:r>
      <w:r>
        <w:rPr>
          <w:rFonts w:ascii="Times New Roman;Times;serif" w:hAnsi="Times New Roman;Times;serif"/>
          <w:sz w:val="20"/>
        </w:rPr>
        <w:t xml:space="preserve"> </w:t>
      </w:r>
      <w:r>
        <w:rPr>
          <w:rFonts w:ascii="Times New Roman;Times;serif" w:hAnsi="Times New Roman;Times;serif"/>
          <w:sz w:val="24"/>
        </w:rPr>
        <w:t>and at least 75% of the face value of the sold, contributed, conveyed and/or assigned Receivables Assets shall be paid to the Parent, such Borrower or such Subsidiary, as applicable, in cash, (d) any such Receivables Facility (including financing terms, covenants, termination events (if any) and other provisions thereof) is on market terms at the time such Receivables Facility is first entered into (as determined in good faith by the Parent Borrower or any applicable Subsidiary) and may include Standard Securitization Undertakings, and (e) such Receivables Facility shall be in compliance with each of the Receivables Financing Limitations. The grant of a security interest in any accounts receivable of the Parent Borrower or any of its Subsidiaries (other than a Receivables Subsidiary) to secure any credit agreement shall not be deemed a Permitted Receivables Facility in and of itself.</w:t>
      </w:r>
    </w:p>
    <w:p>
      <w:pPr>
        <w:pStyle w:val="TextBody"/>
        <w:bidi w:val="0"/>
        <w:spacing w:before="0" w:after="240"/>
        <w:ind w:left="0" w:right="0" w:firstLine="720"/>
        <w:jc w:val="both"/>
        <w:rPr/>
      </w:pPr>
      <w:r>
        <w:rPr/>
        <w:t>“</w:t>
      </w:r>
      <w:r>
        <w:rPr>
          <w:rFonts w:ascii="Times New Roman;Times;serif" w:hAnsi="Times New Roman;Times;serif"/>
          <w:b/>
          <w:sz w:val="24"/>
        </w:rPr>
        <w:t>Permitted Receivables Facility Principal Amount</w:t>
      </w:r>
      <w:r>
        <w:rPr>
          <w:rFonts w:ascii="Times New Roman;Times;serif" w:hAnsi="Times New Roman;Times;serif"/>
          <w:sz w:val="20"/>
        </w:rPr>
        <w:t xml:space="preserve">” </w:t>
      </w:r>
      <w:r>
        <w:rPr>
          <w:rFonts w:ascii="Times New Roman;Times;serif" w:hAnsi="Times New Roman;Times;serif"/>
          <w:sz w:val="24"/>
        </w:rPr>
        <w:t>means, on any date of determination, the aggregate cash amount advanced</w:t>
      </w:r>
      <w:r>
        <w:rPr>
          <w:rFonts w:ascii="Times New Roman;Times;serif" w:hAnsi="Times New Roman;Times;serif"/>
          <w:sz w:val="20"/>
        </w:rPr>
        <w:t xml:space="preserve"> </w:t>
      </w:r>
      <w:r>
        <w:rPr>
          <w:rFonts w:ascii="Times New Roman;Times;serif" w:hAnsi="Times New Roman;Times;serif"/>
          <w:sz w:val="24"/>
        </w:rPr>
        <w:t>by the lenders or purchasers under Permitted Receivables Facilities to Receivables Subsidiaries in connection with their purchase of, or the making of loans secured by, Receivables Assets or interests therein, as the same may be reduced from time to time by collections with respect to such Receivables Assets, principal payments</w:t>
      </w:r>
      <w:r>
        <w:rPr>
          <w:rFonts w:ascii="Times New Roman;Times;serif" w:hAnsi="Times New Roman;Times;serif"/>
          <w:sz w:val="20"/>
        </w:rPr>
        <w:t xml:space="preserve"> </w:t>
      </w:r>
      <w:r>
        <w:rPr>
          <w:rFonts w:ascii="Times New Roman;Times;serif" w:hAnsi="Times New Roman;Times;serif"/>
          <w:sz w:val="24"/>
        </w:rPr>
        <w:t>or otherwise in accordance with the terms of the documents and agreements evidencing, relating to or otherwise governing the Permitted Receivables</w:t>
      </w:r>
      <w:r>
        <w:rPr>
          <w:rFonts w:ascii="Times New Roman;Times;serif" w:hAnsi="Times New Roman;Times;serif"/>
          <w:sz w:val="20"/>
        </w:rPr>
        <w:t xml:space="preserve"> </w:t>
      </w:r>
      <w:r>
        <w:rPr>
          <w:rFonts w:ascii="Times New Roman;Times;serif" w:hAnsi="Times New Roman;Times;serif"/>
          <w:sz w:val="24"/>
        </w:rPr>
        <w:t>Facilities.</w:t>
      </w:r>
    </w:p>
    <w:p>
      <w:pPr>
        <w:pStyle w:val="TextBody"/>
        <w:bidi w:val="0"/>
        <w:spacing w:before="0" w:after="240"/>
        <w:ind w:left="0" w:right="0" w:firstLine="720"/>
        <w:jc w:val="both"/>
        <w:rPr/>
      </w:pPr>
      <w:r>
        <w:rPr/>
        <w:t>“</w:t>
      </w:r>
      <w:r>
        <w:rPr>
          <w:rFonts w:ascii="Times New Roman;Times;serif" w:hAnsi="Times New Roman;Times;serif"/>
          <w:b/>
          <w:sz w:val="24"/>
        </w:rPr>
        <w:t>Permitted Refinancing</w:t>
      </w:r>
      <w:r>
        <w:rPr>
          <w:rFonts w:ascii="Times New Roman;Times;serif" w:hAnsi="Times New Roman;Times;serif"/>
          <w:sz w:val="20"/>
        </w:rPr>
        <w:t xml:space="preserve">” </w:t>
      </w:r>
      <w:r>
        <w:rPr>
          <w:rFonts w:ascii="Times New Roman;Times;serif" w:hAnsi="Times New Roman;Times;serif"/>
          <w:sz w:val="24"/>
        </w:rPr>
        <w:t>means, with respect to any Indebtedness, any Indebtedness constituting a refinancing or replacement thereof so long as (a) on the date of such refinancing or replacement, no Event of Default shall have occurred and be continuing or would arise therefrom; (b) any such refinancing or replacement Indebtedness shall (i) not have a stated maturity or, other than in the case of a revolving credit facility, a weighted average life to maturity that is shorter than that of the Indebtedness being refinanced or replaced, (ii) if the Indebtedness being refinanced or replaced (or the Liens securing such Indebtedness) is subordinated to the Obligations (or to the Liens securing the Obligations, if applicable) by its terms or by the terms of any agreement or instrument relating to such Indebtedness, be (and be secured by Liens, if applicable) at least as subordinate to the Obligations (or to the Liens securing the Obligations) as the Indebtedness being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refinanced or replaced (and unsecured if the refinanced or replaced Indebtedness is unsecured) and (iii) be in a principal amount that does not exceed the principal amount so refinanced or replaced </w:t>
      </w:r>
      <w:r>
        <w:rPr>
          <w:rFonts w:ascii="Times New Roman;Times;serif" w:hAnsi="Times New Roman;Times;serif"/>
          <w:sz w:val="24"/>
          <w:u w:val="single"/>
        </w:rPr>
        <w:t>plus</w:t>
      </w:r>
      <w:r>
        <w:rPr>
          <w:rFonts w:ascii="Times New Roman;Times;serif" w:hAnsi="Times New Roman;Times;serif"/>
          <w:sz w:val="24"/>
        </w:rPr>
        <w:t>, accrued interest, any customary premium or other payment required to be paid in connection with such refinancing or replacement, the amount of customary fees and expenses of the Borrowers</w:t>
      </w:r>
      <w:r>
        <w:rPr>
          <w:rFonts w:ascii="Times New Roman;Times;serif" w:hAnsi="Times New Roman;Times;serif"/>
          <w:sz w:val="20"/>
        </w:rPr>
        <w:t xml:space="preserve"> </w:t>
      </w:r>
      <w:r>
        <w:rPr>
          <w:rFonts w:ascii="Times New Roman;Times;serif" w:hAnsi="Times New Roman;Times;serif"/>
          <w:sz w:val="24"/>
        </w:rPr>
        <w:t>or any of their</w:t>
      </w:r>
      <w:r>
        <w:rPr>
          <w:rFonts w:ascii="Times New Roman;Times;serif" w:hAnsi="Times New Roman;Times;serif"/>
          <w:sz w:val="20"/>
        </w:rPr>
        <w:t xml:space="preserve"> </w:t>
      </w:r>
      <w:r>
        <w:rPr>
          <w:rFonts w:ascii="Times New Roman;Times;serif" w:hAnsi="Times New Roman;Times;serif"/>
          <w:sz w:val="24"/>
        </w:rPr>
        <w:t xml:space="preserve">Subsidiaries incurred in connection with such refinancing or replacement, </w:t>
      </w:r>
      <w:r>
        <w:rPr>
          <w:rFonts w:ascii="Times New Roman;Times;serif" w:hAnsi="Times New Roman;Times;serif"/>
          <w:sz w:val="24"/>
          <w:u w:val="single"/>
        </w:rPr>
        <w:t>and</w:t>
      </w:r>
      <w:r>
        <w:rPr>
          <w:rFonts w:ascii="Times New Roman;Times;serif" w:hAnsi="Times New Roman;Times;serif"/>
          <w:sz w:val="20"/>
        </w:rPr>
        <w:t xml:space="preserve"> </w:t>
      </w:r>
      <w:r>
        <w:rPr>
          <w:rFonts w:ascii="Times New Roman;Times;serif" w:hAnsi="Times New Roman;Times;serif"/>
          <w:sz w:val="24"/>
        </w:rPr>
        <w:t xml:space="preserve">any unutilized commitments thereunder; and (c) the obligors on such refinancing or replacement Indebtedness shall be the obligors on such Indebtedness being refinanced or replaced;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any Loan Party shall be permitted to guarantee any such refinancing or replacement Indebtedness of any other Loan Party.</w:t>
      </w:r>
    </w:p>
    <w:p>
      <w:pPr>
        <w:pStyle w:val="TextBody"/>
        <w:bidi w:val="0"/>
        <w:spacing w:before="0" w:after="240"/>
        <w:ind w:left="0" w:right="0" w:firstLine="720"/>
        <w:jc w:val="both"/>
        <w:rPr/>
      </w:pPr>
      <w:r>
        <w:rPr/>
        <w:t>“</w:t>
      </w:r>
      <w:r>
        <w:rPr>
          <w:rFonts w:ascii="Times New Roman;Times;serif" w:hAnsi="Times New Roman;Times;serif"/>
          <w:b/>
          <w:sz w:val="24"/>
        </w:rPr>
        <w:t>Permitted Third Party Bank</w:t>
      </w:r>
      <w:r>
        <w:rPr>
          <w:rFonts w:ascii="Times New Roman;Times;serif" w:hAnsi="Times New Roman;Times;serif"/>
          <w:sz w:val="20"/>
        </w:rPr>
        <w:t xml:space="preserve">” </w:t>
      </w:r>
      <w:r>
        <w:rPr>
          <w:rFonts w:ascii="Times New Roman;Times;serif" w:hAnsi="Times New Roman;Times;serif"/>
          <w:sz w:val="24"/>
        </w:rPr>
        <w:t>means any bank or other financial institution, other than the Lenders, with whom any Loan Party maintains a Controlled Account</w:t>
      </w:r>
      <w:r>
        <w:rPr>
          <w:rFonts w:ascii="Times New Roman;Times;serif" w:hAnsi="Times New Roman;Times;serif"/>
          <w:sz w:val="20"/>
        </w:rPr>
        <w:t xml:space="preserve"> </w:t>
      </w:r>
      <w:r>
        <w:rPr>
          <w:rFonts w:ascii="Times New Roman;Times;serif" w:hAnsi="Times New Roman;Times;serif"/>
          <w:sz w:val="24"/>
        </w:rPr>
        <w:t xml:space="preserve">and which is set forth on </w:t>
      </w:r>
      <w:r>
        <w:rPr>
          <w:rFonts w:ascii="Times New Roman;Times;serif" w:hAnsi="Times New Roman;Times;serif"/>
          <w:sz w:val="24"/>
          <w:u w:val="single"/>
        </w:rPr>
        <w:t>Schedule 1.01</w:t>
      </w:r>
      <w:r>
        <w:rPr>
          <w:rFonts w:ascii="Times New Roman;Times;serif" w:hAnsi="Times New Roman;Times;serif"/>
          <w:sz w:val="20"/>
        </w:rPr>
        <w:t xml:space="preserve"> </w:t>
      </w:r>
      <w:r>
        <w:rPr>
          <w:rFonts w:ascii="Times New Roman;Times;serif" w:hAnsi="Times New Roman;Times;serif"/>
          <w:sz w:val="24"/>
        </w:rPr>
        <w:t>and any Affiliate of any such bank or other financial institution with whom any Loan Party maintains a Controlled Account.</w:t>
      </w:r>
    </w:p>
    <w:p>
      <w:pPr>
        <w:pStyle w:val="TextBody"/>
        <w:bidi w:val="0"/>
        <w:spacing w:before="0" w:after="240"/>
        <w:ind w:left="0" w:right="0" w:firstLine="720"/>
        <w:jc w:val="both"/>
        <w:rPr/>
      </w:pPr>
      <w:r>
        <w:rPr/>
        <w:t>“</w:t>
      </w:r>
      <w:r>
        <w:rPr>
          <w:rFonts w:ascii="Times New Roman;Times;serif" w:hAnsi="Times New Roman;Times;serif"/>
          <w:b/>
          <w:sz w:val="24"/>
        </w:rPr>
        <w:t>Permitted Warrant Transaction</w:t>
      </w:r>
      <w:r>
        <w:rPr>
          <w:rFonts w:ascii="Times New Roman;Times;serif" w:hAnsi="Times New Roman;Times;serif"/>
          <w:sz w:val="20"/>
        </w:rPr>
        <w:t xml:space="preserve">” </w:t>
      </w:r>
      <w:r>
        <w:rPr>
          <w:rFonts w:ascii="Times New Roman;Times;serif" w:hAnsi="Times New Roman;Times;serif"/>
          <w:sz w:val="24"/>
        </w:rPr>
        <w:t>means any call option, warrant or right to purchase (or substantively equivalent derivative transaction) on the Parent’s common Equity Interests</w:t>
      </w:r>
      <w:r>
        <w:rPr>
          <w:rFonts w:ascii="Times New Roman;Times;serif" w:hAnsi="Times New Roman;Times;serif"/>
          <w:sz w:val="20"/>
        </w:rPr>
        <w:t xml:space="preserve"> </w:t>
      </w:r>
      <w:r>
        <w:rPr>
          <w:rFonts w:ascii="Times New Roman;Times;serif" w:hAnsi="Times New Roman;Times;serif"/>
          <w:sz w:val="24"/>
        </w:rPr>
        <w:t>sold by the Parent substantially concurrently with any purchase by the Parent of a related Permitted Bond Hedge Transaction.</w:t>
      </w:r>
    </w:p>
    <w:p>
      <w:pPr>
        <w:pStyle w:val="TextBody"/>
        <w:bidi w:val="0"/>
        <w:spacing w:before="0" w:after="240"/>
        <w:ind w:left="0" w:right="0" w:firstLine="720"/>
        <w:jc w:val="both"/>
        <w:rPr/>
      </w:pPr>
      <w:r>
        <w:rPr/>
        <w:t>“</w:t>
      </w:r>
      <w:r>
        <w:rPr>
          <w:rFonts w:ascii="Times New Roman;Times;serif" w:hAnsi="Times New Roman;Times;serif"/>
          <w:b/>
          <w:sz w:val="24"/>
        </w:rPr>
        <w:t>Person</w:t>
      </w:r>
      <w:r>
        <w:rPr>
          <w:rFonts w:ascii="Times New Roman;Times;serif" w:hAnsi="Times New Roman;Times;serif"/>
          <w:sz w:val="20"/>
        </w:rPr>
        <w:t xml:space="preserve">” </w:t>
      </w:r>
      <w:r>
        <w:rPr>
          <w:rFonts w:ascii="Times New Roman;Times;serif" w:hAnsi="Times New Roman;Times;serif"/>
          <w:sz w:val="24"/>
        </w:rPr>
        <w:t>means any natural person, corporation, limited liability company, unlimited liability company, trust, joint venture, association, company, partnership, Governmental Authority or other entity.</w:t>
      </w:r>
    </w:p>
    <w:p>
      <w:pPr>
        <w:pStyle w:val="TextBody"/>
        <w:bidi w:val="0"/>
        <w:spacing w:before="0" w:after="240"/>
        <w:ind w:left="0" w:right="0" w:firstLine="720"/>
        <w:jc w:val="both"/>
        <w:rPr/>
      </w:pPr>
      <w:r>
        <w:rPr/>
        <w:t>“</w:t>
      </w:r>
      <w:r>
        <w:rPr>
          <w:rFonts w:ascii="Times New Roman;Times;serif" w:hAnsi="Times New Roman;Times;serif"/>
          <w:b/>
          <w:sz w:val="24"/>
        </w:rPr>
        <w:t>Philippine Security Documents</w:t>
      </w:r>
      <w:r>
        <w:rPr>
          <w:rFonts w:ascii="Times New Roman;Times;serif" w:hAnsi="Times New Roman;Times;serif"/>
          <w:sz w:val="20"/>
        </w:rPr>
        <w:t xml:space="preserve">” </w:t>
      </w:r>
      <w:r>
        <w:rPr>
          <w:rFonts w:ascii="Times New Roman;Times;serif" w:hAnsi="Times New Roman;Times;serif"/>
          <w:sz w:val="24"/>
        </w:rPr>
        <w:t xml:space="preserve">means the (a) Fluence Energy Philippines Guaranty and (b) one or more security agreements in favor of the Administrative Agent pursuant to which any Lien governed or expressed to be governed by the laws of the Republic of the Philippines, which agreements shall be granted in accordance with the Agreed Security Principles and </w:t>
      </w:r>
      <w:r>
        <w:rPr>
          <w:rFonts w:ascii="Times New Roman;Times;serif" w:hAnsi="Times New Roman;Times;serif"/>
          <w:sz w:val="24"/>
          <w:u w:val="single"/>
        </w:rPr>
        <w:t>Section 5.11(g)</w:t>
      </w:r>
      <w:r>
        <w:rPr>
          <w:rFonts w:ascii="Times New Roman;Times;serif" w:hAnsi="Times New Roman;Times;serif"/>
          <w:sz w:val="24"/>
        </w:rPr>
        <w:t>, in each case, as may be amended, restated, supplemented or otherwise modified from time to time.</w:t>
      </w:r>
    </w:p>
    <w:p>
      <w:pPr>
        <w:pStyle w:val="TextBody"/>
        <w:bidi w:val="0"/>
        <w:spacing w:before="0" w:after="240"/>
        <w:ind w:left="0" w:right="0" w:firstLine="720"/>
        <w:jc w:val="both"/>
        <w:rPr/>
      </w:pPr>
      <w:r>
        <w:rPr/>
        <w:t>“</w:t>
      </w:r>
      <w:r>
        <w:rPr>
          <w:rFonts w:ascii="Times New Roman;Times;serif" w:hAnsi="Times New Roman;Times;serif"/>
          <w:b/>
          <w:sz w:val="24"/>
        </w:rPr>
        <w:t>Philippines Collateral</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5.11(g)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Philippines Guarantors</w:t>
      </w:r>
      <w:r>
        <w:rPr>
          <w:rFonts w:ascii="Times New Roman;Times;serif" w:hAnsi="Times New Roman;Times;serif"/>
          <w:sz w:val="20"/>
        </w:rPr>
        <w:t xml:space="preserve">” </w:t>
      </w:r>
      <w:r>
        <w:rPr>
          <w:rFonts w:ascii="Times New Roman;Times;serif" w:hAnsi="Times New Roman;Times;serif"/>
          <w:sz w:val="24"/>
        </w:rPr>
        <w:t>means the Guarantors organized under the laws of the Philippines, including Fluence Energy Philippines.</w:t>
      </w:r>
    </w:p>
    <w:p>
      <w:pPr>
        <w:pStyle w:val="TextBody"/>
        <w:bidi w:val="0"/>
        <w:spacing w:before="0" w:after="240"/>
        <w:ind w:left="0" w:right="0" w:firstLine="720"/>
        <w:jc w:val="both"/>
        <w:rPr/>
      </w:pPr>
      <w:r>
        <w:rPr/>
        <w:t>“</w:t>
      </w:r>
      <w:r>
        <w:rPr>
          <w:rFonts w:ascii="Times New Roman;Times;serif" w:hAnsi="Times New Roman;Times;serif"/>
          <w:b/>
          <w:sz w:val="24"/>
        </w:rPr>
        <w:t>Philippines Secured Amount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5.11(g)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Plan</w:t>
      </w:r>
      <w:r>
        <w:rPr>
          <w:rFonts w:ascii="Times New Roman;Times;serif" w:hAnsi="Times New Roman;Times;serif"/>
          <w:sz w:val="20"/>
        </w:rPr>
        <w:t xml:space="preserve">” </w:t>
      </w:r>
      <w:r>
        <w:rPr>
          <w:rFonts w:ascii="Times New Roman;Times;serif" w:hAnsi="Times New Roman;Times;serif"/>
          <w:sz w:val="24"/>
        </w:rPr>
        <w:t>means any “employee benefit plan” as defined in Section 3 of ERISA (other than a Multiemployer Plan) subject to the provisions of Title IV of ERISA or Section 412 of the Code or Section 302 of ERISA maintained or contributed to by the Parent, any Borrower, a Subsidiary or any ERISA Affiliate or to which the Parent, any Borrower, a Subsidiary or an ERISA Affiliate has or would have an obligation to contribute, and each such plan subject to the provisions of Title IV of ERISA or Section 412 of the Code or Section 302 of ERISA for the five-year period immediately following the latest date on which the Parent, any Borrower, a Subsidiary or an ERISA Affiliate maintained, contributed to or had an obligation to contribute to (or is deemed under Section 4069 of ERISA to have maintained or contributed to or to have had an obligation to contribute to, or otherwise to have liability with respect to) such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Platform</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Pounds Sterling</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b/>
          <w:sz w:val="24"/>
        </w:rPr>
        <w:t>£</w:t>
      </w:r>
      <w:r>
        <w:rPr>
          <w:rFonts w:ascii="Times New Roman;Times;serif" w:hAnsi="Times New Roman;Times;serif"/>
          <w:sz w:val="20"/>
        </w:rPr>
        <w:t xml:space="preserve">” </w:t>
      </w:r>
      <w:r>
        <w:rPr>
          <w:rFonts w:ascii="Times New Roman;Times;serif" w:hAnsi="Times New Roman;Times;serif"/>
          <w:sz w:val="24"/>
        </w:rPr>
        <w:t>mean the lawful currency of the United Kingdom.</w:t>
      </w:r>
    </w:p>
    <w:p>
      <w:pPr>
        <w:pStyle w:val="TextBody"/>
        <w:bidi w:val="0"/>
        <w:spacing w:before="0" w:after="240"/>
        <w:ind w:left="0" w:right="0" w:firstLine="720"/>
        <w:jc w:val="both"/>
        <w:rPr/>
      </w:pPr>
      <w:r>
        <w:rPr/>
        <w:t>“</w:t>
      </w:r>
      <w:r>
        <w:rPr>
          <w:rFonts w:ascii="Times New Roman;Times;serif" w:hAnsi="Times New Roman;Times;serif"/>
          <w:b/>
          <w:sz w:val="24"/>
        </w:rPr>
        <w:t>PPSR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5.11(g)</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Prime Rate</w:t>
      </w:r>
      <w:r>
        <w:rPr>
          <w:rFonts w:ascii="Times New Roman;Times;serif" w:hAnsi="Times New Roman;Times;serif"/>
          <w:sz w:val="20"/>
        </w:rPr>
        <w:t xml:space="preserve">” </w:t>
      </w:r>
      <w:r>
        <w:rPr>
          <w:rFonts w:ascii="Times New Roman;Times;serif" w:hAnsi="Times New Roman;Times;serif"/>
          <w:sz w:val="24"/>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before="0" w:after="240"/>
        <w:ind w:left="0" w:right="0" w:firstLine="720"/>
        <w:jc w:val="both"/>
        <w:rPr/>
      </w:pPr>
      <w:r>
        <w:rPr/>
        <w:t>“</w:t>
      </w:r>
      <w:r>
        <w:rPr>
          <w:rFonts w:ascii="Times New Roman;Times;serif" w:hAnsi="Times New Roman;Times;serif"/>
          <w:b/>
          <w:sz w:val="24"/>
        </w:rPr>
        <w:t>Principal Office</w:t>
      </w:r>
      <w:r>
        <w:rPr>
          <w:rFonts w:ascii="Times New Roman;Times;serif" w:hAnsi="Times New Roman;Times;serif"/>
          <w:sz w:val="20"/>
        </w:rPr>
        <w:t xml:space="preserve">” </w:t>
      </w:r>
      <w:r>
        <w:rPr>
          <w:rFonts w:ascii="Times New Roman;Times;serif" w:hAnsi="Times New Roman;Times;serif"/>
          <w:sz w:val="24"/>
        </w:rPr>
        <w:t xml:space="preserve">means the office of the Administrative Agent as set forth in </w:t>
      </w:r>
      <w:r>
        <w:rPr>
          <w:rFonts w:ascii="Times New Roman;Times;serif" w:hAnsi="Times New Roman;Times;serif"/>
          <w:sz w:val="24"/>
          <w:u w:val="single"/>
        </w:rPr>
        <w:t>Section 10.01</w:t>
      </w:r>
      <w:r>
        <w:rPr>
          <w:rFonts w:ascii="Times New Roman;Times;serif" w:hAnsi="Times New Roman;Times;serif"/>
          <w:sz w:val="24"/>
        </w:rPr>
        <w:t>, or such other office or office of a third party or sub-agent, as appropriate, as the Administrative Agent may from time to time designate in writing to the Borrowers and each Lender.</w:t>
      </w:r>
    </w:p>
    <w:p>
      <w:pPr>
        <w:pStyle w:val="TextBody"/>
        <w:bidi w:val="0"/>
        <w:spacing w:before="0" w:after="240"/>
        <w:ind w:left="0" w:right="0" w:firstLine="720"/>
        <w:jc w:val="both"/>
        <w:rPr/>
      </w:pPr>
      <w:r>
        <w:rPr/>
        <w:t>“</w:t>
      </w:r>
      <w:r>
        <w:rPr>
          <w:rFonts w:ascii="Times New Roman;Times;serif" w:hAnsi="Times New Roman;Times;serif"/>
          <w:b/>
          <w:sz w:val="24"/>
        </w:rPr>
        <w:t>Pro Forma Basis</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Pro Forma Effect</w:t>
      </w:r>
      <w:r>
        <w:rPr>
          <w:rFonts w:ascii="Times New Roman;Times;serif" w:hAnsi="Times New Roman;Times;serif"/>
          <w:sz w:val="20"/>
        </w:rPr>
        <w:t xml:space="preserve">” </w:t>
      </w:r>
      <w:r>
        <w:rPr>
          <w:rFonts w:ascii="Times New Roman;Times;serif" w:hAnsi="Times New Roman;Times;serif"/>
          <w:sz w:val="24"/>
        </w:rPr>
        <w:t xml:space="preserve">means, with respect to compliance with any test or covenant or calculation of any ratio hereunder, the determination or calculation of such test, covenant or ratio (including in connection with Specified Transactions) in accordance with </w:t>
      </w:r>
      <w:r>
        <w:rPr>
          <w:rFonts w:ascii="Times New Roman;Times;serif" w:hAnsi="Times New Roman;Times;serif"/>
          <w:sz w:val="24"/>
          <w:u w:val="single"/>
        </w:rPr>
        <w:t>Section 1.09</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Proceeds</w:t>
      </w:r>
      <w:r>
        <w:rPr>
          <w:rFonts w:ascii="Times New Roman;Times;serif" w:hAnsi="Times New Roman;Times;serif"/>
          <w:sz w:val="20"/>
        </w:rPr>
        <w:t xml:space="preserve">” </w:t>
      </w:r>
      <w:r>
        <w:rPr>
          <w:rFonts w:ascii="Times New Roman;Times;serif" w:hAnsi="Times New Roman;Times;serif"/>
          <w:sz w:val="24"/>
        </w:rPr>
        <w:t>means all “proceeds” as such term is defined in Section 9-102(a)(64) of the New York UCC or the Canadian PPSA, as applicable, and, in any event, shall include, without limitation, all dividends or other income from investment property, collections thereon or distributions or payments with respect thereto.</w:t>
      </w:r>
    </w:p>
    <w:p>
      <w:pPr>
        <w:pStyle w:val="TextBody"/>
        <w:bidi w:val="0"/>
        <w:spacing w:before="0" w:after="240"/>
        <w:ind w:left="0" w:right="0" w:firstLine="720"/>
        <w:jc w:val="both"/>
        <w:rPr/>
      </w:pPr>
      <w:r>
        <w:rPr/>
        <w:t>“</w:t>
      </w:r>
      <w:r>
        <w:rPr>
          <w:rFonts w:ascii="Times New Roman;Times;serif" w:hAnsi="Times New Roman;Times;serif"/>
          <w:b/>
          <w:sz w:val="24"/>
        </w:rPr>
        <w:t>Proceeds of Crime Act</w:t>
      </w:r>
      <w:r>
        <w:rPr>
          <w:rFonts w:ascii="Times New Roman;Times;serif" w:hAnsi="Times New Roman;Times;serif"/>
          <w:sz w:val="20"/>
        </w:rPr>
        <w:t xml:space="preserve">” </w:t>
      </w:r>
      <w:r>
        <w:rPr>
          <w:rFonts w:ascii="Times New Roman;Times;serif" w:hAnsi="Times New Roman;Times;serif"/>
          <w:sz w:val="24"/>
        </w:rPr>
        <w:t>means the Proceeds of Crime (Money Laundering) and Terrorist Financing Act (Canada), as amended from time to time, and including all regulations thereunder.</w:t>
      </w:r>
    </w:p>
    <w:p>
      <w:pPr>
        <w:pStyle w:val="TextBody"/>
        <w:bidi w:val="0"/>
        <w:spacing w:before="0" w:after="240"/>
        <w:ind w:left="0" w:right="0" w:firstLine="720"/>
        <w:jc w:val="both"/>
        <w:rPr/>
      </w:pPr>
      <w:r>
        <w:rPr/>
        <w:t>“</w:t>
      </w:r>
      <w:r>
        <w:rPr>
          <w:rFonts w:ascii="Times New Roman;Times;serif" w:hAnsi="Times New Roman;Times;serif"/>
          <w:b/>
          <w:sz w:val="24"/>
        </w:rPr>
        <w:t>Protective Advance Exposure</w:t>
      </w:r>
      <w:r>
        <w:rPr>
          <w:rFonts w:ascii="Times New Roman;Times;serif" w:hAnsi="Times New Roman;Times;serif"/>
          <w:sz w:val="20"/>
        </w:rPr>
        <w:t xml:space="preserve">” </w:t>
      </w:r>
      <w:r>
        <w:rPr>
          <w:rFonts w:ascii="Times New Roman;Times;serif" w:hAnsi="Times New Roman;Times;serif"/>
          <w:sz w:val="24"/>
        </w:rPr>
        <w:t>means at any time, the Dollar Equivalent of the sum of the aggregate amount of all outstanding Protective Advances at such time. The Protective Advance Exposure of any Lender at any time shall be its Applicable Percentage of the total Protective Advance Exposure at such time.</w:t>
      </w:r>
    </w:p>
    <w:p>
      <w:pPr>
        <w:pStyle w:val="TextBody"/>
        <w:bidi w:val="0"/>
        <w:spacing w:before="0" w:after="240"/>
        <w:ind w:left="0" w:right="0" w:firstLine="720"/>
        <w:jc w:val="both"/>
        <w:rPr/>
      </w:pPr>
      <w:r>
        <w:rPr/>
        <w:t>“</w:t>
      </w:r>
      <w:r>
        <w:rPr>
          <w:rFonts w:ascii="Times New Roman;Times;serif" w:hAnsi="Times New Roman;Times;serif"/>
          <w:b/>
          <w:sz w:val="24"/>
        </w:rPr>
        <w:t>Protective Advances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2.02(e)</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Purchase Money Indebtedness</w:t>
      </w:r>
      <w:r>
        <w:rPr>
          <w:rFonts w:ascii="Times New Roman;Times;serif" w:hAnsi="Times New Roman;Times;serif"/>
          <w:sz w:val="20"/>
        </w:rPr>
        <w:t xml:space="preserve">” </w:t>
      </w:r>
      <w:r>
        <w:rPr>
          <w:rFonts w:ascii="Times New Roman;Times;serif" w:hAnsi="Times New Roman;Times;serif"/>
          <w:sz w:val="24"/>
        </w:rPr>
        <w:t>means Indebtedness incurred to finance the acquisition, construction or improvement of any fixed or capital asset to the extent incurred prior to or within 180 days following such acquisition, construction or improvement.</w:t>
      </w:r>
    </w:p>
    <w:p>
      <w:pPr>
        <w:pStyle w:val="TextBody"/>
        <w:bidi w:val="0"/>
        <w:spacing w:before="0" w:after="240"/>
        <w:ind w:left="0" w:right="0" w:firstLine="720"/>
        <w:jc w:val="both"/>
        <w:rPr/>
      </w:pPr>
      <w:r>
        <w:rPr/>
        <w:t>“</w:t>
      </w:r>
      <w:r>
        <w:rPr>
          <w:rFonts w:ascii="Times New Roman;Times;serif" w:hAnsi="Times New Roman;Times;serif"/>
          <w:b/>
          <w:sz w:val="24"/>
        </w:rPr>
        <w:t>QFC</w:t>
      </w:r>
      <w:r>
        <w:rPr>
          <w:rFonts w:ascii="Times New Roman;Times;serif" w:hAnsi="Times New Roman;Times;serif"/>
          <w:sz w:val="20"/>
        </w:rPr>
        <w:t xml:space="preserve">” </w:t>
      </w:r>
      <w:r>
        <w:rPr>
          <w:rFonts w:ascii="Times New Roman;Times;serif" w:hAnsi="Times New Roman;Times;serif"/>
          <w:sz w:val="24"/>
        </w:rPr>
        <w:t>has the meaning assigned to the term “qualified financial contract” in, and shall be interpreted in accordance with, 12 U.S.C. 5390(c)(8)(D).</w:t>
      </w:r>
    </w:p>
    <w:p>
      <w:pPr>
        <w:pStyle w:val="TextBody"/>
        <w:bidi w:val="0"/>
        <w:spacing w:before="0" w:after="240"/>
        <w:ind w:left="0" w:right="0" w:firstLine="720"/>
        <w:jc w:val="both"/>
        <w:rPr/>
      </w:pPr>
      <w:r>
        <w:rPr/>
        <w:t>“</w:t>
      </w:r>
      <w:r>
        <w:rPr>
          <w:rFonts w:ascii="Times New Roman;Times;serif" w:hAnsi="Times New Roman;Times;serif"/>
          <w:b/>
          <w:sz w:val="24"/>
        </w:rPr>
        <w:t>QFC Credit Support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Qualified Equity Interests</w:t>
      </w:r>
      <w:r>
        <w:rPr>
          <w:rFonts w:ascii="Times New Roman;Times;serif" w:hAnsi="Times New Roman;Times;serif"/>
          <w:sz w:val="20"/>
        </w:rPr>
        <w:t xml:space="preserve">” </w:t>
      </w:r>
      <w:r>
        <w:rPr>
          <w:rFonts w:ascii="Times New Roman;Times;serif" w:hAnsi="Times New Roman;Times;serif"/>
          <w:sz w:val="24"/>
        </w:rPr>
        <w:t>means any Equity Interests that are not Disqualified Equity Interests.</w:t>
      </w:r>
    </w:p>
    <w:p>
      <w:pPr>
        <w:pStyle w:val="TextBody"/>
        <w:bidi w:val="0"/>
        <w:spacing w:before="0" w:after="240"/>
        <w:ind w:left="0" w:right="0" w:firstLine="720"/>
        <w:jc w:val="both"/>
        <w:rPr/>
      </w:pPr>
      <w:r>
        <w:rPr/>
        <w:t>“</w:t>
      </w:r>
      <w:r>
        <w:rPr>
          <w:rFonts w:ascii="Times New Roman;Times;serif" w:hAnsi="Times New Roman;Times;serif"/>
          <w:b/>
          <w:sz w:val="24"/>
        </w:rPr>
        <w:t>Qualified Keepwell Provider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Reaffirmation Agreement</w:t>
      </w:r>
      <w:r>
        <w:rPr>
          <w:rFonts w:ascii="Times New Roman;Times;serif" w:hAnsi="Times New Roman;Times;serif"/>
          <w:sz w:val="20"/>
        </w:rPr>
        <w:t xml:space="preserve">” </w:t>
      </w:r>
      <w:r>
        <w:rPr>
          <w:rFonts w:ascii="Times New Roman;Times;serif" w:hAnsi="Times New Roman;Times;serif"/>
          <w:sz w:val="24"/>
        </w:rPr>
        <w:t>means that certain Reaffirmation Agreement, dated as of the Amendment No. 3 Effective Date, in form and substance reasonably satisfactory to the Administrative Agent, executed and delivered by each Loan Party to the Administrative Agent.</w:t>
      </w:r>
    </w:p>
    <w:p>
      <w:pPr>
        <w:pStyle w:val="TextBody"/>
        <w:bidi w:val="0"/>
        <w:spacing w:before="0" w:after="240"/>
        <w:ind w:left="0" w:right="0" w:firstLine="720"/>
        <w:jc w:val="both"/>
        <w:rPr/>
      </w:pPr>
      <w:r>
        <w:rPr/>
        <w:t>“</w:t>
      </w:r>
      <w:r>
        <w:rPr>
          <w:rFonts w:ascii="Times New Roman;Times;serif" w:hAnsi="Times New Roman;Times;serif"/>
          <w:b/>
          <w:sz w:val="24"/>
        </w:rPr>
        <w:t>Receivables Assets</w:t>
      </w:r>
      <w:r>
        <w:rPr>
          <w:rFonts w:ascii="Times New Roman;Times;serif" w:hAnsi="Times New Roman;Times;serif"/>
          <w:sz w:val="20"/>
        </w:rPr>
        <w:t xml:space="preserve">” </w:t>
      </w:r>
      <w:r>
        <w:rPr>
          <w:rFonts w:ascii="Times New Roman;Times;serif" w:hAnsi="Times New Roman;Times;serif"/>
          <w:sz w:val="24"/>
        </w:rPr>
        <w:t>means accounts receivable (whether now existing or arising in the future)</w:t>
      </w:r>
      <w:r>
        <w:rPr>
          <w:rFonts w:ascii="Times New Roman;Times;serif" w:hAnsi="Times New Roman;Times;serif"/>
          <w:sz w:val="20"/>
        </w:rPr>
        <w:t xml:space="preserve"> </w:t>
      </w:r>
      <w:r>
        <w:rPr>
          <w:rFonts w:ascii="Times New Roman;Times;serif" w:hAnsi="Times New Roman;Times;serif"/>
          <w:sz w:val="24"/>
        </w:rPr>
        <w:t>owed to</w:t>
      </w:r>
      <w:r>
        <w:rPr>
          <w:rFonts w:ascii="Times New Roman;Times;serif" w:hAnsi="Times New Roman;Times;serif"/>
          <w:sz w:val="20"/>
        </w:rPr>
        <w:t xml:space="preserve"> </w:t>
      </w:r>
      <w:r>
        <w:rPr>
          <w:rFonts w:ascii="Times New Roman;Times;serif" w:hAnsi="Times New Roman;Times;serif"/>
          <w:sz w:val="24"/>
        </w:rPr>
        <w:t>the Parent Borrower or any of its Subsidiaries which has been sold, conveyed, assigned or otherwise transferred to a Receivables Subsidiary or any other Person in connection with a Factoring Transaction or a Receivables Facility, and</w:t>
      </w:r>
      <w:r>
        <w:rPr>
          <w:rFonts w:ascii="Times New Roman;Times;serif" w:hAnsi="Times New Roman;Times;serif"/>
          <w:sz w:val="20"/>
        </w:rPr>
        <w:t xml:space="preserve"> </w:t>
      </w:r>
      <w:r>
        <w:rPr>
          <w:rFonts w:ascii="Times New Roman;Times;serif" w:hAnsi="Times New Roman;Times;serif"/>
          <w:sz w:val="24"/>
        </w:rPr>
        <w:t>(i) all collateral securing such accounts receivable, (ii) all contracts and all guarantees or other payment support obligations (including letters of credit, promissory notes or trade credit insurance) in respect of such accounts receivable, (iii) all proceeds of such accounts receivable and other assets which are</w:t>
      </w:r>
      <w:r>
        <w:rPr>
          <w:rFonts w:ascii="Times New Roman;Times;serif" w:hAnsi="Times New Roman;Times;serif"/>
          <w:sz w:val="20"/>
        </w:rPr>
        <w:t xml:space="preserve"> </w:t>
      </w:r>
      <w:r>
        <w:rPr>
          <w:rFonts w:ascii="Times New Roman;Times;serif" w:hAnsi="Times New Roman;Times;serif"/>
          <w:sz w:val="24"/>
        </w:rPr>
        <w:t>of the type customarily transferred or in respect of which security interests are customarily granted in connection with non-recourse, asset securitization or factoring transactions involving accounts receivable,</w:t>
      </w:r>
      <w:r>
        <w:rPr>
          <w:rFonts w:ascii="Times New Roman;Times;serif" w:hAnsi="Times New Roman;Times;serif"/>
          <w:sz w:val="20"/>
        </w:rPr>
        <w:t xml:space="preserve"> </w:t>
      </w:r>
      <w:r>
        <w:rPr>
          <w:rFonts w:ascii="Times New Roman;Times;serif" w:hAnsi="Times New Roman;Times;serif"/>
          <w:sz w:val="24"/>
        </w:rPr>
        <w:t>and (iv) any Swap Agreements</w:t>
      </w:r>
      <w:r>
        <w:rPr>
          <w:rFonts w:ascii="Times New Roman;Times;serif" w:hAnsi="Times New Roman;Times;serif"/>
          <w:sz w:val="20"/>
        </w:rPr>
        <w:t xml:space="preserve"> </w:t>
      </w:r>
      <w:r>
        <w:rPr>
          <w:rFonts w:ascii="Times New Roman;Times;serif" w:hAnsi="Times New Roman;Times;serif"/>
          <w:sz w:val="24"/>
        </w:rPr>
        <w:t>entered into by the</w:t>
      </w:r>
      <w:r>
        <w:rPr>
          <w:rFonts w:ascii="Times New Roman;Times;serif" w:hAnsi="Times New Roman;Times;serif"/>
          <w:sz w:val="20"/>
        </w:rPr>
        <w:t xml:space="preserve"> </w:t>
      </w:r>
      <w:r>
        <w:rPr>
          <w:rFonts w:ascii="Times New Roman;Times;serif" w:hAnsi="Times New Roman;Times;serif"/>
          <w:sz w:val="24"/>
        </w:rPr>
        <w:t>Parent Borrower or any such Subsidiary in connection with such accounts receivable.</w:t>
      </w:r>
    </w:p>
    <w:p>
      <w:pPr>
        <w:pStyle w:val="TextBody"/>
        <w:bidi w:val="0"/>
        <w:spacing w:before="0" w:after="240"/>
        <w:ind w:left="0" w:right="0" w:firstLine="720"/>
        <w:jc w:val="both"/>
        <w:rPr/>
      </w:pPr>
      <w:r>
        <w:rPr/>
        <w:t>“</w:t>
      </w:r>
      <w:r>
        <w:rPr>
          <w:rFonts w:ascii="Times New Roman;Times;serif" w:hAnsi="Times New Roman;Times;serif"/>
          <w:b/>
          <w:sz w:val="24"/>
        </w:rPr>
        <w:t>Receivables Facility</w:t>
      </w:r>
      <w:r>
        <w:rPr>
          <w:rFonts w:ascii="Times New Roman;Times;serif" w:hAnsi="Times New Roman;Times;serif"/>
          <w:sz w:val="20"/>
        </w:rPr>
        <w:t xml:space="preserve">” </w:t>
      </w:r>
      <w:r>
        <w:rPr>
          <w:rFonts w:ascii="Times New Roman;Times;serif" w:hAnsi="Times New Roman;Times;serif"/>
          <w:sz w:val="24"/>
        </w:rPr>
        <w:t>means any transaction or series of transactions that may be entered into by the Parent Borrower or any Subsidiary pursuant to which the Parent Borrower or such Subsidiary, as applicable,</w:t>
      </w:r>
      <w:r>
        <w:rPr>
          <w:rFonts w:ascii="Times New Roman;Times;serif" w:hAnsi="Times New Roman;Times;serif"/>
          <w:sz w:val="20"/>
        </w:rPr>
        <w:t xml:space="preserve"> </w:t>
      </w:r>
      <w:r>
        <w:rPr>
          <w:rFonts w:ascii="Times New Roman;Times;serif" w:hAnsi="Times New Roman;Times;serif"/>
          <w:sz w:val="24"/>
        </w:rPr>
        <w:t>sells, contributes, conveys, assigns</w:t>
      </w:r>
      <w:r>
        <w:rPr>
          <w:rFonts w:ascii="Times New Roman;Times;serif" w:hAnsi="Times New Roman;Times;serif"/>
          <w:sz w:val="20"/>
        </w:rPr>
        <w:t xml:space="preserve"> </w:t>
      </w:r>
      <w:r>
        <w:rPr>
          <w:rFonts w:ascii="Times New Roman;Times;serif" w:hAnsi="Times New Roman;Times;serif"/>
          <w:sz w:val="24"/>
        </w:rPr>
        <w:t>or otherwise transfers Receivables Assets to (a) a Receivables Subsidiary (in the case of a transfer by the Parent Borrower or any of its Subsidiaries), and such Receivables Subsidiary pays all the proceeds of the Receivables Facility, which may be net of transaction expenses, to the transferors of such Receivables Assets as the purchase price for all or a portion of such Receivables Assets, and (b) any other Person (in the case of a transfer by a Receivables Subsidiary), which in either case, may include a backup or precautionary grant of security interest in such Receivables Assets so sold, contributed, conveyed, assigned or otherwise transferred.</w:t>
      </w:r>
    </w:p>
    <w:p>
      <w:pPr>
        <w:pStyle w:val="TextBody"/>
        <w:bidi w:val="0"/>
        <w:spacing w:before="0" w:after="240"/>
        <w:ind w:left="0" w:right="0" w:firstLine="720"/>
        <w:jc w:val="both"/>
        <w:rPr/>
      </w:pPr>
      <w:r>
        <w:rPr/>
        <w:t>“</w:t>
      </w:r>
      <w:r>
        <w:rPr>
          <w:rFonts w:ascii="Times New Roman;Times;serif" w:hAnsi="Times New Roman;Times;serif"/>
          <w:b/>
          <w:sz w:val="24"/>
        </w:rPr>
        <w:t>Receivables Financing Limitations</w:t>
      </w:r>
      <w:r>
        <w:rPr>
          <w:rFonts w:ascii="Times New Roman;Times;serif" w:hAnsi="Times New Roman;Times;serif"/>
          <w:sz w:val="20"/>
        </w:rPr>
        <w:t xml:space="preserve">” </w:t>
      </w:r>
      <w:r>
        <w:rPr>
          <w:rFonts w:ascii="Times New Roman;Times;serif" w:hAnsi="Times New Roman;Times;serif"/>
          <w:sz w:val="24"/>
        </w:rPr>
        <w:t>means, collectively, the sum of (i) the aggregate outstanding amount of all Permitted Factoring Transactions (provided that the outstanding amount of any Permitted Factoring Transactions for purposes of this definition shall be deemed to be equal to the Permitted Factoring Net Investment for the most recent Measurement Period with respect thereto), plus (ii) the aggregate outstanding amount of all Permitted Receivables</w:t>
      </w:r>
      <w:r>
        <w:rPr>
          <w:rFonts w:ascii="Times New Roman;Times;serif" w:hAnsi="Times New Roman;Times;serif"/>
          <w:sz w:val="20"/>
        </w:rPr>
        <w:t xml:space="preserve"> </w:t>
      </w:r>
      <w:r>
        <w:rPr>
          <w:rFonts w:ascii="Times New Roman;Times;serif" w:hAnsi="Times New Roman;Times;serif"/>
          <w:sz w:val="24"/>
        </w:rPr>
        <w:t>Facilities (provided that the outstanding amount of any Permitted Receivables Facility for purposes of this definition shall be deemed to be equal to the Permitted Receivables Facility Principal Amount at such time with respect thereto), shall not exceed</w:t>
      </w:r>
      <w:r>
        <w:rPr>
          <w:rFonts w:ascii="Times New Roman;Times;serif" w:hAnsi="Times New Roman;Times;serif"/>
          <w:sz w:val="20"/>
        </w:rPr>
        <w:t xml:space="preserve"> </w:t>
      </w:r>
      <w:r>
        <w:rPr>
          <w:rFonts w:ascii="Times New Roman;Times;serif" w:hAnsi="Times New Roman;Times;serif"/>
          <w:sz w:val="24"/>
        </w:rPr>
        <w:t>at any time (a) prior to the Trigger Date, $400,000,000</w:t>
      </w:r>
      <w:r>
        <w:rPr>
          <w:rFonts w:ascii="Times New Roman;Times;serif" w:hAnsi="Times New Roman;Times;serif"/>
          <w:sz w:val="20"/>
        </w:rPr>
        <w:t xml:space="preserve"> </w:t>
      </w:r>
      <w:r>
        <w:rPr>
          <w:rFonts w:ascii="Times New Roman;Times;serif" w:hAnsi="Times New Roman;Times;serif"/>
          <w:sz w:val="24"/>
        </w:rPr>
        <w:t>and (b) from and after the Trigger Date, $600,000,000.</w:t>
      </w:r>
    </w:p>
    <w:p>
      <w:pPr>
        <w:pStyle w:val="TextBody"/>
        <w:bidi w:val="0"/>
        <w:spacing w:before="0" w:after="240"/>
        <w:ind w:left="0" w:right="0" w:firstLine="720"/>
        <w:jc w:val="both"/>
        <w:rPr/>
      </w:pPr>
      <w:r>
        <w:rPr/>
        <w:t>“</w:t>
      </w:r>
      <w:r>
        <w:rPr>
          <w:rFonts w:ascii="Times New Roman;Times;serif" w:hAnsi="Times New Roman;Times;serif"/>
          <w:b/>
          <w:sz w:val="24"/>
        </w:rPr>
        <w:t>Receivables Subsidiary</w:t>
      </w:r>
      <w:r>
        <w:rPr>
          <w:rFonts w:ascii="Times New Roman;Times;serif" w:hAnsi="Times New Roman;Times;serif"/>
          <w:sz w:val="20"/>
        </w:rPr>
        <w:t xml:space="preserve">” </w:t>
      </w:r>
      <w:r>
        <w:rPr>
          <w:rFonts w:ascii="Times New Roman;Times;serif" w:hAnsi="Times New Roman;Times;serif"/>
          <w:sz w:val="24"/>
        </w:rPr>
        <w:t>means a Wholly Owned Subsidiary of the Parent Borrower (or another Person formed for the purposes of engaging in a Permitted Receivables Facility) to which the Parent Borrower or any Subsidiary sells, conveys, assigns or otherwise transfers Receivables Assets (which may include a backup or precautionary grant of security interest in such Receivables Assets sold, conveyed, assigned or otherwise transferred or purported to be so sold, conveyed,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assigned or otherwise transferred) which engages in no activities other than in connection with the purchase, acquisition or financing of Receivables Assets, and any business or activities incidental or related to such business, and which is designated by senior management or the board of directors of the</w:t>
      </w:r>
      <w:r>
        <w:rPr>
          <w:rFonts w:ascii="Times New Roman;Times;serif" w:hAnsi="Times New Roman;Times;serif"/>
          <w:sz w:val="20"/>
        </w:rPr>
        <w:t xml:space="preserve"> </w:t>
      </w:r>
      <w:r>
        <w:rPr>
          <w:rFonts w:ascii="Times New Roman;Times;serif" w:hAnsi="Times New Roman;Times;serif"/>
          <w:sz w:val="24"/>
        </w:rPr>
        <w:t>Parent</w:t>
      </w:r>
      <w:r>
        <w:rPr>
          <w:rFonts w:ascii="Times New Roman;Times;serif" w:hAnsi="Times New Roman;Times;serif"/>
          <w:sz w:val="20"/>
        </w:rPr>
        <w:t xml:space="preserve"> </w:t>
      </w:r>
      <w:r>
        <w:rPr>
          <w:rFonts w:ascii="Times New Roman;Times;serif" w:hAnsi="Times New Roman;Times;serif"/>
          <w:sz w:val="24"/>
        </w:rPr>
        <w:t>Borrower as a Receivables Subsidiary,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(A)no portion of the Indebtedness or any other obligations (contingent or otherwise) of which (i) is guaranteed by the Parent Borrower or any Subsidiary (other than a Receivables Subsidiary, excluding guarantees of obligations (other than the principal of, and interest on, Indebtedness) pursuant to Standard Securitization Undertakings), (ii) is recourse to or obligates the Parent Borrower or any Subsidiary (other than a Receivables Subsidiary) in any way other than pursuant to Standard Securitization Undertakings, or (iii) subjects any property or asset of the Parent Borrower or any Subsidiary (other than a Receivables Subsidiary), directly or indirectly, contingently or otherwise, to the satisfaction thereof, other than pursuant to Standard Securitization Undertakings,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(B)with which neither the Parent Borrower nor any Subsidiary (other than a Receivables Subsidiary) has any material contract, agreement, arrangement or understanding other than on terms which the Parent Borrower reasonably believes to be no less favorable to the Parent Borrower or such Subsidiary than those that might be obtained at the time from Persons that are not Affiliates of the Parent Borrower, and</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(C)to which neither the Parent Borrower nor any other Subsidiary of the Borrower has any obligation to maintain or preserve such entity’s financial condition or cause such entity to achieve certain levels of operating results.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such designation by senior management or the Board of Directors of the Parent Borrower shall be evidenced to the Administrative Agent by filing with the Administrative Agent a certified copy of the resolution of the Board of Directors of the Parent Borrower or the determination by applicable senior management of the Parent Borrower, in each case giving effect to such designation and an officer’s certificate certifying that such designation complied with the foregoing conditions.</w:t>
      </w:r>
    </w:p>
    <w:p>
      <w:pPr>
        <w:pStyle w:val="TextBody"/>
        <w:bidi w:val="0"/>
        <w:spacing w:before="0" w:after="240"/>
        <w:ind w:left="0" w:right="0" w:firstLine="720"/>
        <w:jc w:val="both"/>
        <w:rPr/>
      </w:pPr>
      <w:r>
        <w:rPr/>
        <w:t>“</w:t>
      </w:r>
      <w:r>
        <w:rPr>
          <w:rFonts w:ascii="Times New Roman;Times;serif" w:hAnsi="Times New Roman;Times;serif"/>
          <w:b/>
          <w:sz w:val="24"/>
        </w:rPr>
        <w:t>Reference Time</w:t>
      </w:r>
      <w:r>
        <w:rPr>
          <w:rFonts w:ascii="Times New Roman;Times;serif" w:hAnsi="Times New Roman;Times;serif"/>
          <w:sz w:val="20"/>
        </w:rPr>
        <w:t xml:space="preserve">” </w:t>
      </w:r>
      <w:r>
        <w:rPr>
          <w:rFonts w:ascii="Times New Roman;Times;serif" w:hAnsi="Times New Roman;Times;serif"/>
          <w:sz w:val="24"/>
        </w:rPr>
        <w:t>with respect to any setting of the then-current Benchmark means (1) if such Benchmark is the Term SOFR Rate, 8:00 a.m. (New York time) on the day that is two U.S. Government Securities Business Days preceding the date of such setting, (2) if such Benchmark is EURIBOR Rate, 11:00 a.m.</w:t>
      </w:r>
      <w:r>
        <w:rPr>
          <w:rFonts w:ascii="Times New Roman;Times;serif" w:hAnsi="Times New Roman;Times;serif"/>
          <w:sz w:val="20"/>
        </w:rPr>
        <w:t xml:space="preserve"> </w:t>
      </w:r>
      <w:r>
        <w:rPr>
          <w:rFonts w:ascii="Times New Roman;Times;serif" w:hAnsi="Times New Roman;Times;serif"/>
          <w:sz w:val="24"/>
        </w:rPr>
        <w:t>Brussels time two TARGET Days preceding the date of such setting,</w:t>
      </w:r>
      <w:r>
        <w:rPr>
          <w:rFonts w:ascii="Times New Roman;Times;serif" w:hAnsi="Times New Roman;Times;serif"/>
          <w:sz w:val="20"/>
        </w:rPr>
        <w:t xml:space="preserve"> </w:t>
      </w:r>
      <w:r>
        <w:rPr>
          <w:rFonts w:ascii="Times New Roman;Times;serif" w:hAnsi="Times New Roman;Times;serif"/>
          <w:sz w:val="24"/>
        </w:rPr>
        <w:t>(3) if the RFR for such Benchmark is SONIA, then 11:00 a.m. (London time) on the day that is four Business Days prior to such setting, and (3) if such Benchmark is not the Term SOFR Rate, the EURIBOR Rate or SONIA, the time determined by the Administrative Agent in its reasonable discretion.</w:t>
      </w:r>
    </w:p>
    <w:p>
      <w:pPr>
        <w:pStyle w:val="TextBody"/>
        <w:bidi w:val="0"/>
        <w:spacing w:before="0" w:after="240"/>
        <w:ind w:left="0" w:right="0" w:firstLine="720"/>
        <w:jc w:val="both"/>
        <w:rPr/>
      </w:pPr>
      <w:r>
        <w:rPr/>
        <w:t>“</w:t>
      </w:r>
      <w:r>
        <w:rPr>
          <w:rFonts w:ascii="Times New Roman;Times;serif" w:hAnsi="Times New Roman;Times;serif"/>
          <w:b/>
          <w:sz w:val="24"/>
        </w:rPr>
        <w:t>Register</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10.04(b)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Regulation D</w:t>
      </w:r>
      <w:r>
        <w:rPr>
          <w:rFonts w:ascii="Times New Roman;Times;serif" w:hAnsi="Times New Roman;Times;serif"/>
          <w:sz w:val="20"/>
        </w:rPr>
        <w:t xml:space="preserve">” </w:t>
      </w:r>
      <w:r>
        <w:rPr>
          <w:rFonts w:ascii="Times New Roman;Times;serif" w:hAnsi="Times New Roman;Times;serif"/>
          <w:sz w:val="24"/>
        </w:rPr>
        <w:t>means Regulation D of the Federal Reserve Board, as in effect from time to time and all official rulings and interpretations thereunder or thereof.</w:t>
      </w:r>
    </w:p>
    <w:p>
      <w:pPr>
        <w:pStyle w:val="TextBody"/>
        <w:bidi w:val="0"/>
        <w:spacing w:before="0" w:after="240"/>
        <w:ind w:left="0" w:right="0" w:firstLine="720"/>
        <w:jc w:val="both"/>
        <w:rPr/>
      </w:pPr>
      <w:r>
        <w:rPr/>
        <w:t>“</w:t>
      </w:r>
      <w:r>
        <w:rPr>
          <w:rFonts w:ascii="Times New Roman;Times;serif" w:hAnsi="Times New Roman;Times;serif"/>
          <w:b/>
          <w:sz w:val="24"/>
        </w:rPr>
        <w:t>Regulation U</w:t>
      </w:r>
      <w:r>
        <w:rPr>
          <w:rFonts w:ascii="Times New Roman;Times;serif" w:hAnsi="Times New Roman;Times;serif"/>
          <w:sz w:val="20"/>
        </w:rPr>
        <w:t xml:space="preserve">” </w:t>
      </w:r>
      <w:r>
        <w:rPr>
          <w:rFonts w:ascii="Times New Roman;Times;serif" w:hAnsi="Times New Roman;Times;serif"/>
          <w:sz w:val="24"/>
        </w:rPr>
        <w:t>means Regulation U of the Federal Reserve Board, as in effect from time to time and all official rulings and interpretations thereunder or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Regulation X</w:t>
      </w:r>
      <w:r>
        <w:rPr>
          <w:rFonts w:ascii="Times New Roman;Times;serif" w:hAnsi="Times New Roman;Times;serif"/>
          <w:sz w:val="20"/>
        </w:rPr>
        <w:t xml:space="preserve">” </w:t>
      </w:r>
      <w:r>
        <w:rPr>
          <w:rFonts w:ascii="Times New Roman;Times;serif" w:hAnsi="Times New Roman;Times;serif"/>
          <w:sz w:val="24"/>
        </w:rPr>
        <w:t>means Regulation X of the Federal Reserve Board, as in effect from time to time and all official rulings and interpretations thereunder or thereof.</w:t>
      </w:r>
    </w:p>
    <w:p>
      <w:pPr>
        <w:pStyle w:val="TextBody"/>
        <w:bidi w:val="0"/>
        <w:spacing w:before="0" w:after="240"/>
        <w:ind w:left="0" w:right="0" w:firstLine="720"/>
        <w:jc w:val="both"/>
        <w:rPr/>
      </w:pPr>
      <w:r>
        <w:rPr/>
        <w:t>“</w:t>
      </w:r>
      <w:r>
        <w:rPr>
          <w:rFonts w:ascii="Times New Roman;Times;serif" w:hAnsi="Times New Roman;Times;serif"/>
          <w:b/>
          <w:sz w:val="24"/>
        </w:rPr>
        <w:t>Related Parties</w:t>
      </w:r>
      <w:r>
        <w:rPr>
          <w:rFonts w:ascii="Times New Roman;Times;serif" w:hAnsi="Times New Roman;Times;serif"/>
          <w:sz w:val="20"/>
        </w:rPr>
        <w:t xml:space="preserve">” </w:t>
      </w:r>
      <w:r>
        <w:rPr>
          <w:rFonts w:ascii="Times New Roman;Times;serif" w:hAnsi="Times New Roman;Times;serif"/>
          <w:sz w:val="24"/>
        </w:rPr>
        <w:t>means, with respect to any specified Person, such Person’s Affiliates and the respective partners, trustees, shareholders, directors, officers, employees, agents, representatives, attorneys, controlling Persons and advisors of such Person and such Person’s Affiliates.</w:t>
      </w:r>
    </w:p>
    <w:p>
      <w:pPr>
        <w:pStyle w:val="TextBody"/>
        <w:bidi w:val="0"/>
        <w:spacing w:before="0" w:after="240"/>
        <w:ind w:left="0" w:right="0" w:firstLine="720"/>
        <w:jc w:val="both"/>
        <w:rPr/>
      </w:pPr>
      <w:r>
        <w:rPr/>
        <w:t>“</w:t>
      </w:r>
      <w:r>
        <w:rPr>
          <w:rFonts w:ascii="Times New Roman;Times;serif" w:hAnsi="Times New Roman;Times;serif"/>
          <w:b/>
          <w:sz w:val="24"/>
        </w:rPr>
        <w:t>Relevant Governmental Body</w:t>
      </w:r>
      <w:r>
        <w:rPr>
          <w:rFonts w:ascii="Times New Roman;Times;serif" w:hAnsi="Times New Roman;Times;serif"/>
          <w:sz w:val="20"/>
        </w:rPr>
        <w:t xml:space="preserve">” </w:t>
      </w:r>
      <w:r>
        <w:rPr>
          <w:rFonts w:ascii="Times New Roman;Times;serif" w:hAnsi="Times New Roman;Times;serif"/>
          <w:sz w:val="24"/>
        </w:rPr>
        <w:t>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240"/>
        <w:ind w:left="0" w:right="0" w:firstLine="720"/>
        <w:jc w:val="both"/>
        <w:rPr/>
      </w:pPr>
      <w:r>
        <w:rPr/>
        <w:t>“</w:t>
      </w:r>
      <w:r>
        <w:rPr>
          <w:rFonts w:ascii="Times New Roman;Times;serif" w:hAnsi="Times New Roman;Times;serif"/>
          <w:b/>
          <w:sz w:val="24"/>
        </w:rPr>
        <w:t>Relevant Rate</w:t>
      </w:r>
      <w:r>
        <w:rPr>
          <w:rFonts w:ascii="Times New Roman;Times;serif" w:hAnsi="Times New Roman;Times;serif"/>
          <w:sz w:val="20"/>
        </w:rPr>
        <w:t xml:space="preserve">” </w:t>
      </w:r>
      <w:r>
        <w:rPr>
          <w:rFonts w:ascii="Times New Roman;Times;serif" w:hAnsi="Times New Roman;Times;serif"/>
          <w:sz w:val="24"/>
        </w:rPr>
        <w:t>means (i) with respect to any Term Benchmark Borrowing denominated in Dollars, the Term SOFR Rate, (ii) with respect to any Term Benchmark Borrowing denominated in Euros, the EURIBOR Rate, and (iii) with respect to any Borrowing denominated in Sterling, Daily Simple RFR.</w:t>
      </w:r>
    </w:p>
    <w:p>
      <w:pPr>
        <w:pStyle w:val="TextBody"/>
        <w:bidi w:val="0"/>
        <w:spacing w:before="0" w:after="240"/>
        <w:ind w:left="0" w:right="0" w:firstLine="720"/>
        <w:jc w:val="both"/>
        <w:rPr/>
      </w:pPr>
      <w:r>
        <w:rPr/>
        <w:t>“</w:t>
      </w:r>
      <w:r>
        <w:rPr>
          <w:rFonts w:ascii="Times New Roman;Times;serif" w:hAnsi="Times New Roman;Times;serif"/>
          <w:b/>
          <w:sz w:val="24"/>
        </w:rPr>
        <w:t>Relevant Screen Rate</w:t>
      </w:r>
      <w:r>
        <w:rPr>
          <w:rFonts w:ascii="Times New Roman;Times;serif" w:hAnsi="Times New Roman;Times;serif"/>
          <w:sz w:val="20"/>
        </w:rPr>
        <w:t xml:space="preserve">” </w:t>
      </w:r>
      <w:r>
        <w:rPr>
          <w:rFonts w:ascii="Times New Roman;Times;serif" w:hAnsi="Times New Roman;Times;serif"/>
          <w:sz w:val="24"/>
        </w:rPr>
        <w:t>means (i) with respect to any Term Benchmark Borrowing denominated in Dollars, the Term SOFR Reference Rate and (ii) with respect to any Term Benchmark Borrowing denominated in Euros, the EURIBOR Screen Rate, as applicable.</w:t>
      </w:r>
    </w:p>
    <w:p>
      <w:pPr>
        <w:pStyle w:val="TextBody"/>
        <w:bidi w:val="0"/>
        <w:spacing w:before="0" w:after="240"/>
        <w:ind w:left="0" w:right="0" w:firstLine="720"/>
        <w:jc w:val="both"/>
        <w:rPr/>
      </w:pPr>
      <w:r>
        <w:rPr/>
        <w:t>“</w:t>
      </w:r>
      <w:r>
        <w:rPr>
          <w:rFonts w:ascii="Times New Roman;Times;serif" w:hAnsi="Times New Roman;Times;serif"/>
          <w:b/>
          <w:sz w:val="24"/>
        </w:rPr>
        <w:t>Required Lenders</w:t>
      </w:r>
      <w:r>
        <w:rPr>
          <w:rFonts w:ascii="Times New Roman;Times;serif" w:hAnsi="Times New Roman;Times;serif"/>
          <w:sz w:val="20"/>
        </w:rPr>
        <w:t xml:space="preserve">” </w:t>
      </w:r>
      <w:r>
        <w:rPr>
          <w:rFonts w:ascii="Times New Roman;Times;serif" w:hAnsi="Times New Roman;Times;serif"/>
          <w:sz w:val="24"/>
        </w:rPr>
        <w:t xml:space="preserve">means, at any time, Lenders (a) having Revolving Credit Exposure and unused Commitments representing more than 50% of the sum of the Total Revolving Extensions of Credit and unused Commitments of all Lenders at such time, or (b) at any time after the Commitments of all Lenders shall have been terminated, holding more than 50% of the Total Revolving Extensions of Credit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for purposes of this definition of “Required Lenders”, a Lender and its Affiliates shall be deemed to be one Lender. The Revolving Credit Exposure and Commitment of any Defaulting Lender shall be disregarded in determining Required Lenders at any time.</w:t>
      </w:r>
    </w:p>
    <w:p>
      <w:pPr>
        <w:pStyle w:val="TextBody"/>
        <w:bidi w:val="0"/>
        <w:spacing w:before="0" w:after="240"/>
        <w:ind w:left="0" w:right="0" w:firstLine="720"/>
        <w:jc w:val="both"/>
        <w:rPr/>
      </w:pPr>
      <w:r>
        <w:rPr/>
        <w:t>“</w:t>
      </w:r>
      <w:r>
        <w:rPr>
          <w:rFonts w:ascii="Times New Roman;Times;serif" w:hAnsi="Times New Roman;Times;serif"/>
          <w:b/>
          <w:sz w:val="24"/>
        </w:rPr>
        <w:t>Resolution Authority</w:t>
      </w:r>
      <w:r>
        <w:rPr>
          <w:rFonts w:ascii="Times New Roman;Times;serif" w:hAnsi="Times New Roman;Times;serif"/>
          <w:sz w:val="20"/>
        </w:rPr>
        <w:t xml:space="preserve">” </w:t>
      </w:r>
      <w:r>
        <w:rPr>
          <w:rFonts w:ascii="Times New Roman;Times;serif" w:hAnsi="Times New Roman;Times;serif"/>
          <w:sz w:val="24"/>
        </w:rPr>
        <w:t>means an EEA Resolution Authority or, with respect to any UK Financial Institution, a UK Resolution Authority.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Responsible Officer</w:t>
      </w:r>
      <w:r>
        <w:rPr>
          <w:rFonts w:ascii="Times New Roman;Times;serif" w:hAnsi="Times New Roman;Times;serif"/>
          <w:sz w:val="20"/>
        </w:rPr>
        <w:t xml:space="preserve">” </w:t>
      </w:r>
      <w:r>
        <w:rPr>
          <w:rFonts w:ascii="Times New Roman;Times;serif" w:hAnsi="Times New Roman;Times;serif"/>
          <w:sz w:val="24"/>
        </w:rPr>
        <w:t>means any of the president, the chief executive officer or any Financial Officer of the applicable Loan Party, or any other Person designated by any such Loan Party in writing to the Administrative Agent from time to time, acting singly.</w:t>
      </w:r>
    </w:p>
    <w:p>
      <w:pPr>
        <w:pStyle w:val="TextBody"/>
        <w:bidi w:val="0"/>
        <w:spacing w:before="0" w:after="240"/>
        <w:ind w:left="0" w:right="0" w:firstLine="720"/>
        <w:jc w:val="both"/>
        <w:rPr/>
      </w:pPr>
      <w:r>
        <w:rPr/>
        <w:t>“</w:t>
      </w:r>
      <w:r>
        <w:rPr>
          <w:rFonts w:ascii="Times New Roman;Times;serif" w:hAnsi="Times New Roman;Times;serif"/>
          <w:b/>
          <w:sz w:val="24"/>
        </w:rPr>
        <w:t>Restricted Cash</w:t>
      </w:r>
      <w:r>
        <w:rPr>
          <w:rFonts w:ascii="Times New Roman;Times;serif" w:hAnsi="Times New Roman;Times;serif"/>
          <w:sz w:val="20"/>
        </w:rPr>
        <w:t xml:space="preserve">” </w:t>
      </w:r>
      <w:r>
        <w:rPr>
          <w:rFonts w:ascii="Times New Roman;Times;serif" w:hAnsi="Times New Roman;Times;serif"/>
          <w:sz w:val="24"/>
        </w:rPr>
        <w:t xml:space="preserve">means, at any time, the cash and Cash Equivalents of the Parent and its Subsidiaries to the extent (a) classified (or required to be classified) as restricted cash or restricted Cash Equivalents on the balance sheet of the Parent and its Subsidiaries in accordance with GAAP or (b) such cash or Cash Equivalents are subject to any Lien (other than (x) Liens in favor of the Secured Parties pursuant to the Security Documents and (y) Liens permitted pursuant to clauses (a), (e), (l)(i) and (l)(iii) of the definition of Permitted Encumbrances and under </w:t>
      </w:r>
      <w:r>
        <w:rPr>
          <w:rFonts w:ascii="Times New Roman;Times;serif" w:hAnsi="Times New Roman;Times;serif"/>
          <w:sz w:val="24"/>
          <w:u w:val="single"/>
        </w:rPr>
        <w:t>Section 6.02(l)</w:t>
      </w:r>
      <w:r>
        <w:rPr>
          <w:rFonts w:ascii="Times New Roman;Times;serif" w:hAnsi="Times New Roman;Times;serif"/>
          <w:sz w:val="24"/>
        </w:rPr>
        <w:t>).</w:t>
      </w:r>
      <w:r>
        <w:rPr>
          <w:rFonts w:ascii="Times New Roman;Times;serif" w:hAnsi="Times New Roman;Times;serif"/>
          <w:color w:val="0000FF"/>
          <w:sz w:val="20"/>
        </w:rPr>
        <w:t xml:space="preserve"> </w:t>
      </w:r>
      <w:r>
        <w:rPr>
          <w:rFonts w:ascii="Times New Roman;Times;serif" w:hAnsi="Times New Roman;Times;serif"/>
          <w:b/>
          <w:color w:val="0000FF"/>
          <w:sz w:val="24"/>
        </w:rPr>
        <w:t>For the avoidance of doubt, the Specified Cash Collateral shall not constitute Restricted Cash.</w:t>
      </w:r>
    </w:p>
    <w:p>
      <w:pPr>
        <w:pStyle w:val="TextBody"/>
        <w:bidi w:val="0"/>
        <w:spacing w:before="0" w:after="240"/>
        <w:ind w:left="0" w:right="0" w:firstLine="720"/>
        <w:jc w:val="both"/>
        <w:rPr/>
      </w:pPr>
      <w:r>
        <w:rPr/>
        <w:t>“</w:t>
      </w:r>
      <w:r>
        <w:rPr>
          <w:rFonts w:ascii="Times New Roman;Times;serif" w:hAnsi="Times New Roman;Times;serif"/>
          <w:b/>
          <w:sz w:val="24"/>
        </w:rPr>
        <w:t>Restricted Debt Payment</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6.05(b)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Restricted Payment</w:t>
      </w:r>
      <w:r>
        <w:rPr>
          <w:rFonts w:ascii="Times New Roman;Times;serif" w:hAnsi="Times New Roman;Times;serif"/>
          <w:sz w:val="20"/>
        </w:rPr>
        <w:t xml:space="preserve">” </w:t>
      </w:r>
      <w:r>
        <w:rPr>
          <w:rFonts w:ascii="Times New Roman;Times;serif" w:hAnsi="Times New Roman;Times;serif"/>
          <w:sz w:val="24"/>
        </w:rPr>
        <w:t>means any dividend or other distribution (whether in cash, securities or other property) with respect to any Equity Interests in the Parent, any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 For the avoidance of doubt, the receipt or acceptance by the Parent, any Borrower or any Subsidiary of the return of Equity Interests issued by the Parent, any Borrower or any Subsidiary to the seller of a Person, business or division as consideration for the purchase of such Person, business or division, which return is in settlement of indemnification claims owed by such seller in connection with such acquisition, shall not be deemed to be a Restricted Payment.</w:t>
      </w:r>
    </w:p>
    <w:p>
      <w:pPr>
        <w:pStyle w:val="TextBody"/>
        <w:bidi w:val="0"/>
        <w:spacing w:before="0" w:after="240"/>
        <w:ind w:left="0" w:right="0" w:firstLine="720"/>
        <w:jc w:val="both"/>
        <w:rPr/>
      </w:pPr>
      <w:r>
        <w:rPr/>
        <w:t>“</w:t>
      </w:r>
      <w:r>
        <w:rPr>
          <w:rFonts w:ascii="Times New Roman;Times;serif" w:hAnsi="Times New Roman;Times;serif"/>
          <w:b/>
          <w:sz w:val="24"/>
        </w:rPr>
        <w:t>Reuters</w:t>
      </w:r>
      <w:r>
        <w:rPr>
          <w:rFonts w:ascii="Times New Roman;Times;serif" w:hAnsi="Times New Roman;Times;serif"/>
          <w:sz w:val="20"/>
        </w:rPr>
        <w:t xml:space="preserve">” </w:t>
      </w:r>
      <w:r>
        <w:rPr>
          <w:rFonts w:ascii="Times New Roman;Times;serif" w:hAnsi="Times New Roman;Times;serif"/>
          <w:sz w:val="24"/>
        </w:rPr>
        <w:t>means, as applicable, Thomson Reuters Corp., Refinitiv, or any successor thereto.</w:t>
      </w:r>
    </w:p>
    <w:p>
      <w:pPr>
        <w:pStyle w:val="TextBody"/>
        <w:bidi w:val="0"/>
        <w:spacing w:before="0" w:after="240"/>
        <w:ind w:left="0" w:right="0" w:firstLine="720"/>
        <w:jc w:val="both"/>
        <w:rPr/>
      </w:pPr>
      <w:r>
        <w:rPr/>
        <w:t>“</w:t>
      </w:r>
      <w:r>
        <w:rPr>
          <w:rFonts w:ascii="Times New Roman;Times;serif" w:hAnsi="Times New Roman;Times;serif"/>
          <w:b/>
          <w:sz w:val="24"/>
        </w:rPr>
        <w:t>Revaluation Date</w:t>
      </w:r>
      <w:r>
        <w:rPr>
          <w:rFonts w:ascii="Times New Roman;Times;serif" w:hAnsi="Times New Roman;Times;serif"/>
          <w:sz w:val="20"/>
        </w:rPr>
        <w:t xml:space="preserve">” </w:t>
      </w:r>
      <w:r>
        <w:rPr>
          <w:rFonts w:ascii="Times New Roman;Times;serif" w:hAnsi="Times New Roman;Times;serif"/>
          <w:sz w:val="24"/>
        </w:rPr>
        <w:t xml:space="preserve">means (a) with respect to any Loan denominated in any Alternative Currency, each of the following: (i) the date of the Borrowing of such Loan, (ii) with respect to any Term Benchmark Loan, each date of a conversion into or continuation of such Loan pursuant to the terms of this Agreement, (iii) with respect to any RFR Loan, each Interest Payment Date, and (iv) the date of any voluntary reduction of the Commitments pursuant to </w:t>
      </w:r>
      <w:r>
        <w:rPr>
          <w:rFonts w:ascii="Times New Roman;Times;serif" w:hAnsi="Times New Roman;Times;serif"/>
          <w:sz w:val="24"/>
          <w:u w:val="single"/>
        </w:rPr>
        <w:t>Section 2.06</w:t>
      </w:r>
      <w:r>
        <w:rPr>
          <w:rFonts w:ascii="Times New Roman;Times;serif" w:hAnsi="Times New Roman;Times;serif"/>
          <w:sz w:val="24"/>
        </w:rPr>
        <w:t>; (b) with respect to any Letter of Credit denominated in an Alternative Currency, each of the following: (i) the date on which such Letter of Credit is issued, (ii) the first Business Day of each calendar month, (iii) the date of any  extension of such Letter of Credit, (iv) the date of any amendment of such Letter of Credit that has the effect of increasing the available balance thereof, and (v) each date of any payment by the applicable Issuing Bank under any Letter of Credit denominated in an Alternative Currency; (c) for purposes of calculating the Commitment Fee, the last day of any calendar quarter; and (d) any additional date as the Administrative Agent or the relevant Issuing Bank, as applicable, may determine or the Required Lenders may require.</w:t>
      </w:r>
    </w:p>
    <w:p>
      <w:pPr>
        <w:pStyle w:val="TextBody"/>
        <w:bidi w:val="0"/>
        <w:spacing w:before="0" w:after="240"/>
        <w:ind w:left="0" w:right="0" w:firstLine="720"/>
        <w:jc w:val="both"/>
        <w:rPr/>
      </w:pPr>
      <w:r>
        <w:rPr/>
        <w:t>“</w:t>
      </w:r>
      <w:r>
        <w:rPr>
          <w:rFonts w:ascii="Times New Roman;Times;serif" w:hAnsi="Times New Roman;Times;serif"/>
          <w:b/>
          <w:sz w:val="24"/>
        </w:rPr>
        <w:t>Revolving Credit Exposure</w:t>
      </w:r>
      <w:r>
        <w:rPr>
          <w:rFonts w:ascii="Times New Roman;Times;serif" w:hAnsi="Times New Roman;Times;serif"/>
          <w:sz w:val="20"/>
        </w:rPr>
        <w:t xml:space="preserve">” </w:t>
      </w:r>
      <w:r>
        <w:rPr>
          <w:rFonts w:ascii="Times New Roman;Times;serif" w:hAnsi="Times New Roman;Times;serif"/>
          <w:sz w:val="24"/>
        </w:rPr>
        <w:t>means, with respect to any Lender at any time, the Dollar Equivalent of the sum of the outstanding principal amount of such Lender’s Revolving Loans, its Protective Advance Exposure and its LC Exposure at such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Revolving Lender</w:t>
      </w:r>
      <w:r>
        <w:rPr>
          <w:rFonts w:ascii="Times New Roman;Times;serif" w:hAnsi="Times New Roman;Times;serif"/>
          <w:sz w:val="20"/>
        </w:rPr>
        <w:t xml:space="preserve">” </w:t>
      </w:r>
      <w:r>
        <w:rPr>
          <w:rFonts w:ascii="Times New Roman;Times;serif" w:hAnsi="Times New Roman;Times;serif"/>
          <w:sz w:val="24"/>
        </w:rPr>
        <w:t>means each Lender that has a Commitment or that holds Revolving Loans.</w:t>
      </w:r>
    </w:p>
    <w:p>
      <w:pPr>
        <w:pStyle w:val="TextBody"/>
        <w:bidi w:val="0"/>
        <w:spacing w:before="0" w:after="240"/>
        <w:ind w:left="0" w:right="0" w:firstLine="720"/>
        <w:jc w:val="both"/>
        <w:rPr/>
      </w:pPr>
      <w:r>
        <w:rPr/>
        <w:t>“</w:t>
      </w:r>
      <w:r>
        <w:rPr>
          <w:rFonts w:ascii="Times New Roman;Times;serif" w:hAnsi="Times New Roman;Times;serif"/>
          <w:b/>
          <w:sz w:val="24"/>
        </w:rPr>
        <w:t>Revolving Loan Cap</w:t>
      </w:r>
      <w:r>
        <w:rPr>
          <w:rFonts w:ascii="Times New Roman;Times;serif" w:hAnsi="Times New Roman;Times;serif"/>
          <w:sz w:val="20"/>
        </w:rPr>
        <w:t xml:space="preserve">” </w:t>
      </w:r>
      <w:r>
        <w:rPr>
          <w:rFonts w:ascii="Times New Roman;Times;serif" w:hAnsi="Times New Roman;Times;serif"/>
          <w:sz w:val="24"/>
        </w:rPr>
        <w:t>means the lesser of (a) $150,000,000 and (b) the aggregate unused amount of the Commitments then in effect.</w:t>
      </w:r>
    </w:p>
    <w:p>
      <w:pPr>
        <w:pStyle w:val="TextBody"/>
        <w:bidi w:val="0"/>
        <w:spacing w:before="0" w:after="240"/>
        <w:ind w:left="0" w:right="0" w:firstLine="720"/>
        <w:jc w:val="both"/>
        <w:rPr/>
      </w:pPr>
      <w:r>
        <w:rPr/>
        <w:t>“</w:t>
      </w:r>
      <w:r>
        <w:rPr>
          <w:rFonts w:ascii="Times New Roman;Times;serif" w:hAnsi="Times New Roman;Times;serif"/>
          <w:b/>
          <w:sz w:val="24"/>
        </w:rPr>
        <w:t>Revolving Loans</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2.01</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RFR</w:t>
      </w:r>
      <w:r>
        <w:rPr>
          <w:rFonts w:ascii="Times New Roman;Times;serif" w:hAnsi="Times New Roman;Times;serif"/>
          <w:sz w:val="20"/>
        </w:rPr>
        <w:t xml:space="preserve">” </w:t>
      </w:r>
      <w:r>
        <w:rPr>
          <w:rFonts w:ascii="Times New Roman;Times;serif" w:hAnsi="Times New Roman;Times;serif"/>
          <w:sz w:val="24"/>
        </w:rPr>
        <w:t>means, for any RFR Loan denominated in Sterling, SONIA.</w:t>
      </w:r>
    </w:p>
    <w:p>
      <w:pPr>
        <w:pStyle w:val="TextBody"/>
        <w:bidi w:val="0"/>
        <w:spacing w:before="0" w:after="240"/>
        <w:ind w:left="0" w:right="0" w:firstLine="720"/>
        <w:jc w:val="both"/>
        <w:rPr/>
      </w:pPr>
      <w:r>
        <w:rPr/>
        <w:t>“</w:t>
      </w:r>
      <w:r>
        <w:rPr>
          <w:rFonts w:ascii="Times New Roman;Times;serif" w:hAnsi="Times New Roman;Times;serif"/>
          <w:b/>
          <w:sz w:val="24"/>
        </w:rPr>
        <w:t>RFR Borrowing</w:t>
      </w:r>
      <w:r>
        <w:rPr>
          <w:rFonts w:ascii="Times New Roman;Times;serif" w:hAnsi="Times New Roman;Times;serif"/>
          <w:sz w:val="20"/>
        </w:rPr>
        <w:t xml:space="preserve">” </w:t>
      </w:r>
      <w:r>
        <w:rPr>
          <w:rFonts w:ascii="Times New Roman;Times;serif" w:hAnsi="Times New Roman;Times;serif"/>
          <w:sz w:val="24"/>
        </w:rPr>
        <w:t>means, as to any Borrowing, the RFR Loans comprising such Borrowing.</w:t>
      </w:r>
    </w:p>
    <w:p>
      <w:pPr>
        <w:pStyle w:val="TextBody"/>
        <w:bidi w:val="0"/>
        <w:spacing w:before="0" w:after="240"/>
        <w:ind w:left="0" w:right="0" w:firstLine="720"/>
        <w:jc w:val="both"/>
        <w:rPr/>
      </w:pPr>
      <w:r>
        <w:rPr/>
        <w:t>“</w:t>
      </w:r>
      <w:r>
        <w:rPr>
          <w:rFonts w:ascii="Times New Roman;Times;serif" w:hAnsi="Times New Roman;Times;serif"/>
          <w:b/>
          <w:sz w:val="24"/>
        </w:rPr>
        <w:t>RFR Business Day</w:t>
      </w:r>
      <w:r>
        <w:rPr>
          <w:rFonts w:ascii="Times New Roman;Times;serif" w:hAnsi="Times New Roman;Times;serif"/>
          <w:sz w:val="20"/>
        </w:rPr>
        <w:t xml:space="preserve">” </w:t>
      </w:r>
      <w:r>
        <w:rPr>
          <w:rFonts w:ascii="Times New Roman;Times;serif" w:hAnsi="Times New Roman;Times;serif"/>
          <w:sz w:val="24"/>
        </w:rPr>
        <w:t>means, for any Loan denominated in Sterling, any day except for (i) a Saturday, (ii) a Sunday or (iii) a day on which banks are closed for general business in London.</w:t>
      </w:r>
    </w:p>
    <w:p>
      <w:pPr>
        <w:pStyle w:val="TextBody"/>
        <w:bidi w:val="0"/>
        <w:spacing w:before="0" w:after="240"/>
        <w:ind w:left="0" w:right="0" w:firstLine="720"/>
        <w:jc w:val="both"/>
        <w:rPr/>
      </w:pPr>
      <w:r>
        <w:rPr/>
        <w:t>“</w:t>
      </w:r>
      <w:r>
        <w:rPr>
          <w:rFonts w:ascii="Times New Roman;Times;serif" w:hAnsi="Times New Roman;Times;serif"/>
          <w:b/>
          <w:sz w:val="24"/>
        </w:rPr>
        <w:t>RFR Interest Day</w:t>
      </w:r>
      <w:r>
        <w:rPr>
          <w:rFonts w:ascii="Times New Roman;Times;serif" w:hAnsi="Times New Roman;Times;serif"/>
          <w:sz w:val="20"/>
        </w:rPr>
        <w:t xml:space="preserve">” </w:t>
      </w:r>
      <w:r>
        <w:rPr>
          <w:rFonts w:ascii="Times New Roman;Times;serif" w:hAnsi="Times New Roman;Times;serif"/>
          <w:sz w:val="24"/>
        </w:rPr>
        <w:t>has the meaning specified in the definition of “Daily Simple RFR”.</w:t>
      </w:r>
    </w:p>
    <w:p>
      <w:pPr>
        <w:pStyle w:val="TextBody"/>
        <w:bidi w:val="0"/>
        <w:spacing w:before="0" w:after="240"/>
        <w:ind w:left="0" w:right="0" w:firstLine="720"/>
        <w:jc w:val="both"/>
        <w:rPr/>
      </w:pPr>
      <w:r>
        <w:rPr/>
        <w:t>“</w:t>
      </w:r>
      <w:r>
        <w:rPr>
          <w:rFonts w:ascii="Times New Roman;Times;serif" w:hAnsi="Times New Roman;Times;serif"/>
          <w:b/>
          <w:sz w:val="24"/>
        </w:rPr>
        <w:t>RFR Loan</w:t>
      </w:r>
      <w:r>
        <w:rPr>
          <w:rFonts w:ascii="Times New Roman;Times;serif" w:hAnsi="Times New Roman;Times;serif"/>
          <w:sz w:val="20"/>
        </w:rPr>
        <w:t xml:space="preserve">” </w:t>
      </w:r>
      <w:r>
        <w:rPr>
          <w:rFonts w:ascii="Times New Roman;Times;serif" w:hAnsi="Times New Roman;Times;serif"/>
          <w:sz w:val="24"/>
        </w:rPr>
        <w:t>means a Loan that bears interest at a rate based on Daily Simple RFR.</w:t>
      </w:r>
    </w:p>
    <w:p>
      <w:pPr>
        <w:pStyle w:val="TextBody"/>
        <w:bidi w:val="0"/>
        <w:spacing w:before="0" w:after="240"/>
        <w:ind w:left="0" w:right="0" w:firstLine="720"/>
        <w:jc w:val="both"/>
        <w:rPr/>
      </w:pPr>
      <w:r>
        <w:rPr/>
        <w:t>“</w:t>
      </w:r>
      <w:r>
        <w:rPr>
          <w:rFonts w:ascii="Times New Roman;Times;serif" w:hAnsi="Times New Roman;Times;serif"/>
          <w:b/>
          <w:sz w:val="24"/>
        </w:rPr>
        <w:t>S&amp;P</w:t>
      </w:r>
      <w:r>
        <w:rPr>
          <w:rFonts w:ascii="Times New Roman;Times;serif" w:hAnsi="Times New Roman;Times;serif"/>
          <w:sz w:val="20"/>
        </w:rPr>
        <w:t xml:space="preserve">” </w:t>
      </w:r>
      <w:r>
        <w:rPr>
          <w:rFonts w:ascii="Times New Roman;Times;serif" w:hAnsi="Times New Roman;Times;serif"/>
          <w:sz w:val="24"/>
        </w:rPr>
        <w:t>means Standard &amp; Poor’s Rating Services, a Standard &amp; Poor’s Financial Services LLC business.</w:t>
      </w:r>
    </w:p>
    <w:p>
      <w:pPr>
        <w:pStyle w:val="TextBody"/>
        <w:bidi w:val="0"/>
        <w:spacing w:before="0" w:after="240"/>
        <w:ind w:left="0" w:right="0" w:firstLine="720"/>
        <w:jc w:val="both"/>
        <w:rPr/>
      </w:pPr>
      <w:r>
        <w:rPr/>
        <w:t>“</w:t>
      </w:r>
      <w:r>
        <w:rPr>
          <w:rFonts w:ascii="Times New Roman;Times;serif" w:hAnsi="Times New Roman;Times;serif"/>
          <w:b/>
          <w:sz w:val="24"/>
        </w:rPr>
        <w:t>Sanctioned Country</w:t>
      </w:r>
      <w:r>
        <w:rPr>
          <w:rFonts w:ascii="Times New Roman;Times;serif" w:hAnsi="Times New Roman;Times;serif"/>
          <w:sz w:val="20"/>
        </w:rPr>
        <w:t xml:space="preserve">” </w:t>
      </w:r>
      <w:r>
        <w:rPr>
          <w:rFonts w:ascii="Times New Roman;Times;serif" w:hAnsi="Times New Roman;Times;serif"/>
          <w:sz w:val="24"/>
        </w:rPr>
        <w:t>means, at any time, a country, region or territory which is the subject or target of any country-wide or territory-wide Sanctions (and, as of the Effective Date, Crimea, Zaporizhzhia and Kherson Regions of Ukraine, the so-called Donetsk People’s Republic, the so-called Luhansk People’s Republic, Cuba, Iran, North Korea and Syria).</w:t>
      </w:r>
    </w:p>
    <w:p>
      <w:pPr>
        <w:pStyle w:val="TextBody"/>
        <w:bidi w:val="0"/>
        <w:spacing w:before="0" w:after="240"/>
        <w:ind w:left="0" w:right="0" w:firstLine="720"/>
        <w:jc w:val="both"/>
        <w:rPr/>
      </w:pPr>
      <w:r>
        <w:rPr/>
        <w:t>“</w:t>
      </w:r>
      <w:r>
        <w:rPr>
          <w:rFonts w:ascii="Times New Roman;Times;serif" w:hAnsi="Times New Roman;Times;serif"/>
          <w:b/>
          <w:sz w:val="24"/>
        </w:rPr>
        <w:t>Sanctioned Person</w:t>
      </w:r>
      <w:r>
        <w:rPr>
          <w:rFonts w:ascii="Times New Roman;Times;serif" w:hAnsi="Times New Roman;Times;serif"/>
          <w:sz w:val="20"/>
        </w:rPr>
        <w:t xml:space="preserve">” </w:t>
      </w:r>
      <w:r>
        <w:rPr>
          <w:rFonts w:ascii="Times New Roman;Times;serif" w:hAnsi="Times New Roman;Times;serif"/>
          <w:sz w:val="24"/>
        </w:rPr>
        <w:t>means, at any time, (a) any Person listed in any Sanctions-related list of designated Persons maintained by the Office of Foreign Assets Control of the U.S. Department of the Treasury, the U.S. Department of State, the United Nations Security Council, the European Union, any EU member state, the Government of Canada, the United Kingdom (including but not limited to His Majesty’s Treasury), the Monetary Authority of Singapore or any other applicable sanctions authority in which the Parent and its Subsidiaries operate (except to the extent inconsistent with U.S. law), (b) any Person operating, organized or resident in a Sanctioned Country or (c) any Person owned or controlled by any such Person or Persons described in the foregoing clauses (a) or (b), or (d) any Person otherwise the subject of any Sanctions.</w:t>
      </w:r>
    </w:p>
    <w:p>
      <w:pPr>
        <w:pStyle w:val="TextBody"/>
        <w:bidi w:val="0"/>
        <w:spacing w:before="0" w:after="240"/>
        <w:ind w:left="0" w:right="0" w:firstLine="720"/>
        <w:jc w:val="both"/>
        <w:rPr/>
      </w:pPr>
      <w:r>
        <w:rPr/>
        <w:t>“</w:t>
      </w:r>
      <w:r>
        <w:rPr>
          <w:rFonts w:ascii="Times New Roman;Times;serif" w:hAnsi="Times New Roman;Times;serif"/>
          <w:b/>
          <w:sz w:val="24"/>
        </w:rPr>
        <w:t>Sanctions</w:t>
      </w:r>
      <w:r>
        <w:rPr>
          <w:rFonts w:ascii="Times New Roman;Times;serif" w:hAnsi="Times New Roman;Times;serif"/>
          <w:sz w:val="20"/>
        </w:rPr>
        <w:t xml:space="preserve">” </w:t>
      </w:r>
      <w:r>
        <w:rPr>
          <w:rFonts w:ascii="Times New Roman;Times;serif" w:hAnsi="Times New Roman;Times;serif"/>
          <w:sz w:val="24"/>
        </w:rPr>
        <w:t>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the Government of Canada, the United Kingdom (including but not limited to His Majesty’s Treasury), the Monetary Authority of Singapore or any other applicable sanctions authority in which the Parent and its Subsidiaries operate.</w:t>
      </w:r>
    </w:p>
    <w:p>
      <w:pPr>
        <w:pStyle w:val="TextBody"/>
        <w:bidi w:val="0"/>
        <w:spacing w:before="0" w:after="240"/>
        <w:ind w:left="0" w:right="0" w:firstLine="720"/>
        <w:jc w:val="both"/>
        <w:rPr/>
      </w:pPr>
      <w:r>
        <w:rPr/>
        <w:t>“</w:t>
      </w:r>
      <w:r>
        <w:rPr>
          <w:rFonts w:ascii="Times New Roman;Times;serif" w:hAnsi="Times New Roman;Times;serif"/>
          <w:b/>
          <w:sz w:val="24"/>
        </w:rPr>
        <w:t>SEC</w:t>
      </w:r>
      <w:r>
        <w:rPr>
          <w:rFonts w:ascii="Times New Roman;Times;serif" w:hAnsi="Times New Roman;Times;serif"/>
          <w:sz w:val="20"/>
        </w:rPr>
        <w:t xml:space="preserve">” </w:t>
      </w:r>
      <w:r>
        <w:rPr>
          <w:rFonts w:ascii="Times New Roman;Times;serif" w:hAnsi="Times New Roman;Times;serif"/>
          <w:sz w:val="24"/>
        </w:rPr>
        <w:t>means the Securities and Exchange Commission or any Governmental Authority succeeding to any of its principal functions.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Secured Parties</w:t>
      </w:r>
      <w:r>
        <w:rPr>
          <w:rFonts w:ascii="Times New Roman;Times;serif" w:hAnsi="Times New Roman;Times;serif"/>
          <w:sz w:val="20"/>
        </w:rPr>
        <w:t xml:space="preserve">” </w:t>
      </w:r>
      <w:r>
        <w:rPr>
          <w:rFonts w:ascii="Times New Roman;Times;serif" w:hAnsi="Times New Roman;Times;serif"/>
          <w:sz w:val="24"/>
        </w:rPr>
        <w:t>means the collective reference to the Administrative Agent, the Lenders, the Issuing Banks and any other Person to which Obligations are owed.</w:t>
      </w:r>
    </w:p>
    <w:p>
      <w:pPr>
        <w:pStyle w:val="TextBody"/>
        <w:bidi w:val="0"/>
        <w:spacing w:before="0" w:after="240"/>
        <w:ind w:left="0" w:right="0" w:firstLine="720"/>
        <w:jc w:val="both"/>
        <w:rPr/>
      </w:pPr>
      <w:r>
        <w:rPr/>
        <w:t>“</w:t>
      </w:r>
      <w:r>
        <w:rPr>
          <w:rFonts w:ascii="Times New Roman;Times;serif" w:hAnsi="Times New Roman;Times;serif"/>
          <w:b/>
          <w:sz w:val="24"/>
        </w:rPr>
        <w:t>Securities Account</w:t>
      </w:r>
      <w:r>
        <w:rPr>
          <w:rFonts w:ascii="Times New Roman;Times;serif" w:hAnsi="Times New Roman;Times;serif"/>
          <w:sz w:val="20"/>
        </w:rPr>
        <w:t xml:space="preserve">” </w:t>
      </w:r>
      <w:r>
        <w:rPr>
          <w:rFonts w:ascii="Times New Roman;Times;serif" w:hAnsi="Times New Roman;Times;serif"/>
          <w:sz w:val="24"/>
        </w:rPr>
        <w:t>has the meaning specified in the UCC or the Canadian PPSA, or with respect to Foreign Loan Parties (other than Canadian Loan Parties), such comparable term as set forth in the applicable Security Documents.</w:t>
      </w:r>
    </w:p>
    <w:p>
      <w:pPr>
        <w:pStyle w:val="TextBody"/>
        <w:bidi w:val="0"/>
        <w:spacing w:before="0" w:after="240"/>
        <w:ind w:left="0" w:right="0" w:firstLine="720"/>
        <w:jc w:val="both"/>
        <w:rPr/>
      </w:pPr>
      <w:r>
        <w:rPr/>
        <w:t>“</w:t>
      </w:r>
      <w:r>
        <w:rPr>
          <w:rFonts w:ascii="Times New Roman;Times;serif" w:hAnsi="Times New Roman;Times;serif"/>
          <w:b/>
          <w:sz w:val="24"/>
        </w:rPr>
        <w:t>Security Documents</w:t>
      </w:r>
      <w:r>
        <w:rPr>
          <w:rFonts w:ascii="Times New Roman;Times;serif" w:hAnsi="Times New Roman;Times;serif"/>
          <w:sz w:val="20"/>
        </w:rPr>
        <w:t xml:space="preserve">” </w:t>
      </w:r>
      <w:r>
        <w:rPr>
          <w:rFonts w:ascii="Times New Roman;Times;serif" w:hAnsi="Times New Roman;Times;serif"/>
          <w:sz w:val="24"/>
        </w:rPr>
        <w:t>means the collective reference to the U.S. Security Agreement, the Foreign Security Agreements, the Control Agreements, any Mortgages and all other security documents hereafter delivered to the Administrative Agent by a Loan Party granting or perfecting a Lien on any property or right of any person to secure the obligations and liabilities of any Loan Party under any Loan Document.</w:t>
      </w:r>
    </w:p>
    <w:p>
      <w:pPr>
        <w:pStyle w:val="TextBody"/>
        <w:bidi w:val="0"/>
        <w:spacing w:before="0" w:after="240"/>
        <w:ind w:left="0" w:right="0" w:firstLine="720"/>
        <w:jc w:val="both"/>
        <w:rPr/>
      </w:pPr>
      <w:r>
        <w:rPr/>
        <w:t>“</w:t>
      </w:r>
      <w:r>
        <w:rPr>
          <w:rFonts w:ascii="Times New Roman;Times;serif" w:hAnsi="Times New Roman;Times;serif"/>
          <w:b/>
          <w:sz w:val="24"/>
        </w:rPr>
        <w:t>Siemens</w:t>
      </w:r>
      <w:r>
        <w:rPr>
          <w:rFonts w:ascii="Times New Roman;Times;serif" w:hAnsi="Times New Roman;Times;serif"/>
          <w:sz w:val="20"/>
        </w:rPr>
        <w:t xml:space="preserve">” </w:t>
      </w:r>
      <w:r>
        <w:rPr>
          <w:rFonts w:ascii="Times New Roman;Times;serif" w:hAnsi="Times New Roman;Times;serif"/>
          <w:sz w:val="24"/>
        </w:rPr>
        <w:t>refers to Siemens AG, a company incorporated under the laws of Germany, and its subsidiaries and affiliates, including Siemens Industry, Inc., a Delaware corporation.</w:t>
      </w:r>
    </w:p>
    <w:p>
      <w:pPr>
        <w:pStyle w:val="TextBody"/>
        <w:bidi w:val="0"/>
        <w:spacing w:before="0" w:after="240"/>
        <w:ind w:left="0" w:right="0" w:firstLine="720"/>
        <w:jc w:val="both"/>
        <w:rPr/>
      </w:pPr>
      <w:r>
        <w:rPr/>
        <w:t>“</w:t>
      </w:r>
      <w:r>
        <w:rPr>
          <w:rFonts w:ascii="Times New Roman;Times;serif" w:hAnsi="Times New Roman;Times;serif"/>
          <w:b/>
          <w:sz w:val="24"/>
        </w:rPr>
        <w:t>Singapore</w:t>
      </w:r>
      <w:r>
        <w:rPr>
          <w:rFonts w:ascii="Times New Roman;Times;serif" w:hAnsi="Times New Roman;Times;serif"/>
          <w:sz w:val="20"/>
        </w:rPr>
        <w:t xml:space="preserve">” </w:t>
      </w:r>
      <w:r>
        <w:rPr>
          <w:rFonts w:ascii="Times New Roman;Times;serif" w:hAnsi="Times New Roman;Times;serif"/>
          <w:sz w:val="24"/>
        </w:rPr>
        <w:t>means the Republic of Singapore.</w:t>
      </w:r>
    </w:p>
    <w:p>
      <w:pPr>
        <w:pStyle w:val="TextBody"/>
        <w:bidi w:val="0"/>
        <w:spacing w:before="0" w:after="240"/>
        <w:ind w:left="0" w:right="0" w:firstLine="720"/>
        <w:jc w:val="both"/>
        <w:rPr/>
      </w:pPr>
      <w:r>
        <w:rPr/>
        <w:t>“</w:t>
      </w:r>
      <w:r>
        <w:rPr>
          <w:rFonts w:ascii="Times New Roman;Times;serif" w:hAnsi="Times New Roman;Times;serif"/>
          <w:b/>
          <w:sz w:val="24"/>
        </w:rPr>
        <w:t>Singapore Security Documents</w:t>
      </w:r>
      <w:r>
        <w:rPr>
          <w:rFonts w:ascii="Times New Roman;Times;serif" w:hAnsi="Times New Roman;Times;serif"/>
          <w:sz w:val="20"/>
        </w:rPr>
        <w:t xml:space="preserve">” </w:t>
      </w:r>
      <w:r>
        <w:rPr>
          <w:rFonts w:ascii="Times New Roman;Times;serif" w:hAnsi="Times New Roman;Times;serif"/>
          <w:sz w:val="24"/>
        </w:rPr>
        <w:t xml:space="preserve">means the deed set forth in Section 4(i)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“Singapore” which deed shall be granted in accordance with the Agreed Security Principles, in each case as may be amended, restated, supplemented or otherwise modified from time to time, and any other security agreement, pledge agreement or similar document governed by the laws of Singapore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Singapore Loan Party</w:t>
      </w:r>
      <w:r>
        <w:rPr>
          <w:rFonts w:ascii="Times New Roman;Times;serif" w:hAnsi="Times New Roman;Times;serif"/>
          <w:sz w:val="20"/>
        </w:rPr>
        <w:t xml:space="preserve">” </w:t>
      </w:r>
      <w:r>
        <w:rPr>
          <w:rFonts w:ascii="Times New Roman;Times;serif" w:hAnsi="Times New Roman;Times;serif"/>
          <w:sz w:val="24"/>
        </w:rPr>
        <w:t>means a Loan Party that is incorporated in Singapore.</w:t>
      </w:r>
    </w:p>
    <w:p>
      <w:pPr>
        <w:pStyle w:val="TextBody"/>
        <w:bidi w:val="0"/>
        <w:spacing w:before="0" w:after="240"/>
        <w:ind w:left="0" w:right="0" w:firstLine="720"/>
        <w:jc w:val="both"/>
        <w:rPr/>
      </w:pPr>
      <w:r>
        <w:rPr/>
        <w:t>“</w:t>
      </w:r>
      <w:r>
        <w:rPr>
          <w:rFonts w:ascii="Times New Roman;Times;serif" w:hAnsi="Times New Roman;Times;serif"/>
          <w:b/>
          <w:sz w:val="24"/>
        </w:rPr>
        <w:t>SOFR</w:t>
      </w:r>
      <w:r>
        <w:rPr>
          <w:rFonts w:ascii="Times New Roman;Times;serif" w:hAnsi="Times New Roman;Times;serif"/>
          <w:sz w:val="20"/>
        </w:rPr>
        <w:t xml:space="preserve">” </w:t>
      </w:r>
      <w:r>
        <w:rPr>
          <w:rFonts w:ascii="Times New Roman;Times;serif" w:hAnsi="Times New Roman;Times;serif"/>
          <w:sz w:val="24"/>
        </w:rPr>
        <w:t>means a rate equal to the secured overnight financing rate as administered by the SOFR Administrator.</w:t>
      </w:r>
    </w:p>
    <w:p>
      <w:pPr>
        <w:pStyle w:val="TextBody"/>
        <w:bidi w:val="0"/>
        <w:spacing w:before="0" w:after="240"/>
        <w:ind w:left="0" w:right="0" w:firstLine="720"/>
        <w:jc w:val="both"/>
        <w:rPr/>
      </w:pPr>
      <w:r>
        <w:rPr/>
        <w:t>“</w:t>
      </w:r>
      <w:r>
        <w:rPr>
          <w:rFonts w:ascii="Times New Roman;Times;serif" w:hAnsi="Times New Roman;Times;serif"/>
          <w:b/>
          <w:sz w:val="24"/>
        </w:rPr>
        <w:t>SOFR Administrator</w:t>
      </w:r>
      <w:r>
        <w:rPr>
          <w:rFonts w:ascii="Times New Roman;Times;serif" w:hAnsi="Times New Roman;Times;serif"/>
          <w:sz w:val="20"/>
        </w:rPr>
        <w:t xml:space="preserve">” </w:t>
      </w:r>
      <w:r>
        <w:rPr>
          <w:rFonts w:ascii="Times New Roman;Times;serif" w:hAnsi="Times New Roman;Times;serif"/>
          <w:sz w:val="24"/>
        </w:rPr>
        <w:t>means the NYFRB (or a successor administrator of the secured overnight financing rate).</w:t>
      </w:r>
    </w:p>
    <w:p>
      <w:pPr>
        <w:pStyle w:val="TextBody"/>
        <w:bidi w:val="0"/>
        <w:spacing w:before="0" w:after="240"/>
        <w:ind w:left="0" w:right="0" w:firstLine="720"/>
        <w:jc w:val="both"/>
        <w:rPr/>
      </w:pPr>
      <w:r>
        <w:rPr/>
        <w:t>“</w:t>
      </w:r>
      <w:r>
        <w:rPr>
          <w:rFonts w:ascii="Times New Roman;Times;serif" w:hAnsi="Times New Roman;Times;serif"/>
          <w:b/>
          <w:sz w:val="24"/>
        </w:rPr>
        <w:t>SOFR Administrator’s Website</w:t>
      </w:r>
      <w:r>
        <w:rPr>
          <w:rFonts w:ascii="Times New Roman;Times;serif" w:hAnsi="Times New Roman;Times;serif"/>
          <w:sz w:val="20"/>
        </w:rPr>
        <w:t xml:space="preserve">” </w:t>
      </w:r>
      <w:r>
        <w:rPr>
          <w:rFonts w:ascii="Times New Roman;Times;serif" w:hAnsi="Times New Roman;Times;serif"/>
          <w:sz w:val="24"/>
        </w:rPr>
        <w:t>means the NYFRB’s website,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New Roman;Times;serif" w:hAnsi="Times New Roman;Times;serif"/>
          <w:b/>
          <w:sz w:val="24"/>
        </w:rPr>
        <w:t>SOFR Determination Date</w:t>
      </w:r>
      <w:r>
        <w:rPr>
          <w:rFonts w:ascii="Times New Roman;Times;serif" w:hAnsi="Times New Roman;Times;serif"/>
          <w:sz w:val="20"/>
        </w:rPr>
        <w:t xml:space="preserve">” </w:t>
      </w:r>
      <w:r>
        <w:rPr>
          <w:rFonts w:ascii="Times New Roman;Times;serif" w:hAnsi="Times New Roman;Times;serif"/>
          <w:sz w:val="24"/>
        </w:rPr>
        <w:t>has the meaning specified in the definition of “Daily Simple SOFR”.</w:t>
      </w:r>
    </w:p>
    <w:p>
      <w:pPr>
        <w:pStyle w:val="TextBody"/>
        <w:bidi w:val="0"/>
        <w:spacing w:before="0" w:after="240"/>
        <w:ind w:left="0" w:right="0" w:firstLine="720"/>
        <w:jc w:val="both"/>
        <w:rPr/>
      </w:pPr>
      <w:r>
        <w:rPr/>
        <w:t>“</w:t>
      </w:r>
      <w:r>
        <w:rPr>
          <w:rFonts w:ascii="Times New Roman;Times;serif" w:hAnsi="Times New Roman;Times;serif"/>
          <w:b/>
          <w:sz w:val="24"/>
        </w:rPr>
        <w:t>SOFR Rate Day</w:t>
      </w:r>
      <w:r>
        <w:rPr>
          <w:rFonts w:ascii="Times New Roman;Times;serif" w:hAnsi="Times New Roman;Times;serif"/>
          <w:sz w:val="20"/>
        </w:rPr>
        <w:t xml:space="preserve">” </w:t>
      </w:r>
      <w:r>
        <w:rPr>
          <w:rFonts w:ascii="Times New Roman;Times;serif" w:hAnsi="Times New Roman;Times;serif"/>
          <w:sz w:val="24"/>
        </w:rPr>
        <w:t>has the meaning specified in the definition of “Daily Simple SOFR”.</w:t>
      </w:r>
    </w:p>
    <w:p>
      <w:pPr>
        <w:pStyle w:val="TextBody"/>
        <w:bidi w:val="0"/>
        <w:spacing w:before="0" w:after="240"/>
        <w:ind w:left="0" w:right="0" w:firstLine="720"/>
        <w:jc w:val="both"/>
        <w:rPr/>
      </w:pPr>
      <w:r>
        <w:rPr/>
        <w:t>“</w:t>
      </w:r>
      <w:r>
        <w:rPr>
          <w:rFonts w:ascii="Times New Roman;Times;serif" w:hAnsi="Times New Roman;Times;serif"/>
          <w:b/>
          <w:sz w:val="24"/>
        </w:rPr>
        <w:t>Solvent</w:t>
      </w:r>
      <w:r>
        <w:rPr>
          <w:rFonts w:ascii="Times New Roman;Times;serif" w:hAnsi="Times New Roman;Times;serif"/>
          <w:sz w:val="20"/>
        </w:rPr>
        <w:t xml:space="preserve">” </w:t>
      </w:r>
      <w:r>
        <w:rPr>
          <w:rFonts w:ascii="Times New Roman;Times;serif" w:hAnsi="Times New Roman;Times;serif"/>
          <w:sz w:val="24"/>
        </w:rPr>
        <w:t>means, with respect to the Parent and its Subsidiaries on a particular date, that on such date (a) the fair value of the assets of the Parent and its Subsidiaries, on a consolidated basis, is greater than the total amount of liabilities, including, without limitation, contingent liabilities, of the Parent and its Subsidiaries, on a consolidated basis, (b) the present fair saleable value of the assets of the Parent and its Subsidiaries, on a consolidated basis, is not less than the total amount of liabilities, including contingent liabilities, of the Parent and its Subsidiaries, on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consolidated basis, (c) the Parent and its Subsidiaries, on a consolidated basis, do not intend to, and do not believe that they will, incur debts or liabilities (including current obligations and contingent liabilities) beyond their ability to pay such debts and liabilities as they mature in the ordinary course of business, (d) the Parent and its Subsidiaries on a consolidated basis have, and will have, adequate capital with which to conduct the business they are presently conducting and reasonably anticipate conducting, (e) with respect to any Australian Loan Party, it is solvent (within the meaning of section 95A of the Australian Corporations Act) and able to pay its debts as and when they fall due, (f) no Canadian Loan Party is an “insolvent person” as defined in the Bankruptcy and Insolvency Act (Canada), (g) no Irish Loan Party, will be unable to pay its debts (within the meaning of section 509(3) of the Irish Companies Act), and (h) with respect to a Singapore Loan Party, the value of its current assets exceeds its current liabilities (taking into account contingent and prospective liabilities) such that it is able to pay its debts as and when they fall due. The amount of contingent liabilities at any time shall be computed as the amount that, in the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(ASC 450)).</w:t>
      </w:r>
    </w:p>
    <w:p>
      <w:pPr>
        <w:pStyle w:val="TextBody"/>
        <w:bidi w:val="0"/>
        <w:spacing w:before="0" w:after="240"/>
        <w:ind w:left="0" w:right="0" w:firstLine="720"/>
        <w:jc w:val="both"/>
        <w:rPr/>
      </w:pPr>
      <w:r>
        <w:rPr/>
        <w:t>“</w:t>
      </w:r>
      <w:r>
        <w:rPr>
          <w:rFonts w:ascii="Times New Roman;Times;serif" w:hAnsi="Times New Roman;Times;serif"/>
          <w:b/>
          <w:sz w:val="24"/>
        </w:rPr>
        <w:t>SONIA</w:t>
      </w:r>
      <w:r>
        <w:rPr>
          <w:rFonts w:ascii="Times New Roman;Times;serif" w:hAnsi="Times New Roman;Times;serif"/>
          <w:sz w:val="20"/>
        </w:rPr>
        <w:t xml:space="preserve">” </w:t>
      </w:r>
      <w:r>
        <w:rPr>
          <w:rFonts w:ascii="Times New Roman;Times;serif" w:hAnsi="Times New Roman;Times;serif"/>
          <w:sz w:val="24"/>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240"/>
        <w:ind w:left="0" w:right="0" w:firstLine="720"/>
        <w:jc w:val="both"/>
        <w:rPr/>
      </w:pPr>
      <w:r>
        <w:rPr/>
        <w:t>“</w:t>
      </w:r>
      <w:r>
        <w:rPr>
          <w:rFonts w:ascii="Times New Roman;Times;serif" w:hAnsi="Times New Roman;Times;serif"/>
          <w:b/>
          <w:sz w:val="24"/>
        </w:rPr>
        <w:t>SONIA Administrator</w:t>
      </w:r>
      <w:r>
        <w:rPr>
          <w:rFonts w:ascii="Times New Roman;Times;serif" w:hAnsi="Times New Roman;Times;serif"/>
          <w:sz w:val="20"/>
        </w:rPr>
        <w:t xml:space="preserve">” </w:t>
      </w:r>
      <w:r>
        <w:rPr>
          <w:rFonts w:ascii="Times New Roman;Times;serif" w:hAnsi="Times New Roman;Times;serif"/>
          <w:sz w:val="24"/>
        </w:rPr>
        <w:t>means the Bank of England (or any successor administrator of the Sterling Overnight Index Average).</w:t>
      </w:r>
    </w:p>
    <w:p>
      <w:pPr>
        <w:pStyle w:val="TextBody"/>
        <w:bidi w:val="0"/>
        <w:spacing w:before="0" w:after="240"/>
        <w:ind w:left="0" w:right="0" w:firstLine="720"/>
        <w:jc w:val="both"/>
        <w:rPr/>
      </w:pPr>
      <w:r>
        <w:rPr/>
        <w:t>“</w:t>
      </w:r>
      <w:r>
        <w:rPr>
          <w:rFonts w:ascii="Times New Roman;Times;serif" w:hAnsi="Times New Roman;Times;serif"/>
          <w:b/>
          <w:sz w:val="24"/>
        </w:rPr>
        <w:t>SONIA Administrator’s Website</w:t>
      </w:r>
      <w:r>
        <w:rPr>
          <w:rFonts w:ascii="Times New Roman;Times;serif" w:hAnsi="Times New Roman;Times;serif"/>
          <w:sz w:val="20"/>
        </w:rPr>
        <w:t xml:space="preserve">” </w:t>
      </w:r>
      <w:r>
        <w:rPr>
          <w:rFonts w:ascii="Times New Roman;Times;serif" w:hAnsi="Times New Roman;Times;serif"/>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ind w:left="0" w:right="0" w:firstLine="720"/>
        <w:jc w:val="both"/>
        <w:rPr/>
      </w:pPr>
      <w:r>
        <w:rPr/>
        <w:t>“</w:t>
      </w:r>
      <w:r>
        <w:rPr>
          <w:rFonts w:ascii="Times New Roman;Times;serif" w:hAnsi="Times New Roman;Times;serif"/>
          <w:b/>
          <w:sz w:val="24"/>
        </w:rPr>
        <w:t>Special Purpose Subsidiary</w:t>
      </w:r>
      <w:r>
        <w:rPr>
          <w:rFonts w:ascii="Times New Roman;Times;serif" w:hAnsi="Times New Roman;Times;serif"/>
          <w:sz w:val="20"/>
        </w:rPr>
        <w:t xml:space="preserve">” </w:t>
      </w:r>
      <w:r>
        <w:rPr>
          <w:rFonts w:ascii="Times New Roman;Times;serif" w:hAnsi="Times New Roman;Times;serif"/>
          <w:sz w:val="24"/>
        </w:rPr>
        <w:t>means (a) any not-for-profit Subsidiary, (b) any Captive Insurance Company, and (c) any Receivables Subsidiary.</w:t>
      </w:r>
    </w:p>
    <w:p>
      <w:pPr>
        <w:pStyle w:val="TextBody"/>
        <w:bidi w:val="0"/>
        <w:spacing w:before="0" w:after="240"/>
        <w:ind w:left="0" w:right="0" w:firstLine="720"/>
        <w:jc w:val="both"/>
        <w:rPr>
          <w:color w:val="0000FF"/>
        </w:rPr>
      </w:pPr>
      <w:r>
        <w:rPr>
          <w:color w:val="0000FF"/>
        </w:rPr>
        <w:t>“</w:t>
      </w:r>
      <w:r>
        <w:rPr>
          <w:rFonts w:ascii="Times New Roman;Times;serif" w:hAnsi="Times New Roman;Times;serif"/>
          <w:b/>
          <w:color w:val="0000FF"/>
          <w:sz w:val="24"/>
        </w:rPr>
        <w:t>Specified Cash Collateral” has the meaning specified in Section 5.15(a).</w:t>
      </w:r>
    </w:p>
    <w:p>
      <w:pPr>
        <w:pStyle w:val="TextBody"/>
        <w:bidi w:val="0"/>
        <w:spacing w:before="0" w:after="240"/>
        <w:ind w:left="0" w:right="0" w:firstLine="720"/>
        <w:jc w:val="both"/>
        <w:rPr>
          <w:color w:val="0000FF"/>
        </w:rPr>
      </w:pPr>
      <w:r>
        <w:rPr>
          <w:color w:val="0000FF"/>
        </w:rPr>
        <w:t>“</w:t>
      </w:r>
      <w:r>
        <w:rPr>
          <w:rFonts w:ascii="Times New Roman;Times;serif" w:hAnsi="Times New Roman;Times;serif"/>
          <w:b/>
          <w:color w:val="0000FF"/>
          <w:sz w:val="24"/>
        </w:rPr>
        <w:t>Specified Cash Collateral Account” has the meaning specified in Section 5.15(a).</w:t>
      </w:r>
    </w:p>
    <w:p>
      <w:pPr>
        <w:pStyle w:val="TextBody"/>
        <w:bidi w:val="0"/>
        <w:spacing w:before="0" w:after="240"/>
        <w:ind w:left="0" w:right="0" w:firstLine="720"/>
        <w:jc w:val="both"/>
        <w:rPr>
          <w:color w:val="0000FF"/>
        </w:rPr>
      </w:pPr>
      <w:r>
        <w:rPr>
          <w:color w:val="0000FF"/>
        </w:rPr>
        <w:t>“</w:t>
      </w:r>
      <w:r>
        <w:rPr>
          <w:rFonts w:ascii="Times New Roman;Times;serif" w:hAnsi="Times New Roman;Times;serif"/>
          <w:b/>
          <w:color w:val="0000FF"/>
          <w:sz w:val="24"/>
        </w:rPr>
        <w:t>Specified Cash Collateral Release Trigger Event” means if at any time (a) no Default or Event of Default has occurred and is continuing and (b) the Total Revolving Extension of Credit has been less than $450,000,000 for the immediately preceding three (3) consecutive Business Days.</w:t>
      </w:r>
    </w:p>
    <w:p>
      <w:pPr>
        <w:pStyle w:val="TextBody"/>
        <w:bidi w:val="0"/>
        <w:spacing w:before="0" w:after="240"/>
        <w:ind w:left="0" w:right="0" w:firstLine="720"/>
        <w:jc w:val="both"/>
        <w:rPr/>
      </w:pPr>
      <w:r>
        <w:rPr/>
        <w:t>“</w:t>
      </w:r>
      <w:r>
        <w:rPr>
          <w:rFonts w:ascii="Times New Roman;Times;serif" w:hAnsi="Times New Roman;Times;serif"/>
          <w:b/>
          <w:sz w:val="24"/>
        </w:rPr>
        <w:t>Specified Cash Management Agreement</w:t>
      </w:r>
      <w:r>
        <w:rPr>
          <w:rFonts w:ascii="Times New Roman;Times;serif" w:hAnsi="Times New Roman;Times;serif"/>
          <w:sz w:val="20"/>
        </w:rPr>
        <w:t xml:space="preserve">” </w:t>
      </w:r>
      <w:r>
        <w:rPr>
          <w:rFonts w:ascii="Times New Roman;Times;serif" w:hAnsi="Times New Roman;Times;serif"/>
          <w:sz w:val="24"/>
        </w:rPr>
        <w:t>means any agreement providing for treasury, depositary, purchasing card or cash management services, including in connection with any automated clearing house transfers of funds or any similar transactions between the Parent or any Subsidiary thereof and any Lender or Affiliate thereof, which (i) is in effect as of the Effective Date or (ii) has been designated by such Lender and the Parent Borrower, by notice to the Administrative Agent after the execution and delivery thereof, as a “Specified Cash Management Agreement”. For the avoidance of doubt, (x) the Citi Supplier Financing Agreement shall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constitute a Specified Cash Management Agreement and (y) agreements relating to any Factoring Transaction or Receivables Facility shall not constitute Specified Cash Management Agreements.</w:t>
      </w:r>
    </w:p>
    <w:p>
      <w:pPr>
        <w:pStyle w:val="TextBody"/>
        <w:bidi w:val="0"/>
        <w:spacing w:before="0" w:after="240"/>
        <w:ind w:left="0" w:right="0" w:firstLine="720"/>
        <w:jc w:val="both"/>
        <w:rPr/>
      </w:pPr>
      <w:r>
        <w:rPr/>
        <w:t>“</w:t>
      </w:r>
      <w:r>
        <w:rPr>
          <w:rFonts w:ascii="Times New Roman;Times;serif" w:hAnsi="Times New Roman;Times;serif"/>
          <w:b/>
          <w:sz w:val="24"/>
        </w:rPr>
        <w:t>Specified Event of Default</w:t>
      </w:r>
      <w:r>
        <w:rPr>
          <w:rFonts w:ascii="Times New Roman;Times;serif" w:hAnsi="Times New Roman;Times;serif"/>
          <w:sz w:val="20"/>
        </w:rPr>
        <w:t xml:space="preserve">” </w:t>
      </w:r>
      <w:r>
        <w:rPr>
          <w:rFonts w:ascii="Times New Roman;Times;serif" w:hAnsi="Times New Roman;Times;serif"/>
          <w:sz w:val="24"/>
        </w:rPr>
        <w:t xml:space="preserve">means an Event of Default arising under </w:t>
      </w:r>
      <w:r>
        <w:rPr>
          <w:rFonts w:ascii="Times New Roman;Times;serif" w:hAnsi="Times New Roman;Times;serif"/>
          <w:sz w:val="24"/>
          <w:u w:val="single"/>
        </w:rPr>
        <w:t>Section 7.01(a)</w:t>
      </w:r>
      <w:r>
        <w:rPr>
          <w:rFonts w:ascii="Times New Roman;Times;serif" w:hAnsi="Times New Roman;Times;serif"/>
          <w:sz w:val="24"/>
        </w:rPr>
        <w:t xml:space="preserve">, </w:t>
      </w:r>
      <w:r>
        <w:rPr>
          <w:rFonts w:ascii="Times New Roman;Times;serif" w:hAnsi="Times New Roman;Times;serif"/>
          <w:sz w:val="24"/>
          <w:u w:val="single"/>
        </w:rPr>
        <w:t>Section 7.01(b)</w:t>
      </w:r>
      <w:r>
        <w:rPr>
          <w:rFonts w:ascii="Times New Roman;Times;serif" w:hAnsi="Times New Roman;Times;serif"/>
          <w:sz w:val="24"/>
        </w:rPr>
        <w:t xml:space="preserve">, </w:t>
      </w:r>
      <w:r>
        <w:rPr>
          <w:rFonts w:ascii="Times New Roman;Times;serif" w:hAnsi="Times New Roman;Times;serif"/>
          <w:sz w:val="24"/>
          <w:u w:val="single"/>
        </w:rPr>
        <w:t>Section 7.01(e)</w:t>
      </w:r>
      <w:r>
        <w:rPr>
          <w:rFonts w:ascii="Times New Roman;Times;serif" w:hAnsi="Times New Roman;Times;serif"/>
          <w:sz w:val="20"/>
        </w:rPr>
        <w:t xml:space="preserve"> </w:t>
      </w:r>
      <w:r>
        <w:rPr>
          <w:rFonts w:ascii="Times New Roman;Times;serif" w:hAnsi="Times New Roman;Times;serif"/>
          <w:sz w:val="24"/>
        </w:rPr>
        <w:t xml:space="preserve">(but solely with respect to a breach of </w:t>
      </w:r>
      <w:r>
        <w:rPr>
          <w:rFonts w:ascii="Times New Roman;Times;serif" w:hAnsi="Times New Roman;Times;serif"/>
          <w:sz w:val="24"/>
          <w:u w:val="single"/>
        </w:rPr>
        <w:t>Section 5.01(c)</w:t>
      </w:r>
      <w:r>
        <w:rPr>
          <w:rFonts w:ascii="Times New Roman;Times;serif" w:hAnsi="Times New Roman;Times;serif"/>
          <w:sz w:val="24"/>
        </w:rPr>
        <w:t xml:space="preserve">), </w:t>
      </w:r>
      <w:r>
        <w:rPr>
          <w:rFonts w:ascii="Times New Roman;Times;serif" w:hAnsi="Times New Roman;Times;serif"/>
          <w:sz w:val="24"/>
          <w:u w:val="single"/>
        </w:rPr>
        <w:t>Section 7.01(h)</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7.01(i)</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Specified Post-Closing Period</w:t>
      </w:r>
      <w:r>
        <w:rPr>
          <w:rFonts w:ascii="Times New Roman;Times;serif" w:hAnsi="Times New Roman;Times;serif"/>
          <w:sz w:val="20"/>
        </w:rPr>
        <w:t xml:space="preserve">” </w:t>
      </w:r>
      <w:r>
        <w:rPr>
          <w:rFonts w:ascii="Times New Roman;Times;serif" w:hAnsi="Times New Roman;Times;serif"/>
          <w:sz w:val="24"/>
        </w:rPr>
        <w:t xml:space="preserve">means, with respect to any Foreign Subsidiary of the Parent Borrower, the period from and after the Amendment No. 3 Effective Date and until the date that such Foreign Subsidiary is required to satisfy the requirements set forth in Section 4 in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hereto (including any extension of such granted with respect to any such direct or indirect Foreign Subsidiary of the Parent Borrower).</w:t>
      </w:r>
    </w:p>
    <w:p>
      <w:pPr>
        <w:pStyle w:val="TextBody"/>
        <w:bidi w:val="0"/>
        <w:spacing w:before="0" w:after="240"/>
        <w:ind w:left="0" w:right="0" w:firstLine="720"/>
        <w:jc w:val="both"/>
        <w:rPr/>
      </w:pPr>
      <w:r>
        <w:rPr/>
        <w:t>“</w:t>
      </w:r>
      <w:r>
        <w:rPr>
          <w:rFonts w:ascii="Times New Roman;Times;serif" w:hAnsi="Times New Roman;Times;serif"/>
          <w:b/>
          <w:sz w:val="24"/>
        </w:rPr>
        <w:t>Specified Swap Agreement</w:t>
      </w:r>
      <w:r>
        <w:rPr>
          <w:rFonts w:ascii="Times New Roman;Times;serif" w:hAnsi="Times New Roman;Times;serif"/>
          <w:sz w:val="20"/>
        </w:rPr>
        <w:t xml:space="preserve">” </w:t>
      </w:r>
      <w:r>
        <w:rPr>
          <w:rFonts w:ascii="Times New Roman;Times;serif" w:hAnsi="Times New Roman;Times;serif"/>
          <w:sz w:val="24"/>
        </w:rPr>
        <w:t xml:space="preserve">means any Swap Agreement in respect of interest rates, currency exchange rates or commodity pricing risk (i) in effect as of the Amendment No. 3 Effective Date between the Parent or any Subsidiary thereof and any Person that is a Lender or an Affiliate of a Lender as of the Amendment No. 3 Effective Date or (ii) in effect as of the Amendment No. 3 Effective Date or entered into after the Amendment No. 3 Effective Date between the Parent or any Subsidiary thereof and any Approved Counterparty, which Swap Agreement is designated in writing by the Parent Borrower to the Administrative Agent as a Specified Swap Agreement (for purposes of the foregoing, the Parent Borrower and the applicable swap provider may designate all Swap Agreements under a specified ISDA Master Agreement as “Specified Swap Agreements”);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such Swap Agreement is entered into to hedge or mitigate risks, and not for speculative purposes, in the ordinary course of the Parent’s or such Subsidiary’s business or in order to effectively cap, collar or exchange interest rates (from floating to fixed rates, from one floating rate to another floating rate or otherwise) with respect to any interest-bearing liability or investment of the Parent or such Subsidiary.</w:t>
      </w:r>
    </w:p>
    <w:p>
      <w:pPr>
        <w:pStyle w:val="TextBody"/>
        <w:bidi w:val="0"/>
        <w:spacing w:before="0" w:after="240"/>
        <w:ind w:left="0" w:right="0" w:firstLine="720"/>
        <w:jc w:val="both"/>
        <w:rPr/>
      </w:pPr>
      <w:r>
        <w:rPr/>
        <w:t>“</w:t>
      </w:r>
      <w:r>
        <w:rPr>
          <w:rFonts w:ascii="Times New Roman;Times;serif" w:hAnsi="Times New Roman;Times;serif"/>
          <w:b/>
          <w:sz w:val="24"/>
        </w:rPr>
        <w:t>Specified Transaction</w:t>
      </w:r>
      <w:r>
        <w:rPr>
          <w:rFonts w:ascii="Times New Roman;Times;serif" w:hAnsi="Times New Roman;Times;serif"/>
          <w:sz w:val="20"/>
        </w:rPr>
        <w:t xml:space="preserve">” </w:t>
      </w:r>
      <w:r>
        <w:rPr>
          <w:rFonts w:ascii="Times New Roman;Times;serif" w:hAnsi="Times New Roman;Times;serif"/>
          <w:sz w:val="24"/>
        </w:rPr>
        <w:t>means (a) any incurrence or repayment of Indebtedness of any Borrower or a Subsidiary, (b) any Investment that results in a Person becoming a Subsidiary, (c) any Disposition, (d) the establishment, acquisition or creation of any new joint venture of any Borrower or any Subsidiary, (e) any issuance of Equity Interests, and (f) any acquisition or Investment constituting an acquisition of assets constituting a business unit, line of business or division of another Person or of all or substantially all of the assets of a Person.</w:t>
      </w:r>
    </w:p>
    <w:p>
      <w:pPr>
        <w:pStyle w:val="TextBody"/>
        <w:bidi w:val="0"/>
        <w:spacing w:before="0" w:after="240"/>
        <w:ind w:left="0" w:right="0" w:firstLine="720"/>
        <w:jc w:val="both"/>
        <w:rPr/>
      </w:pPr>
      <w:r>
        <w:rPr/>
        <w:t>“</w:t>
      </w:r>
      <w:r>
        <w:rPr>
          <w:rFonts w:ascii="Times New Roman;Times;serif" w:hAnsi="Times New Roman;Times;serif"/>
          <w:b/>
          <w:sz w:val="24"/>
        </w:rPr>
        <w:t>Standard Securitization Undertakings</w:t>
      </w:r>
      <w:r>
        <w:rPr>
          <w:rFonts w:ascii="Times New Roman;Times;serif" w:hAnsi="Times New Roman;Times;serif"/>
          <w:sz w:val="20"/>
        </w:rPr>
        <w:t xml:space="preserve">” </w:t>
      </w:r>
      <w:r>
        <w:rPr>
          <w:rFonts w:ascii="Times New Roman;Times;serif" w:hAnsi="Times New Roman;Times;serif"/>
          <w:sz w:val="24"/>
        </w:rPr>
        <w:t>means representations, warranties, covenants, indemnities and guarantees of performance entered into by the Parent, any Borrower or any Subsidiary thereof which the Parent Borrower has determined in good faith to be customary in a Factoring Transaction or Receivables Facility, as applicable, including, without limitation, those relating to the servicing of Receivables Assets.</w:t>
      </w:r>
    </w:p>
    <w:p>
      <w:pPr>
        <w:pStyle w:val="TextBody"/>
        <w:bidi w:val="0"/>
        <w:spacing w:before="0" w:after="240"/>
        <w:ind w:left="0" w:right="0" w:firstLine="720"/>
        <w:jc w:val="both"/>
        <w:rPr/>
      </w:pPr>
      <w:r>
        <w:rPr/>
        <w:t>“</w:t>
      </w:r>
      <w:r>
        <w:rPr>
          <w:rFonts w:ascii="Times New Roman;Times;serif" w:hAnsi="Times New Roman;Times;serif"/>
          <w:b/>
          <w:sz w:val="24"/>
        </w:rPr>
        <w:t>Standby Letter of Credit</w:t>
      </w:r>
      <w:r>
        <w:rPr>
          <w:rFonts w:ascii="Times New Roman;Times;serif" w:hAnsi="Times New Roman;Times;serif"/>
          <w:sz w:val="20"/>
        </w:rPr>
        <w:t xml:space="preserve">” </w:t>
      </w:r>
      <w:r>
        <w:rPr>
          <w:rFonts w:ascii="Times New Roman;Times;serif" w:hAnsi="Times New Roman;Times;serif"/>
          <w:sz w:val="24"/>
        </w:rPr>
        <w:t>means any Letter of Credit other than any Commercial Letter of Credit.</w:t>
      </w:r>
    </w:p>
    <w:p>
      <w:pPr>
        <w:pStyle w:val="TextBody"/>
        <w:bidi w:val="0"/>
        <w:spacing w:before="0" w:after="240"/>
        <w:ind w:left="0" w:right="0" w:firstLine="720"/>
        <w:jc w:val="both"/>
        <w:rPr/>
      </w:pPr>
      <w:r>
        <w:rPr/>
        <w:t>“</w:t>
      </w:r>
      <w:r>
        <w:rPr>
          <w:rFonts w:ascii="Times New Roman;Times;serif" w:hAnsi="Times New Roman;Times;serif"/>
          <w:b/>
          <w:sz w:val="24"/>
        </w:rPr>
        <w:t>Statutory Reserve Rate</w:t>
      </w:r>
      <w:r>
        <w:rPr>
          <w:rFonts w:ascii="Times New Roman;Times;serif" w:hAnsi="Times New Roman;Times;serif"/>
          <w:sz w:val="20"/>
        </w:rPr>
        <w:t xml:space="preserve">” </w:t>
      </w:r>
      <w:r>
        <w:rPr>
          <w:rFonts w:ascii="Times New Roman;Times;serif" w:hAnsi="Times New Roman;Times;serif"/>
          <w:sz w:val="24"/>
        </w:rPr>
        <w:t>means a fraction (expressed as a decimal), the numerator of which is the number one and the denominator of which is the number one minus the aggregate of the maximum reserve percentage (including any marginal, special, emergency or supplemental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reserves) expressed as a decimal established by the Board to which the Administrative Agent is subject with respect to the Adjusted EURIBOR Rate, as applicable, for eurocurrency funding (currently referred to as “Eurocurrency Liabilities” in Regulation D of the Board). Such reserve percentage shall include those imposed pursuant to such Regulation D. Term Benchmark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pStyle w:val="TextBody"/>
        <w:bidi w:val="0"/>
        <w:spacing w:before="0" w:after="240"/>
        <w:ind w:left="0" w:right="0" w:firstLine="720"/>
        <w:jc w:val="both"/>
        <w:rPr/>
      </w:pPr>
      <w:r>
        <w:rPr/>
        <w:t>“</w:t>
      </w:r>
      <w:r>
        <w:rPr>
          <w:rFonts w:ascii="Times New Roman;Times;serif" w:hAnsi="Times New Roman;Times;serif"/>
          <w:b/>
          <w:sz w:val="24"/>
        </w:rPr>
        <w:t>Sterling</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w:t>
      </w:r>
      <w:r>
        <w:rPr>
          <w:rFonts w:ascii="Times New Roman;Times;serif" w:hAnsi="Times New Roman;Times;serif"/>
          <w:sz w:val="20"/>
        </w:rPr>
        <w:t xml:space="preserve">” </w:t>
      </w:r>
      <w:r>
        <w:rPr>
          <w:rFonts w:ascii="Times New Roman;Times;serif" w:hAnsi="Times New Roman;Times;serif"/>
          <w:sz w:val="24"/>
        </w:rPr>
        <w:t>mean the lawful currency of the United Kingdom.</w:t>
      </w:r>
    </w:p>
    <w:p>
      <w:pPr>
        <w:pStyle w:val="TextBody"/>
        <w:bidi w:val="0"/>
        <w:spacing w:before="0" w:after="240"/>
        <w:ind w:left="0" w:right="0" w:firstLine="720"/>
        <w:jc w:val="both"/>
        <w:rPr/>
      </w:pPr>
      <w:r>
        <w:rPr/>
        <w:t>“</w:t>
      </w:r>
      <w:r>
        <w:rPr>
          <w:rFonts w:ascii="Times New Roman;Times;serif" w:hAnsi="Times New Roman;Times;serif"/>
          <w:b/>
          <w:sz w:val="24"/>
        </w:rPr>
        <w:t>Subsidiary</w:t>
      </w:r>
      <w:r>
        <w:rPr>
          <w:rFonts w:ascii="Times New Roman;Times;serif" w:hAnsi="Times New Roman;Times;serif"/>
          <w:sz w:val="20"/>
        </w:rPr>
        <w:t xml:space="preserve">” </w:t>
      </w:r>
      <w:r>
        <w:rPr>
          <w:rFonts w:ascii="Times New Roman;Times;serif" w:hAnsi="Times New Roman;Times;serif"/>
          <w:sz w:val="24"/>
        </w:rPr>
        <w:t>means, unless otherwise specified, any subsidiary of the Parent.</w:t>
      </w:r>
    </w:p>
    <w:p>
      <w:pPr>
        <w:pStyle w:val="TextBody"/>
        <w:bidi w:val="0"/>
        <w:spacing w:before="0" w:after="240"/>
        <w:ind w:left="0" w:right="0" w:firstLine="720"/>
        <w:jc w:val="both"/>
        <w:rPr/>
      </w:pPr>
      <w:r>
        <w:rPr/>
        <w:t>“</w:t>
      </w:r>
      <w:r>
        <w:rPr>
          <w:rFonts w:ascii="Times New Roman;Times;serif" w:hAnsi="Times New Roman;Times;serif"/>
          <w:b/>
          <w:sz w:val="24"/>
        </w:rPr>
        <w:t>subsidiary</w:t>
      </w:r>
      <w:r>
        <w:rPr>
          <w:rFonts w:ascii="Times New Roman;Times;serif" w:hAnsi="Times New Roman;Times;serif"/>
          <w:sz w:val="20"/>
        </w:rPr>
        <w:t xml:space="preserve">” </w:t>
      </w:r>
      <w:r>
        <w:rPr>
          <w:rFonts w:ascii="Times New Roman;Times;serif" w:hAnsi="Times New Roman;Times;serif"/>
          <w:sz w:val="24"/>
        </w:rPr>
        <w:t>means, with respect to any Person (the “</w:t>
      </w:r>
      <w:r>
        <w:rPr>
          <w:rFonts w:ascii="Times New Roman;Times;serif" w:hAnsi="Times New Roman;Times;serif"/>
          <w:b/>
          <w:sz w:val="24"/>
        </w:rPr>
        <w:t>parent</w:t>
      </w:r>
      <w:r>
        <w:rPr>
          <w:rFonts w:ascii="Times New Roman;Times;serif" w:hAnsi="Times New Roman;Times;serif"/>
          <w:sz w:val="20"/>
        </w:rPr>
        <w:t>”</w:t>
      </w:r>
      <w:r>
        <w:rPr>
          <w:rFonts w:ascii="Times New Roman;Times;serif" w:hAnsi="Times New Roman;Times;serif"/>
          <w:sz w:val="24"/>
        </w:rPr>
        <w:t>) at any date, any corporation, limited liability company, unlimited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pStyle w:val="TextBody"/>
        <w:bidi w:val="0"/>
        <w:spacing w:before="0" w:after="240"/>
        <w:ind w:left="0" w:right="0" w:firstLine="720"/>
        <w:jc w:val="both"/>
        <w:rPr/>
      </w:pPr>
      <w:r>
        <w:rPr/>
        <w:t>“</w:t>
      </w:r>
      <w:r>
        <w:rPr>
          <w:rFonts w:ascii="Times New Roman;Times;serif" w:hAnsi="Times New Roman;Times;serif"/>
          <w:b/>
          <w:sz w:val="24"/>
        </w:rPr>
        <w:t>Supermajority Lenders</w:t>
      </w:r>
      <w:r>
        <w:rPr>
          <w:rFonts w:ascii="Times New Roman;Times;serif" w:hAnsi="Times New Roman;Times;serif"/>
          <w:sz w:val="20"/>
        </w:rPr>
        <w:t xml:space="preserve">” </w:t>
      </w:r>
      <w:r>
        <w:rPr>
          <w:rFonts w:ascii="Times New Roman;Times;serif" w:hAnsi="Times New Roman;Times;serif"/>
          <w:sz w:val="24"/>
        </w:rPr>
        <w:t xml:space="preserve">means at any time, Lenders (a) having Revolving Credit Exposure and unused Commitments representing more than 66 2/3% of the sum of the Total Revolving Extensions of Credit and unused Commitments of all Lenders at such time, or (b) at any time after the Commitments of all Lenders shall have been terminated, holding more than 66 2/3% of the Total Revolving Extensions of Credit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for purposes of this definition of “Supermajority Lenders”, a Lender and its Affiliates shall be deemed to be one Lender. The Revolving Credit Exposure and Commitment of any Defaulting Lender shall be disregarded in determining Supermajority Lenders at any time.</w:t>
      </w:r>
    </w:p>
    <w:p>
      <w:pPr>
        <w:pStyle w:val="TextBody"/>
        <w:bidi w:val="0"/>
        <w:spacing w:before="0" w:after="240"/>
        <w:ind w:left="0" w:right="0" w:firstLine="720"/>
        <w:jc w:val="both"/>
        <w:rPr/>
      </w:pPr>
      <w:r>
        <w:rPr/>
        <w:t>“</w:t>
      </w:r>
      <w:r>
        <w:rPr>
          <w:rFonts w:ascii="Times New Roman;Times;serif" w:hAnsi="Times New Roman;Times;serif"/>
          <w:b/>
          <w:sz w:val="24"/>
        </w:rPr>
        <w:t>Super-Priority Covenant</w:t>
      </w:r>
      <w:r>
        <w:rPr>
          <w:rFonts w:ascii="Times New Roman;Times;serif" w:hAnsi="Times New Roman;Times;serif"/>
          <w:sz w:val="20"/>
        </w:rPr>
        <w:t xml:space="preserve">” </w:t>
      </w:r>
      <w:r>
        <w:rPr>
          <w:rFonts w:ascii="Times New Roman;Times;serif" w:hAnsi="Times New Roman;Times;serif"/>
          <w:sz w:val="24"/>
        </w:rPr>
        <w:t xml:space="preserve">means, collectively, (a) clause (iv) in the last paragraph of </w:t>
      </w:r>
      <w:r>
        <w:rPr>
          <w:rFonts w:ascii="Times New Roman;Times;serif" w:hAnsi="Times New Roman;Times;serif"/>
          <w:sz w:val="24"/>
          <w:u w:val="single"/>
        </w:rPr>
        <w:t>Section 6.01</w:t>
      </w:r>
      <w:r>
        <w:rPr>
          <w:rFonts w:ascii="Times New Roman;Times;serif" w:hAnsi="Times New Roman;Times;serif"/>
          <w:sz w:val="20"/>
        </w:rPr>
        <w:t xml:space="preserve"> </w:t>
      </w:r>
      <w:r>
        <w:rPr>
          <w:rFonts w:ascii="Times New Roman;Times;serif" w:hAnsi="Times New Roman;Times;serif"/>
          <w:sz w:val="24"/>
        </w:rPr>
        <w:t xml:space="preserve">and (b) clause (ii) in the last paragraph of </w:t>
      </w:r>
      <w:r>
        <w:rPr>
          <w:rFonts w:ascii="Times New Roman;Times;serif" w:hAnsi="Times New Roman;Times;serif"/>
          <w:sz w:val="24"/>
          <w:u w:val="single"/>
        </w:rPr>
        <w:t>Section 6.02</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Supplier Financing Excess Amount</w:t>
      </w:r>
      <w:r>
        <w:rPr>
          <w:rFonts w:ascii="Times New Roman;Times;serif" w:hAnsi="Times New Roman;Times;serif"/>
          <w:sz w:val="20"/>
        </w:rPr>
        <w:t xml:space="preserve">” </w:t>
      </w:r>
      <w:r>
        <w:rPr>
          <w:rFonts w:ascii="Times New Roman;Times;serif" w:hAnsi="Times New Roman;Times;serif"/>
          <w:sz w:val="24"/>
        </w:rPr>
        <w:t>has the meaning specified in</w:t>
      </w:r>
      <w:r>
        <w:rPr>
          <w:rFonts w:ascii="Times New Roman;Times;serif" w:hAnsi="Times New Roman;Times;serif"/>
          <w:sz w:val="20"/>
          <w:u w:val="single"/>
        </w:rPr>
        <w:t xml:space="preserve"> </w:t>
      </w:r>
      <w:r>
        <w:rPr>
          <w:rFonts w:ascii="Times New Roman;Times;serif" w:hAnsi="Times New Roman;Times;serif"/>
          <w:sz w:val="24"/>
          <w:u w:val="single"/>
        </w:rPr>
        <w:t>Section 6.01(k)</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Supported QFC</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Swap Agreement</w:t>
      </w:r>
      <w:r>
        <w:rPr>
          <w:rFonts w:ascii="Times New Roman;Times;serif" w:hAnsi="Times New Roman;Times;serif"/>
          <w:sz w:val="20"/>
        </w:rPr>
        <w:t xml:space="preserve">” </w:t>
      </w:r>
      <w:r>
        <w:rPr>
          <w:rFonts w:ascii="Times New Roman;Times;serif" w:hAnsi="Times New Roman;Times;serif"/>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phantom stock or similar plan providing for payments only on account of services provided by current or former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directors, officers, employees or consultants of the Parent or its Subsidiaries shall be a Swap Agreement.</w:t>
      </w:r>
    </w:p>
    <w:p>
      <w:pPr>
        <w:pStyle w:val="TextBody"/>
        <w:bidi w:val="0"/>
        <w:spacing w:before="0" w:after="240"/>
        <w:ind w:left="0" w:right="0" w:firstLine="720"/>
        <w:jc w:val="both"/>
        <w:rPr/>
      </w:pPr>
      <w:r>
        <w:rPr/>
        <w:t>“</w:t>
      </w:r>
      <w:r>
        <w:rPr>
          <w:rFonts w:ascii="Times New Roman;Times;serif" w:hAnsi="Times New Roman;Times;serif"/>
          <w:b/>
          <w:sz w:val="24"/>
        </w:rPr>
        <w:t>Swap Obligation</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Swiss CO</w:t>
      </w:r>
      <w:r>
        <w:rPr>
          <w:rFonts w:ascii="Times New Roman;Times;serif" w:hAnsi="Times New Roman;Times;serif"/>
          <w:sz w:val="20"/>
        </w:rPr>
        <w:t xml:space="preserve">” </w:t>
      </w:r>
      <w:r>
        <w:rPr>
          <w:rFonts w:ascii="Times New Roman;Times;serif" w:hAnsi="Times New Roman;Times;serif"/>
          <w:sz w:val="24"/>
        </w:rPr>
        <w:t>shall mean the Swiss Code of Obligations of March 30, 1911 (</w:t>
      </w:r>
      <w:r>
        <w:rPr>
          <w:rFonts w:ascii="Times New Roman;Times;serif" w:hAnsi="Times New Roman;Times;serif"/>
          <w:i/>
          <w:sz w:val="24"/>
        </w:rPr>
        <w:t>Obligationenrecht</w:t>
      </w:r>
      <w:r>
        <w:rPr>
          <w:rFonts w:ascii="Times New Roman;Times;serif" w:hAnsi="Times New Roman;Times;serif"/>
          <w:sz w:val="24"/>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4"/>
        </w:rPr>
        <w:t>Swiss DEBA</w:t>
      </w:r>
      <w:r>
        <w:rPr>
          <w:rFonts w:ascii="Times New Roman;Times;serif" w:hAnsi="Times New Roman;Times;serif"/>
          <w:sz w:val="20"/>
        </w:rPr>
        <w:t xml:space="preserve">” </w:t>
      </w:r>
      <w:r>
        <w:rPr>
          <w:rFonts w:ascii="Times New Roman;Times;serif" w:hAnsi="Times New Roman;Times;serif"/>
          <w:sz w:val="24"/>
        </w:rPr>
        <w:t>shall mean the Swiss Federal Act of April 11, 1889 on Debt Enforcement and Bankruptcy (</w:t>
      </w:r>
      <w:r>
        <w:rPr>
          <w:rFonts w:ascii="Times New Roman;Times;serif" w:hAnsi="Times New Roman;Times;serif"/>
          <w:i/>
          <w:sz w:val="24"/>
        </w:rPr>
        <w:t>Bundesgesetz über Schuldbetreibung und Konkurs</w:t>
      </w:r>
      <w:r>
        <w:rPr>
          <w:rFonts w:ascii="Times New Roman;Times;serif" w:hAnsi="Times New Roman;Times;serif"/>
          <w:sz w:val="24"/>
        </w:rPr>
        <w:t>), as amended from time to time.</w:t>
      </w:r>
    </w:p>
    <w:p>
      <w:pPr>
        <w:pStyle w:val="TextBody"/>
        <w:bidi w:val="0"/>
        <w:spacing w:before="0" w:after="240"/>
        <w:ind w:left="0" w:right="0" w:firstLine="720"/>
        <w:jc w:val="both"/>
        <w:rPr/>
      </w:pPr>
      <w:r>
        <w:rPr/>
        <w:t>“</w:t>
      </w:r>
      <w:r>
        <w:rPr>
          <w:rFonts w:ascii="Times New Roman;Times;serif" w:hAnsi="Times New Roman;Times;serif"/>
          <w:b/>
          <w:sz w:val="24"/>
        </w:rPr>
        <w:t>Swiss Federal Tax Administration</w:t>
      </w:r>
      <w:r>
        <w:rPr>
          <w:rFonts w:ascii="Times New Roman;Times;serif" w:hAnsi="Times New Roman;Times;serif"/>
          <w:sz w:val="20"/>
        </w:rPr>
        <w:t xml:space="preserve">” </w:t>
      </w:r>
      <w:r>
        <w:rPr>
          <w:rFonts w:ascii="Times New Roman;Times;serif" w:hAnsi="Times New Roman;Times;serif"/>
          <w:sz w:val="24"/>
        </w:rPr>
        <w:t>means the tax authorities referred to in art. 34 of the Swiss Withholding Tax Act.</w:t>
      </w:r>
    </w:p>
    <w:p>
      <w:pPr>
        <w:pStyle w:val="TextBody"/>
        <w:bidi w:val="0"/>
        <w:spacing w:before="0" w:after="240"/>
        <w:ind w:left="0" w:right="0" w:firstLine="720"/>
        <w:jc w:val="both"/>
        <w:rPr/>
      </w:pPr>
      <w:r>
        <w:rPr/>
        <w:t>“</w:t>
      </w:r>
      <w:r>
        <w:rPr>
          <w:rFonts w:ascii="Times New Roman;Times;serif" w:hAnsi="Times New Roman;Times;serif"/>
          <w:b/>
          <w:sz w:val="24"/>
        </w:rPr>
        <w:t>Swiss Limitation</w:t>
      </w:r>
      <w:r>
        <w:rPr>
          <w:rFonts w:ascii="Times New Roman;Times;serif" w:hAnsi="Times New Roman;Times;serif"/>
          <w:sz w:val="20"/>
        </w:rPr>
        <w:t xml:space="preserve">” </w:t>
      </w:r>
      <w:r>
        <w:rPr>
          <w:rFonts w:ascii="Times New Roman;Times;serif" w:hAnsi="Times New Roman;Times;serif"/>
          <w:sz w:val="24"/>
        </w:rPr>
        <w:t xml:space="preserve">has the meaning given to that term in </w:t>
      </w:r>
      <w:r>
        <w:rPr>
          <w:rFonts w:ascii="Times New Roman;Times;serif" w:hAnsi="Times New Roman;Times;serif"/>
          <w:sz w:val="24"/>
          <w:u w:val="single"/>
        </w:rPr>
        <w:t>Section 9.12(a)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Swiss Loan Party</w:t>
      </w:r>
      <w:r>
        <w:rPr>
          <w:rFonts w:ascii="Times New Roman;Times;serif" w:hAnsi="Times New Roman;Times;serif"/>
          <w:sz w:val="20"/>
        </w:rPr>
        <w:t xml:space="preserve">” </w:t>
      </w:r>
      <w:r>
        <w:rPr>
          <w:rFonts w:ascii="Times New Roman;Times;serif" w:hAnsi="Times New Roman;Times;serif"/>
          <w:sz w:val="24"/>
        </w:rPr>
        <w:t>means a Loan Party that is incorporated or organized under the laws of Switzerland, or, if different, a Loan Party which is treated as resident in Switzerland for Swiss Withholding Tax purposes and any future Guarantor or security provider under this Agreement or Loan Documents incorporated under the laws of Switzerland or, if different, a Guarantor or security provider which is treated as resident in Switzerland for Swiss Withholding Tax purposes.</w:t>
      </w:r>
    </w:p>
    <w:p>
      <w:pPr>
        <w:pStyle w:val="TextBody"/>
        <w:bidi w:val="0"/>
        <w:spacing w:before="0" w:after="240"/>
        <w:ind w:left="0" w:right="0" w:firstLine="720"/>
        <w:jc w:val="both"/>
        <w:rPr/>
      </w:pPr>
      <w:r>
        <w:rPr/>
        <w:t>“</w:t>
      </w:r>
      <w:r>
        <w:rPr>
          <w:rFonts w:ascii="Times New Roman;Times;serif" w:hAnsi="Times New Roman;Times;serif"/>
          <w:b/>
          <w:sz w:val="24"/>
        </w:rPr>
        <w:t>Swiss Restricted Obligations</w:t>
      </w:r>
      <w:r>
        <w:rPr>
          <w:rFonts w:ascii="Times New Roman;Times;serif" w:hAnsi="Times New Roman;Times;serif"/>
          <w:sz w:val="20"/>
        </w:rPr>
        <w:t xml:space="preserve">” </w:t>
      </w:r>
      <w:r>
        <w:rPr>
          <w:rFonts w:ascii="Times New Roman;Times;serif" w:hAnsi="Times New Roman;Times;serif"/>
          <w:sz w:val="24"/>
        </w:rPr>
        <w:t xml:space="preserve">has the meaning given to that term in </w:t>
      </w:r>
      <w:r>
        <w:rPr>
          <w:rFonts w:ascii="Times New Roman;Times;serif" w:hAnsi="Times New Roman;Times;serif"/>
          <w:sz w:val="24"/>
          <w:u w:val="single"/>
        </w:rPr>
        <w:t>Section 9.12(a)</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Swiss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set forth in Section 4(j)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“Switzerland” which agreements shall be granted in accordance with the Agreed Security Principles, in each case as may be amended, restated, supplemented or otherwise modified from time to time, and any other security agreement, pledge agreement or similar document governed by the laws of Switzerland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Swiss Withholding Tax</w:t>
      </w:r>
      <w:r>
        <w:rPr>
          <w:rFonts w:ascii="Times New Roman;Times;serif" w:hAnsi="Times New Roman;Times;serif"/>
          <w:sz w:val="20"/>
        </w:rPr>
        <w:t xml:space="preserve">” </w:t>
      </w:r>
      <w:r>
        <w:rPr>
          <w:rFonts w:ascii="Times New Roman;Times;serif" w:hAnsi="Times New Roman;Times;serif"/>
          <w:sz w:val="24"/>
        </w:rPr>
        <w:t>means any taxes levied pursuant to the Swiss Withholding Tax Act.</w:t>
      </w:r>
    </w:p>
    <w:p>
      <w:pPr>
        <w:pStyle w:val="TextBody"/>
        <w:bidi w:val="0"/>
        <w:spacing w:before="0" w:after="240"/>
        <w:ind w:left="0" w:right="0" w:firstLine="720"/>
        <w:jc w:val="both"/>
        <w:rPr/>
      </w:pPr>
      <w:r>
        <w:rPr/>
        <w:t>“</w:t>
      </w:r>
      <w:r>
        <w:rPr>
          <w:rFonts w:ascii="Times New Roman;Times;serif" w:hAnsi="Times New Roman;Times;serif"/>
          <w:b/>
          <w:sz w:val="24"/>
        </w:rPr>
        <w:t>Swiss Withholding Tax Act</w:t>
      </w:r>
      <w:r>
        <w:rPr>
          <w:rFonts w:ascii="Times New Roman;Times;serif" w:hAnsi="Times New Roman;Times;serif"/>
          <w:sz w:val="20"/>
        </w:rPr>
        <w:t xml:space="preserve">” </w:t>
      </w:r>
      <w:r>
        <w:rPr>
          <w:rFonts w:ascii="Times New Roman;Times;serif" w:hAnsi="Times New Roman;Times;serif"/>
          <w:sz w:val="24"/>
        </w:rPr>
        <w:t>means the Swiss Federal Act on the Withholding Tax of 13 October 1965, SR 642.21 (</w:t>
      </w:r>
      <w:r>
        <w:rPr>
          <w:rFonts w:ascii="Times New Roman;Times;serif" w:hAnsi="Times New Roman;Times;serif"/>
          <w:i/>
          <w:sz w:val="24"/>
        </w:rPr>
        <w:t>Bundesgesetz über die Verrechnungssteuer, SR 642.21</w:t>
      </w:r>
      <w:r>
        <w:rPr>
          <w:rFonts w:ascii="Times New Roman;Times;serif" w:hAnsi="Times New Roman;Times;serif"/>
          <w:sz w:val="24"/>
        </w:rPr>
        <w:t>), together with the related ordinances, regulations and guidelines, all as issued, amended, replaced and applicable from time to time.</w:t>
      </w:r>
    </w:p>
    <w:p>
      <w:pPr>
        <w:pStyle w:val="TextBody"/>
        <w:bidi w:val="0"/>
        <w:spacing w:before="0" w:after="240"/>
        <w:ind w:left="0" w:right="0" w:firstLine="720"/>
        <w:jc w:val="both"/>
        <w:rPr/>
      </w:pPr>
      <w:r>
        <w:rPr/>
        <w:t>“</w:t>
      </w:r>
      <w:r>
        <w:rPr>
          <w:rFonts w:ascii="Times New Roman;Times;serif" w:hAnsi="Times New Roman;Times;serif"/>
          <w:b/>
          <w:sz w:val="24"/>
        </w:rPr>
        <w:t>T2</w:t>
      </w:r>
      <w:r>
        <w:rPr>
          <w:rFonts w:ascii="Times New Roman;Times;serif" w:hAnsi="Times New Roman;Times;serif"/>
          <w:sz w:val="20"/>
        </w:rPr>
        <w:t xml:space="preserve">” </w:t>
      </w:r>
      <w:r>
        <w:rPr>
          <w:rFonts w:ascii="Times New Roman;Times;serif" w:hAnsi="Times New Roman;Times;serif"/>
          <w:sz w:val="24"/>
        </w:rPr>
        <w:t>means the real time gross settlement system operated by the Eurosystem, or any successor system.</w:t>
      </w:r>
    </w:p>
    <w:p>
      <w:pPr>
        <w:pStyle w:val="TextBody"/>
        <w:bidi w:val="0"/>
        <w:spacing w:before="0" w:after="240"/>
        <w:ind w:left="0" w:right="0" w:firstLine="720"/>
        <w:jc w:val="both"/>
        <w:rPr/>
      </w:pPr>
      <w:r>
        <w:rPr/>
        <w:t>“</w:t>
      </w:r>
      <w:r>
        <w:rPr>
          <w:rFonts w:ascii="Times New Roman;Times;serif" w:hAnsi="Times New Roman;Times;serif"/>
          <w:b/>
          <w:sz w:val="24"/>
        </w:rPr>
        <w:t>Taiwan</w:t>
      </w:r>
      <w:r>
        <w:rPr>
          <w:rFonts w:ascii="Times New Roman;Times;serif" w:hAnsi="Times New Roman;Times;serif"/>
          <w:sz w:val="20"/>
        </w:rPr>
        <w:t xml:space="preserve">” </w:t>
      </w:r>
      <w:r>
        <w:rPr>
          <w:rFonts w:ascii="Times New Roman;Times;serif" w:hAnsi="Times New Roman;Times;serif"/>
          <w:sz w:val="24"/>
        </w:rPr>
        <w:t>means the Republic of China, Taiwan.</w:t>
      </w:r>
    </w:p>
    <w:p>
      <w:pPr>
        <w:pStyle w:val="TextBody"/>
        <w:bidi w:val="0"/>
        <w:spacing w:before="0" w:after="240"/>
        <w:ind w:left="0" w:right="0" w:firstLine="720"/>
        <w:jc w:val="both"/>
        <w:rPr/>
      </w:pPr>
      <w:r>
        <w:rPr/>
        <w:t>“</w:t>
      </w:r>
      <w:r>
        <w:rPr>
          <w:rFonts w:ascii="Times New Roman;Times;serif" w:hAnsi="Times New Roman;Times;serif"/>
          <w:b/>
          <w:sz w:val="24"/>
        </w:rPr>
        <w:t>Taiwan Security Documents</w:t>
      </w:r>
      <w:r>
        <w:rPr>
          <w:rFonts w:ascii="Times New Roman;Times;serif" w:hAnsi="Times New Roman;Times;serif"/>
          <w:sz w:val="20"/>
        </w:rPr>
        <w:t xml:space="preserve">” </w:t>
      </w:r>
      <w:r>
        <w:rPr>
          <w:rFonts w:ascii="Times New Roman;Times;serif" w:hAnsi="Times New Roman;Times;serif"/>
          <w:sz w:val="24"/>
        </w:rPr>
        <w:t xml:space="preserve">means the deed set forth in Section 4(k)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“Taiwan” which deed shall be granted in accordance with the Agreed Security Principles, in each case as may be amended, restated, supplemented or otherwise modified from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time to time, and any other security agreement, pledge agreement or similar document governed by the laws of Taiwan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Taiwan Loan Party</w:t>
      </w:r>
      <w:r>
        <w:rPr>
          <w:rFonts w:ascii="Times New Roman;Times;serif" w:hAnsi="Times New Roman;Times;serif"/>
          <w:sz w:val="20"/>
        </w:rPr>
        <w:t xml:space="preserve">” </w:t>
      </w:r>
      <w:r>
        <w:rPr>
          <w:rFonts w:ascii="Times New Roman;Times;serif" w:hAnsi="Times New Roman;Times;serif"/>
          <w:sz w:val="24"/>
        </w:rPr>
        <w:t>means a Loan Party that is incorporated in Taiwan.</w:t>
      </w:r>
    </w:p>
    <w:p>
      <w:pPr>
        <w:pStyle w:val="TextBody"/>
        <w:bidi w:val="0"/>
        <w:spacing w:before="0" w:after="240"/>
        <w:ind w:left="0" w:right="0" w:firstLine="720"/>
        <w:jc w:val="both"/>
        <w:rPr/>
      </w:pPr>
      <w:r>
        <w:rPr/>
        <w:t>“</w:t>
      </w:r>
      <w:r>
        <w:rPr>
          <w:rFonts w:ascii="Times New Roman;Times;serif" w:hAnsi="Times New Roman;Times;serif"/>
          <w:b/>
          <w:sz w:val="24"/>
        </w:rPr>
        <w:t>TARGET Day</w:t>
      </w:r>
      <w:r>
        <w:rPr>
          <w:rFonts w:ascii="Times New Roman;Times;serif" w:hAnsi="Times New Roman;Times;serif"/>
          <w:sz w:val="20"/>
        </w:rPr>
        <w:t xml:space="preserve">” </w:t>
      </w:r>
      <w:r>
        <w:rPr>
          <w:rFonts w:ascii="Times New Roman;Times;serif" w:hAnsi="Times New Roman;Times;serif"/>
          <w:sz w:val="24"/>
        </w:rPr>
        <w:t>means</w:t>
      </w:r>
      <w:r>
        <w:rPr>
          <w:rFonts w:ascii="Times New Roman;Times;serif" w:hAnsi="Times New Roman;Times;serif"/>
          <w:sz w:val="20"/>
        </w:rPr>
        <w:t xml:space="preserve"> </w:t>
      </w:r>
      <w:r>
        <w:rPr>
          <w:rFonts w:ascii="Times New Roman;Times;serif" w:hAnsi="Times New Roman;Times;serif"/>
          <w:sz w:val="24"/>
        </w:rPr>
        <w:t>any day on which T2 is open for the settlement of payments in Euro.</w:t>
      </w:r>
    </w:p>
    <w:p>
      <w:pPr>
        <w:pStyle w:val="TextBody"/>
        <w:bidi w:val="0"/>
        <w:spacing w:before="0" w:after="240"/>
        <w:ind w:left="0" w:right="0" w:firstLine="720"/>
        <w:jc w:val="both"/>
        <w:rPr/>
      </w:pPr>
      <w:r>
        <w:rPr/>
        <w:t>“</w:t>
      </w:r>
      <w:r>
        <w:rPr>
          <w:rFonts w:ascii="Times New Roman;Times;serif" w:hAnsi="Times New Roman;Times;serif"/>
          <w:b/>
          <w:sz w:val="24"/>
        </w:rPr>
        <w:t>Tax Receivable Agreement</w:t>
      </w:r>
      <w:r>
        <w:rPr>
          <w:rFonts w:ascii="Times New Roman;Times;serif" w:hAnsi="Times New Roman;Times;serif"/>
          <w:sz w:val="20"/>
        </w:rPr>
        <w:t xml:space="preserve">” </w:t>
      </w:r>
      <w:r>
        <w:rPr>
          <w:rFonts w:ascii="Times New Roman;Times;serif" w:hAnsi="Times New Roman;Times;serif"/>
          <w:sz w:val="24"/>
        </w:rPr>
        <w:t>means that certain Tax Receivable Agreement, dated as of October 27, 2021, among the Parent, the Parent Borrower and the other parties thereto, as the same may hereafter be modified, supplemented, extended, amended, restated or amended and restated from time to time.</w:t>
      </w:r>
    </w:p>
    <w:p>
      <w:pPr>
        <w:pStyle w:val="TextBody"/>
        <w:bidi w:val="0"/>
        <w:spacing w:before="0" w:after="240"/>
        <w:ind w:left="0" w:right="0" w:firstLine="720"/>
        <w:jc w:val="both"/>
        <w:rPr/>
      </w:pPr>
      <w:r>
        <w:rPr/>
        <w:t>“</w:t>
      </w:r>
      <w:r>
        <w:rPr>
          <w:rFonts w:ascii="Times New Roman;Times;serif" w:hAnsi="Times New Roman;Times;serif"/>
          <w:b/>
          <w:sz w:val="24"/>
        </w:rPr>
        <w:t>Taxes</w:t>
      </w:r>
      <w:r>
        <w:rPr>
          <w:rFonts w:ascii="Times New Roman;Times;serif" w:hAnsi="Times New Roman;Times;serif"/>
          <w:sz w:val="20"/>
        </w:rPr>
        <w:t xml:space="preserve">” </w:t>
      </w:r>
      <w:r>
        <w:rPr>
          <w:rFonts w:ascii="Times New Roman;Times;serif" w:hAnsi="Times New Roman;Times;serif"/>
          <w:sz w:val="24"/>
        </w:rPr>
        <w:t>means any and all present or future taxes, levies, imposts, duties, deductions, goods and services tax (including Indirect Tax), charges,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b/>
          <w:sz w:val="24"/>
        </w:rPr>
        <w:t>Term Benchmark</w:t>
      </w:r>
      <w:r>
        <w:rPr>
          <w:rFonts w:ascii="Times New Roman;Times;serif" w:hAnsi="Times New Roman;Times;serif"/>
          <w:sz w:val="20"/>
        </w:rPr>
        <w:t xml:space="preserve">” </w:t>
      </w:r>
      <w:r>
        <w:rPr>
          <w:rFonts w:ascii="Times New Roman;Times;serif" w:hAnsi="Times New Roman;Times;serif"/>
          <w:sz w:val="24"/>
        </w:rPr>
        <w:t>when used in reference to any Loan or Borrowing, refers to whether such Loan, or the Loans comprising such Borrowing, are bearing interest at a rate determined by reference to the Term SOFR Rate or the Adjusted EURIBOR Rate.</w:t>
      </w:r>
    </w:p>
    <w:p>
      <w:pPr>
        <w:pStyle w:val="TextBody"/>
        <w:bidi w:val="0"/>
        <w:spacing w:before="0" w:after="240"/>
        <w:ind w:left="0" w:right="0" w:firstLine="720"/>
        <w:jc w:val="both"/>
        <w:rPr/>
      </w:pPr>
      <w:r>
        <w:rPr/>
        <w:t>“</w:t>
      </w:r>
      <w:r>
        <w:rPr>
          <w:rFonts w:ascii="Times New Roman;Times;serif" w:hAnsi="Times New Roman;Times;serif"/>
          <w:b/>
          <w:sz w:val="24"/>
        </w:rPr>
        <w:t>Term SOFR Determination Day</w:t>
      </w:r>
      <w:r>
        <w:rPr>
          <w:rFonts w:ascii="Times New Roman;Times;serif" w:hAnsi="Times New Roman;Times;serif"/>
          <w:sz w:val="20"/>
        </w:rPr>
        <w:t xml:space="preserve">” </w:t>
      </w:r>
      <w:r>
        <w:rPr>
          <w:rFonts w:ascii="Times New Roman;Times;serif" w:hAnsi="Times New Roman;Times;serif"/>
          <w:sz w:val="24"/>
        </w:rPr>
        <w:t>has the meaning specified under the definition of Term SOFR Reference Rate.</w:t>
      </w:r>
    </w:p>
    <w:p>
      <w:pPr>
        <w:pStyle w:val="TextBody"/>
        <w:bidi w:val="0"/>
        <w:spacing w:before="0" w:after="240"/>
        <w:ind w:left="0" w:right="0" w:firstLine="720"/>
        <w:jc w:val="both"/>
        <w:rPr/>
      </w:pPr>
      <w:r>
        <w:rPr/>
        <w:t>“</w:t>
      </w:r>
      <w:r>
        <w:rPr>
          <w:rFonts w:ascii="Times New Roman;Times;serif" w:hAnsi="Times New Roman;Times;serif"/>
          <w:b/>
          <w:sz w:val="24"/>
        </w:rPr>
        <w:t>Term SOFR Rate</w:t>
      </w:r>
      <w:r>
        <w:rPr>
          <w:rFonts w:ascii="Times New Roman;Times;serif" w:hAnsi="Times New Roman;Times;serif"/>
          <w:sz w:val="20"/>
        </w:rPr>
        <w:t xml:space="preserve">” </w:t>
      </w:r>
      <w:r>
        <w:rPr>
          <w:rFonts w:ascii="Times New Roman;Times;serif" w:hAnsi="Times New Roman;Times;serif"/>
          <w:sz w:val="24"/>
        </w:rPr>
        <w:t xml:space="preserve">means, with respect to any Term Benchmark Borrowing denominated in Dollars and for any tenor comparable to the applicable Interest Period, the Term SOFR Reference Rate at approximately 8:00 a.m., New York time, two U.S. Government Securities Business Days prior to the commencement of such tenor comparable to the applicable Interest Period, as such rate is published by the CME Term SOFR Administrator;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Term SOFR Rate as so determined would be less than the Floor, such rate shall be deemed to be the Floor for the purposes of this Agreement.</w:t>
      </w:r>
    </w:p>
    <w:p>
      <w:pPr>
        <w:pStyle w:val="TextBody"/>
        <w:bidi w:val="0"/>
        <w:spacing w:before="0" w:after="240"/>
        <w:ind w:left="0" w:right="0" w:firstLine="720"/>
        <w:jc w:val="both"/>
        <w:rPr/>
      </w:pPr>
      <w:r>
        <w:rPr/>
        <w:t>“</w:t>
      </w:r>
      <w:r>
        <w:rPr>
          <w:rFonts w:ascii="Times New Roman;Times;serif" w:hAnsi="Times New Roman;Times;serif"/>
          <w:b/>
          <w:sz w:val="24"/>
        </w:rPr>
        <w:t>Term SOFR Reference Rate</w:t>
      </w:r>
      <w:r>
        <w:rPr>
          <w:rFonts w:ascii="Times New Roman;Times;serif" w:hAnsi="Times New Roman;Times;serif"/>
          <w:sz w:val="20"/>
        </w:rPr>
        <w:t xml:space="preserve">” </w:t>
      </w:r>
      <w:r>
        <w:rPr>
          <w:rFonts w:ascii="Times New Roman;Times;serif" w:hAnsi="Times New Roman;Times;serif"/>
          <w:sz w:val="24"/>
        </w:rPr>
        <w:t>means, for any day and time (such day, the “</w:t>
      </w:r>
      <w:r>
        <w:rPr>
          <w:rFonts w:ascii="Times New Roman;Times;serif" w:hAnsi="Times New Roman;Times;serif"/>
          <w:b/>
          <w:sz w:val="24"/>
        </w:rPr>
        <w:t>Term SOFR Determination Da</w:t>
      </w:r>
      <w:r>
        <w:rPr>
          <w:rFonts w:ascii="Times New Roman;Times;serif" w:hAnsi="Times New Roman;Times;serif"/>
          <w:b/>
          <w:i/>
          <w:sz w:val="24"/>
        </w:rPr>
        <w:t>y</w:t>
      </w:r>
      <w:r>
        <w:rPr>
          <w:rFonts w:ascii="Times New Roman;Times;serif" w:hAnsi="Times New Roman;Times;serif"/>
          <w:sz w:val="20"/>
        </w:rPr>
        <w:t>”</w:t>
      </w:r>
      <w:r>
        <w:rPr>
          <w:rFonts w:ascii="Times New Roman;Times;serif" w:hAnsi="Times New Roman;Times;serif"/>
          <w:sz w:val="24"/>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Total Assets</w:t>
      </w:r>
      <w:r>
        <w:rPr>
          <w:rFonts w:ascii="Times New Roman;Times;serif" w:hAnsi="Times New Roman;Times;serif"/>
          <w:sz w:val="20"/>
        </w:rPr>
        <w:t xml:space="preserve">” </w:t>
      </w:r>
      <w:r>
        <w:rPr>
          <w:rFonts w:ascii="Times New Roman;Times;serif" w:hAnsi="Times New Roman;Times;serif"/>
          <w:sz w:val="24"/>
        </w:rPr>
        <w:t xml:space="preserve">means, as of any date of determination, the total assets of the Parent and its Subsidiaries, on a consolidated basis in accordance with GAAP, as shown on the most recent balance sheet of the Parent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Total Liquidity</w:t>
      </w:r>
      <w:r>
        <w:rPr>
          <w:rFonts w:ascii="Times New Roman;Times;serif" w:hAnsi="Times New Roman;Times;serif"/>
          <w:sz w:val="20"/>
        </w:rPr>
        <w:t xml:space="preserve">” </w:t>
      </w:r>
      <w:r>
        <w:rPr>
          <w:rFonts w:ascii="Times New Roman;Times;serif" w:hAnsi="Times New Roman;Times;serif"/>
          <w:sz w:val="24"/>
        </w:rPr>
        <w:t xml:space="preserve">means, at any time and subject to </w:t>
      </w:r>
      <w:r>
        <w:rPr>
          <w:rFonts w:ascii="Times New Roman;Times;serif" w:hAnsi="Times New Roman;Times;serif"/>
          <w:sz w:val="24"/>
          <w:u w:val="single"/>
        </w:rPr>
        <w:t>Section 6.01(k</w:t>
      </w:r>
      <w:r>
        <w:rPr>
          <w:rFonts w:ascii="Times New Roman;Times;serif" w:hAnsi="Times New Roman;Times;serif"/>
          <w:sz w:val="24"/>
        </w:rPr>
        <w:t xml:space="preserve">), the sum of (a) all cash and Cash Equivalents (other than any </w:t>
      </w:r>
      <w:r>
        <w:rPr>
          <w:rFonts w:ascii="Times New Roman;Times;serif" w:hAnsi="Times New Roman;Times;serif"/>
          <w:b/>
          <w:color w:val="0000FF"/>
          <w:sz w:val="24"/>
        </w:rPr>
        <w:t>Specified Cash Collateral or any</w:t>
      </w:r>
      <w:r>
        <w:rPr>
          <w:rFonts w:ascii="Times New Roman;Times;serif" w:hAnsi="Times New Roman;Times;serif"/>
          <w:color w:val="0000FF"/>
          <w:sz w:val="20"/>
          <w:u w:val="single"/>
        </w:rPr>
        <w:t xml:space="preserve"> </w:t>
      </w:r>
      <w:r>
        <w:rPr>
          <w:rFonts w:ascii="Times New Roman;Times;serif" w:hAnsi="Times New Roman;Times;serif"/>
          <w:sz w:val="24"/>
        </w:rPr>
        <w:t xml:space="preserve">Restricted Cash) in Agreed Currencies of (i) the U.S. Loan Parties to the extent that such cash and Cash Equivalents are held in Controlled Accounts maintained by a branch office of the depository bank or securities intermediary located within the United States and which are, in each case, subject to a first priority perfected Lien in favor of the Administrative Agent and subject to a Control Agreement (which Control Agreement requirement shall not be required with respect to such cash and Cash Equivalents (other than any Restricted Cash) until the date that is 90 days (or such later date as the </w:t>
      </w:r>
      <w:r>
        <w:rPr>
          <w:rFonts w:ascii="Times New Roman;Times;serif" w:hAnsi="Times New Roman;Times;serif"/>
          <w:b/>
          <w:color w:val="FF0000"/>
          <w:sz w:val="24"/>
        </w:rPr>
        <w:t>Collateral</w:t>
      </w:r>
      <w:r>
        <w:rPr>
          <w:rFonts w:ascii="Times New Roman;Times;serif" w:hAnsi="Times New Roman;Times;serif"/>
          <w:b/>
          <w:color w:val="0000FF"/>
          <w:sz w:val="24"/>
        </w:rPr>
        <w:t>Administrative</w:t>
      </w:r>
      <w:r>
        <w:rPr>
          <w:rFonts w:ascii="Times New Roman;Times;serif" w:hAnsi="Times New Roman;Times;serif"/>
          <w:sz w:val="20"/>
        </w:rPr>
        <w:t xml:space="preserve"> </w:t>
      </w:r>
      <w:r>
        <w:rPr>
          <w:rFonts w:ascii="Times New Roman;Times;serif" w:hAnsi="Times New Roman;Times;serif"/>
          <w:sz w:val="24"/>
        </w:rPr>
        <w:t xml:space="preserve">Agent may in its reasonable discretion agree) after (x) (in the case of Controlled Accounts existing as of the Amendment No. 3 Effective Date) the Amendment No. 3 Effective Date or (y) (in the case of a Controlled Account opened after the Amendment No. 3 Effective Date) the date such account is opened), and (ii) the Foreign Loan Parties to the extent that such cash and Cash Equivalents are held in Controlled Accounts (which Control Agreement requirement shall not be required with respect to such cash and Cash Equivalents (other than any Restricted Cash) until the date that is 90 days (or such later date as the </w:t>
      </w:r>
      <w:r>
        <w:rPr>
          <w:rFonts w:ascii="Times New Roman;Times;serif" w:hAnsi="Times New Roman;Times;serif"/>
          <w:b/>
          <w:color w:val="FF0000"/>
          <w:sz w:val="24"/>
        </w:rPr>
        <w:t>Collateral</w:t>
      </w:r>
      <w:r>
        <w:rPr>
          <w:rFonts w:ascii="Times New Roman;Times;serif" w:hAnsi="Times New Roman;Times;serif"/>
          <w:b/>
          <w:color w:val="0000FF"/>
          <w:sz w:val="24"/>
        </w:rPr>
        <w:t>Administrative</w:t>
      </w:r>
      <w:r>
        <w:rPr>
          <w:rFonts w:ascii="Times New Roman;Times;serif" w:hAnsi="Times New Roman;Times;serif"/>
          <w:sz w:val="20"/>
        </w:rPr>
        <w:t xml:space="preserve"> </w:t>
      </w:r>
      <w:r>
        <w:rPr>
          <w:rFonts w:ascii="Times New Roman;Times;serif" w:hAnsi="Times New Roman;Times;serif"/>
          <w:sz w:val="24"/>
        </w:rPr>
        <w:t xml:space="preserve">Agent may in its reasonable discretion agree) after (x) (in the case of Controlled Accounts existing as of the Amendment No. 3 Effective Date) the Amendment No. 3 Effective Date or (y) (in the case of a Controlled Account opened after the Amendment No. 3 Effective Date) the date such account is opened), maintained with a Lender or a Permitted Third Party Bank located within such Foreign Loan Parties’ jurisdiction of incorporation or organization subject and which are, in each case, subject to a first priority perfected Lien in favor of the Administrative Agent and subject to a Control Agreement, in each case, subject to the Agreed Security Principles; </w:t>
      </w: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 xml:space="preserve">that </w:t>
      </w:r>
      <w:r>
        <w:rPr>
          <w:rFonts w:ascii="Times New Roman;Times;serif" w:hAnsi="Times New Roman;Times;serif"/>
          <w:b/>
          <w:color w:val="FF0000"/>
          <w:sz w:val="24"/>
        </w:rPr>
        <w:t>(a)</w:t>
      </w:r>
      <w:r>
        <w:rPr>
          <w:rFonts w:ascii="Times New Roman;Times;serif" w:hAnsi="Times New Roman;Times;serif"/>
          <w:color w:val="FF0000"/>
          <w:sz w:val="20"/>
        </w:rPr>
        <w:t xml:space="preserve"> </w:t>
      </w:r>
      <w:r>
        <w:rPr>
          <w:rFonts w:ascii="Times New Roman;Times;serif" w:hAnsi="Times New Roman;Times;serif"/>
          <w:sz w:val="24"/>
        </w:rPr>
        <w:t xml:space="preserve">not more than 45% of the aggregate amount of cash and Cash Equivalents included in the calculation of Total Liquidity pursuant to this clause (a) may be comprised of (A) cash and Cash Equivalents in Agreed Currencies other than Dollars, (B) cash and Cash Equivalents of Foreign Loan Parties or (C) cash and Cash Equivalents held in Controlled Accounts outside of the United States, </w:t>
      </w:r>
      <w:r>
        <w:rPr>
          <w:rFonts w:ascii="Times New Roman;Times;serif" w:hAnsi="Times New Roman;Times;serif"/>
          <w:b/>
          <w:color w:val="FF0000"/>
          <w:sz w:val="24"/>
        </w:rPr>
        <w:t>and</w:t>
      </w:r>
      <w:r>
        <w:rPr>
          <w:rFonts w:ascii="Times New Roman;Times;serif" w:hAnsi="Times New Roman;Times;serif"/>
          <w:b/>
          <w:i/>
          <w:color w:val="0000FF"/>
          <w:sz w:val="24"/>
          <w:u w:val="single"/>
        </w:rPr>
        <w:t>plus</w:t>
      </w:r>
      <w:r>
        <w:rPr>
          <w:rFonts w:ascii="Times New Roman;Times;serif" w:hAnsi="Times New Roman;Times;serif"/>
          <w:sz w:val="20"/>
        </w:rPr>
        <w:t xml:space="preserve"> </w:t>
      </w:r>
      <w:r>
        <w:rPr>
          <w:rFonts w:ascii="Times New Roman;Times;serif" w:hAnsi="Times New Roman;Times;serif"/>
          <w:sz w:val="24"/>
        </w:rPr>
        <w:t>(b) the aggregate amount of the Revolving Loan Cap then in effect and which is then available to be drawn under this Agreement. Notwithstanding the foregoing, during the Specified Post-Closing Period,  for purposes of calculating Total Liquidity attributable to Foreign Loan Parties under clause (a)(ii) of this definition, each direct or indirect Foreign Subsidiary of Parent Borrower described as a “Guarantor” on Schedule 3.13 hereto shall be deemed to be a “Foreign Loan Party”.</w:t>
      </w:r>
    </w:p>
    <w:p>
      <w:pPr>
        <w:pStyle w:val="TextBody"/>
        <w:bidi w:val="0"/>
        <w:spacing w:before="0" w:after="240"/>
        <w:ind w:left="0" w:right="0" w:firstLine="720"/>
        <w:jc w:val="both"/>
        <w:rPr/>
      </w:pPr>
      <w:r>
        <w:rPr/>
        <w:t>“</w:t>
      </w:r>
      <w:r>
        <w:rPr>
          <w:rFonts w:ascii="Times New Roman;Times;serif" w:hAnsi="Times New Roman;Times;serif"/>
          <w:b/>
          <w:sz w:val="24"/>
        </w:rPr>
        <w:t>Total Revenues</w:t>
      </w:r>
      <w:r>
        <w:rPr>
          <w:rFonts w:ascii="Times New Roman;Times;serif" w:hAnsi="Times New Roman;Times;serif"/>
          <w:sz w:val="20"/>
        </w:rPr>
        <w:t xml:space="preserve">” </w:t>
      </w:r>
      <w:r>
        <w:rPr>
          <w:rFonts w:ascii="Times New Roman;Times;serif" w:hAnsi="Times New Roman;Times;serif"/>
          <w:sz w:val="24"/>
        </w:rPr>
        <w:t xml:space="preserve">means, as of any date of determination, the gross revenues of the Parent and its Subsidiaries, determined on a consolidated basis in accordance with GAAP, as shown on the most recent income statement of the Parent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Total Revolving Extensions of Credit</w:t>
      </w:r>
      <w:r>
        <w:rPr>
          <w:rFonts w:ascii="Times New Roman;Times;serif" w:hAnsi="Times New Roman;Times;serif"/>
          <w:sz w:val="20"/>
        </w:rPr>
        <w:t xml:space="preserve">” </w:t>
      </w:r>
      <w:r>
        <w:rPr>
          <w:rFonts w:ascii="Times New Roman;Times;serif" w:hAnsi="Times New Roman;Times;serif"/>
          <w:sz w:val="24"/>
        </w:rPr>
        <w:t>means, at any time, the Dollar Equivalent aggregate amount of the Revolving Credit Exposure of the Lenders outstanding at such time.</w:t>
      </w:r>
    </w:p>
    <w:p>
      <w:pPr>
        <w:pStyle w:val="TextBody"/>
        <w:bidi w:val="0"/>
        <w:spacing w:before="0" w:after="240"/>
        <w:ind w:left="0" w:right="0" w:firstLine="720"/>
        <w:jc w:val="both"/>
        <w:rPr/>
      </w:pPr>
      <w:r>
        <w:rPr/>
        <w:t>“</w:t>
      </w:r>
      <w:r>
        <w:rPr>
          <w:rFonts w:ascii="Times New Roman;Times;serif" w:hAnsi="Times New Roman;Times;serif"/>
          <w:b/>
          <w:sz w:val="24"/>
        </w:rPr>
        <w:t>Trademarks</w:t>
      </w:r>
      <w:r>
        <w:rPr>
          <w:rFonts w:ascii="Times New Roman;Times;serif" w:hAnsi="Times New Roman;Times;serif"/>
          <w:sz w:val="20"/>
        </w:rPr>
        <w:t xml:space="preserve">” </w:t>
      </w:r>
      <w:r>
        <w:rPr>
          <w:rFonts w:ascii="Times New Roman;Times;serif" w:hAnsi="Times New Roman;Times;serif"/>
          <w:sz w:val="24"/>
        </w:rPr>
        <w:t>has the meaning specified in the applicable Security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Transactions</w:t>
      </w:r>
      <w:r>
        <w:rPr>
          <w:rFonts w:ascii="Times New Roman;Times;serif" w:hAnsi="Times New Roman;Times;serif"/>
          <w:sz w:val="20"/>
        </w:rPr>
        <w:t xml:space="preserve">” </w:t>
      </w:r>
      <w:r>
        <w:rPr>
          <w:rFonts w:ascii="Times New Roman;Times;serif" w:hAnsi="Times New Roman;Times;serif"/>
          <w:sz w:val="24"/>
        </w:rPr>
        <w:t>means the execution, delivery and performance by the Loan Parties of each Loan Document to which it is a party, the borrowing of Loans and the issuance of Letters of Credit hereunder, the use of the proceeds thereof, and the payment of fees and expenses relating to each of the foregoing.</w:t>
      </w:r>
    </w:p>
    <w:p>
      <w:pPr>
        <w:pStyle w:val="TextBody"/>
        <w:bidi w:val="0"/>
        <w:spacing w:before="0" w:after="240"/>
        <w:ind w:left="0" w:right="0" w:firstLine="720"/>
        <w:jc w:val="both"/>
        <w:rPr/>
      </w:pPr>
      <w:r>
        <w:rPr/>
        <w:t>“</w:t>
      </w:r>
      <w:r>
        <w:rPr>
          <w:rFonts w:ascii="Times New Roman;Times;serif" w:hAnsi="Times New Roman;Times;serif"/>
          <w:b/>
          <w:sz w:val="24"/>
        </w:rPr>
        <w:t>Trigger Date</w:t>
      </w:r>
      <w:r>
        <w:rPr>
          <w:rFonts w:ascii="Times New Roman;Times;serif" w:hAnsi="Times New Roman;Times;serif"/>
          <w:sz w:val="20"/>
        </w:rPr>
        <w:t xml:space="preserve">” </w:t>
      </w:r>
      <w:r>
        <w:rPr>
          <w:rFonts w:ascii="Times New Roman;Times;serif" w:hAnsi="Times New Roman;Times;serif"/>
          <w:sz w:val="24"/>
        </w:rPr>
        <w:t xml:space="preserve">means the date that financial statements are delivered (or required to be delivered) for the period ending as of December 31, </w:t>
      </w:r>
      <w:r>
        <w:rPr>
          <w:rFonts w:ascii="Times New Roman;Times;serif" w:hAnsi="Times New Roman;Times;serif"/>
          <w:b/>
          <w:color w:val="FF0000"/>
          <w:sz w:val="24"/>
        </w:rPr>
        <w:t>2025</w:t>
      </w:r>
      <w:r>
        <w:rPr>
          <w:rFonts w:ascii="Times New Roman;Times;serif" w:hAnsi="Times New Roman;Times;serif"/>
          <w:b/>
          <w:color w:val="0000FF"/>
          <w:sz w:val="24"/>
        </w:rPr>
        <w:t>2026</w:t>
      </w:r>
      <w:r>
        <w:rPr>
          <w:rFonts w:ascii="Times New Roman;Times;serif" w:hAnsi="Times New Roman;Times;serif"/>
          <w:sz w:val="24"/>
        </w:rPr>
        <w:t xml:space="preserve">, pursuant to </w:t>
      </w:r>
      <w:r>
        <w:rPr>
          <w:rFonts w:ascii="Times New Roman;Times;serif" w:hAnsi="Times New Roman;Times;serif"/>
          <w:sz w:val="24"/>
          <w:u w:val="single"/>
        </w:rPr>
        <w:t>Section 5.01(a)</w:t>
      </w:r>
      <w:r>
        <w:rPr>
          <w:rFonts w:ascii="Times New Roman;Times;serif" w:hAnsi="Times New Roman;Times;serif"/>
          <w:sz w:val="24"/>
        </w:rPr>
        <w:t xml:space="preserve">, so long as the Loan Parties are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as of such date.</w:t>
      </w:r>
    </w:p>
    <w:p>
      <w:pPr>
        <w:pStyle w:val="TextBody"/>
        <w:bidi w:val="0"/>
        <w:spacing w:before="0" w:after="240"/>
        <w:ind w:left="0" w:right="0" w:firstLine="720"/>
        <w:jc w:val="both"/>
        <w:rPr/>
      </w:pPr>
      <w:r>
        <w:rPr/>
        <w:t>“</w:t>
      </w:r>
      <w:r>
        <w:rPr>
          <w:rFonts w:ascii="Times New Roman;Times;serif" w:hAnsi="Times New Roman;Times;serif"/>
          <w:b/>
          <w:sz w:val="24"/>
        </w:rPr>
        <w:t>Type</w:t>
      </w:r>
      <w:r>
        <w:rPr>
          <w:rFonts w:ascii="Times New Roman;Times;serif" w:hAnsi="Times New Roman;Times;serif"/>
          <w:sz w:val="20"/>
        </w:rPr>
        <w:t>”</w:t>
      </w:r>
      <w:r>
        <w:rPr>
          <w:rFonts w:ascii="Times New Roman;Times;serif" w:hAnsi="Times New Roman;Times;serif"/>
          <w:sz w:val="24"/>
        </w:rPr>
        <w:t>, when used in reference to any Loan or Borrowing, refers to whether the rate of interest on such Loan, or on the Loans comprising such Borrowing, is determined by reference to the Term SOFR Rate, the Adjusted EURIBOR Rate, Daily Simple RFR or the Alternate Base Rate.</w:t>
      </w:r>
    </w:p>
    <w:p>
      <w:pPr>
        <w:pStyle w:val="TextBody"/>
        <w:bidi w:val="0"/>
        <w:spacing w:before="0" w:after="240"/>
        <w:ind w:left="0" w:right="0" w:firstLine="720"/>
        <w:jc w:val="both"/>
        <w:rPr/>
      </w:pPr>
      <w:r>
        <w:rPr/>
        <w:t>“</w:t>
      </w:r>
      <w:r>
        <w:rPr>
          <w:rFonts w:ascii="Times New Roman;Times;serif" w:hAnsi="Times New Roman;Times;serif"/>
          <w:b/>
          <w:sz w:val="24"/>
        </w:rPr>
        <w:t>UCC</w:t>
      </w:r>
      <w:r>
        <w:rPr>
          <w:rFonts w:ascii="Times New Roman;Times;serif" w:hAnsi="Times New Roman;Times;serif"/>
          <w:sz w:val="20"/>
        </w:rPr>
        <w:t xml:space="preserve">” </w:t>
      </w:r>
      <w:r>
        <w:rPr>
          <w:rFonts w:ascii="Times New Roman;Times;serif" w:hAnsi="Times New Roman;Times;serif"/>
          <w:sz w:val="24"/>
        </w:rPr>
        <w:t>means the Uniform Commercial Code as in effect in the State of New York from time to time; provided, that if attachment, perfection or the effect of perfection or non-perfection or the priority of any security interest in, or remedies with respect to, any Collateral is governed by the Uniform Commercial Code as in effect in a jurisdiction other than the State of New York, “UCC” means the Uniform Commercial Code as in effect from time to time in such other jurisdiction for purposes of the provisions hereof relating to such attachment, perfection, effect of perfection or non-perfection, priority or remedies.</w:t>
      </w:r>
    </w:p>
    <w:p>
      <w:pPr>
        <w:pStyle w:val="TextBody"/>
        <w:bidi w:val="0"/>
        <w:spacing w:before="0" w:after="240"/>
        <w:ind w:left="0" w:right="0" w:firstLine="720"/>
        <w:jc w:val="both"/>
        <w:rPr/>
      </w:pPr>
      <w:r>
        <w:rPr/>
        <w:t>“</w:t>
      </w:r>
      <w:r>
        <w:rPr>
          <w:rFonts w:ascii="Times New Roman;Times;serif" w:hAnsi="Times New Roman;Times;serif"/>
          <w:b/>
          <w:sz w:val="24"/>
        </w:rPr>
        <w:t>UK Financial Institutions</w:t>
      </w:r>
      <w:r>
        <w:rPr>
          <w:rFonts w:ascii="Times New Roman;Times;serif" w:hAnsi="Times New Roman;Times;serif"/>
          <w:sz w:val="20"/>
        </w:rPr>
        <w:t xml:space="preserve">” </w:t>
      </w:r>
      <w:r>
        <w:rPr>
          <w:rFonts w:ascii="Times New Roman;Times;serif" w:hAnsi="Times New Roman;Times;serif"/>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b/>
          <w:sz w:val="24"/>
        </w:rPr>
        <w:t>UK Loan Party</w:t>
      </w:r>
      <w:r>
        <w:rPr>
          <w:rFonts w:ascii="Times New Roman;Times;serif" w:hAnsi="Times New Roman;Times;serif"/>
          <w:sz w:val="20"/>
        </w:rPr>
        <w:t xml:space="preserve">” </w:t>
      </w:r>
      <w:r>
        <w:rPr>
          <w:rFonts w:ascii="Times New Roman;Times;serif" w:hAnsi="Times New Roman;Times;serif"/>
          <w:sz w:val="24"/>
        </w:rPr>
        <w:t>means a Loan Party that is incorporated under the Laws of England and Wales.</w:t>
      </w:r>
    </w:p>
    <w:p>
      <w:pPr>
        <w:pStyle w:val="TextBody"/>
        <w:bidi w:val="0"/>
        <w:spacing w:before="0" w:after="240"/>
        <w:ind w:left="0" w:right="0" w:firstLine="720"/>
        <w:jc w:val="both"/>
        <w:rPr/>
      </w:pPr>
      <w:r>
        <w:rPr/>
        <w:t>“</w:t>
      </w:r>
      <w:r>
        <w:rPr>
          <w:rFonts w:ascii="Times New Roman;Times;serif" w:hAnsi="Times New Roman;Times;serif"/>
          <w:b/>
          <w:sz w:val="24"/>
        </w:rPr>
        <w:t>UK Resolution Authority</w:t>
      </w:r>
      <w:r>
        <w:rPr>
          <w:rFonts w:ascii="Times New Roman;Times;serif" w:hAnsi="Times New Roman;Times;serif"/>
          <w:sz w:val="20"/>
        </w:rPr>
        <w:t xml:space="preserve">” </w:t>
      </w:r>
      <w:r>
        <w:rPr>
          <w:rFonts w:ascii="Times New Roman;Times;serif" w:hAnsi="Times New Roman;Times;serif"/>
          <w:sz w:val="24"/>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New Roman;Times;serif" w:hAnsi="Times New Roman;Times;serif"/>
          <w:b/>
          <w:sz w:val="24"/>
        </w:rPr>
        <w:t>UK Security Documents</w:t>
      </w:r>
      <w:r>
        <w:rPr>
          <w:rFonts w:ascii="Times New Roman;Times;serif" w:hAnsi="Times New Roman;Times;serif"/>
          <w:sz w:val="20"/>
        </w:rPr>
        <w:t xml:space="preserve">” </w:t>
      </w:r>
      <w:r>
        <w:rPr>
          <w:rFonts w:ascii="Times New Roman;Times;serif" w:hAnsi="Times New Roman;Times;serif"/>
          <w:sz w:val="24"/>
        </w:rPr>
        <w:t xml:space="preserve">means the security agreements set forth in Section 4(d) in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under the heading “United Kingdom” which agreements shall be granted in accordance with the Agreed Security Principles, in each case as may be amended, restated, supplemented or otherwise modified from time to time, and any other security agreement, debenture, share charge or similar document governed by English law delivered by any Loan Party in favor of the Administrative Agent.</w:t>
      </w:r>
    </w:p>
    <w:p>
      <w:pPr>
        <w:pStyle w:val="TextBody"/>
        <w:bidi w:val="0"/>
        <w:spacing w:before="0" w:after="240"/>
        <w:ind w:left="0" w:right="0" w:firstLine="720"/>
        <w:jc w:val="both"/>
        <w:rPr/>
      </w:pPr>
      <w:r>
        <w:rPr/>
        <w:t>“</w:t>
      </w:r>
      <w:r>
        <w:rPr>
          <w:rFonts w:ascii="Times New Roman;Times;serif" w:hAnsi="Times New Roman;Times;serif"/>
          <w:b/>
          <w:sz w:val="24"/>
        </w:rPr>
        <w:t>Unadjusted Benchmark Replacement</w:t>
      </w:r>
      <w:r>
        <w:rPr>
          <w:rFonts w:ascii="Times New Roman;Times;serif" w:hAnsi="Times New Roman;Times;serif"/>
          <w:sz w:val="20"/>
        </w:rPr>
        <w:t xml:space="preserve">” </w:t>
      </w:r>
      <w:r>
        <w:rPr>
          <w:rFonts w:ascii="Times New Roman;Times;serif" w:hAnsi="Times New Roman;Times;serif"/>
          <w:sz w:val="24"/>
        </w:rPr>
        <w:t>means the applicable Benchmark Replacement excluding the related Benchmark Replacement Adjustment.</w:t>
      </w:r>
    </w:p>
    <w:p>
      <w:pPr>
        <w:pStyle w:val="TextBody"/>
        <w:bidi w:val="0"/>
        <w:spacing w:before="0" w:after="240"/>
        <w:ind w:left="0" w:right="0" w:firstLine="720"/>
        <w:jc w:val="both"/>
        <w:rPr/>
      </w:pPr>
      <w:r>
        <w:rPr/>
        <w:t>“</w:t>
      </w:r>
      <w:r>
        <w:rPr>
          <w:rFonts w:ascii="Times New Roman;Times;serif" w:hAnsi="Times New Roman;Times;serif"/>
          <w:b/>
          <w:sz w:val="24"/>
        </w:rPr>
        <w:t>Unfunded Pension Liability</w:t>
      </w:r>
      <w:r>
        <w:rPr>
          <w:rFonts w:ascii="Times New Roman;Times;serif" w:hAnsi="Times New Roman;Times;serif"/>
          <w:sz w:val="20"/>
        </w:rPr>
        <w:t xml:space="preserve">” </w:t>
      </w:r>
      <w:r>
        <w:rPr>
          <w:rFonts w:ascii="Times New Roman;Times;serif" w:hAnsi="Times New Roman;Times;serif"/>
          <w:sz w:val="24"/>
        </w:rPr>
        <w:t>means the excess of a Plan’s benefit liabilities under Section 4001(a)(16) of ERISA, over the current value of that Plan’s assets, determined in accordance with the assumptions used for funding the Plan pursuant to Section 412 of the Code for the applicable plan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4"/>
        </w:rPr>
        <w:t>USA Patriot Act</w:t>
      </w:r>
      <w:r>
        <w:rPr>
          <w:rFonts w:ascii="Times New Roman;Times;serif" w:hAnsi="Times New Roman;Times;serif"/>
          <w:sz w:val="20"/>
        </w:rPr>
        <w:t xml:space="preserve">” </w:t>
      </w:r>
      <w:r>
        <w:rPr>
          <w:rFonts w:ascii="Times New Roman;Times;serif" w:hAnsi="Times New Roman;Times;serif"/>
          <w:sz w:val="24"/>
        </w:rPr>
        <w:t>means the Uniting and Strengthening America by Providing Appropriate Tools Required to Intercept and Obstruct Terrorism Act of 2001 (Title III of Pub. L. No. 107-56 (signed into law October 26, 2001)), as amended from time to time.</w:t>
      </w:r>
    </w:p>
    <w:p>
      <w:pPr>
        <w:pStyle w:val="TextBody"/>
        <w:bidi w:val="0"/>
        <w:spacing w:before="0" w:after="240"/>
        <w:ind w:left="0" w:right="0" w:firstLine="720"/>
        <w:jc w:val="both"/>
        <w:rPr/>
      </w:pPr>
      <w:r>
        <w:rPr/>
        <w:t>“</w:t>
      </w:r>
      <w:r>
        <w:rPr>
          <w:rFonts w:ascii="Times New Roman;Times;serif" w:hAnsi="Times New Roman;Times;serif"/>
          <w:b/>
          <w:sz w:val="24"/>
        </w:rPr>
        <w:t>U.S. Government Securities Business Day</w:t>
      </w:r>
      <w:r>
        <w:rPr>
          <w:rFonts w:ascii="Times New Roman;Times;serif" w:hAnsi="Times New Roman;Times;serif"/>
          <w:sz w:val="20"/>
        </w:rPr>
        <w:t xml:space="preserve">” </w:t>
      </w:r>
      <w:r>
        <w:rPr>
          <w:rFonts w:ascii="Times New Roman;Times;serif" w:hAnsi="Times New Roman;Times;serif"/>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720"/>
        <w:jc w:val="both"/>
        <w:rPr/>
      </w:pPr>
      <w:r>
        <w:rPr/>
        <w:t>“</w:t>
      </w:r>
      <w:r>
        <w:rPr>
          <w:rFonts w:ascii="Times New Roman;Times;serif" w:hAnsi="Times New Roman;Times;serif"/>
          <w:b/>
          <w:sz w:val="24"/>
        </w:rPr>
        <w:t>U.S. Loan Party</w:t>
      </w:r>
      <w:r>
        <w:rPr>
          <w:rFonts w:ascii="Times New Roman;Times;serif" w:hAnsi="Times New Roman;Times;serif"/>
          <w:sz w:val="20"/>
        </w:rPr>
        <w:t xml:space="preserve">” </w:t>
      </w:r>
      <w:r>
        <w:rPr>
          <w:rFonts w:ascii="Times New Roman;Times;serif" w:hAnsi="Times New Roman;Times;serif"/>
          <w:sz w:val="24"/>
        </w:rPr>
        <w:t>means any Loan Party organized or existing under the laws of the United States of America, any State of the United States or the District of Columbia or any territory thereof.</w:t>
      </w:r>
    </w:p>
    <w:p>
      <w:pPr>
        <w:pStyle w:val="TextBody"/>
        <w:bidi w:val="0"/>
        <w:spacing w:before="0" w:after="240"/>
        <w:ind w:left="0" w:right="0" w:firstLine="720"/>
        <w:jc w:val="both"/>
        <w:rPr/>
      </w:pPr>
      <w:r>
        <w:rPr/>
        <w:t>“</w:t>
      </w:r>
      <w:r>
        <w:rPr>
          <w:rFonts w:ascii="Times New Roman;Times;serif" w:hAnsi="Times New Roman;Times;serif"/>
          <w:b/>
          <w:sz w:val="24"/>
        </w:rPr>
        <w:t>U.S. Person</w:t>
      </w:r>
      <w:r>
        <w:rPr>
          <w:rFonts w:ascii="Times New Roman;Times;serif" w:hAnsi="Times New Roman;Times;serif"/>
          <w:sz w:val="20"/>
        </w:rPr>
        <w:t xml:space="preserve">” </w:t>
      </w:r>
      <w:r>
        <w:rPr>
          <w:rFonts w:ascii="Times New Roman;Times;serif" w:hAnsi="Times New Roman;Times;serif"/>
          <w:sz w:val="24"/>
        </w:rPr>
        <w:t>means any Person that is a “United States Person” as defined in Section 7701(a)(30) of the Code.</w:t>
      </w:r>
    </w:p>
    <w:p>
      <w:pPr>
        <w:pStyle w:val="TextBody"/>
        <w:bidi w:val="0"/>
        <w:spacing w:before="0" w:after="240"/>
        <w:ind w:left="0" w:right="0" w:firstLine="720"/>
        <w:jc w:val="both"/>
        <w:rPr/>
      </w:pPr>
      <w:r>
        <w:rPr/>
        <w:t>“</w:t>
      </w:r>
      <w:r>
        <w:rPr>
          <w:rFonts w:ascii="Times New Roman;Times;serif" w:hAnsi="Times New Roman;Times;serif"/>
          <w:b/>
          <w:sz w:val="24"/>
        </w:rPr>
        <w:t>U.S. Security Agreement</w:t>
      </w:r>
      <w:r>
        <w:rPr>
          <w:rFonts w:ascii="Times New Roman;Times;serif" w:hAnsi="Times New Roman;Times;serif"/>
          <w:sz w:val="20"/>
        </w:rPr>
        <w:t xml:space="preserve">” </w:t>
      </w:r>
      <w:r>
        <w:rPr>
          <w:rFonts w:ascii="Times New Roman;Times;serif" w:hAnsi="Times New Roman;Times;serif"/>
          <w:sz w:val="24"/>
        </w:rPr>
        <w:t>means the Amended and Restated Security Agreement, dated as of the Amendment No. 3 Effective Date, among the Loan Parties and the Administrative Agent for the benefit of the Secured Parties, as amended, restated, supplemented or otherwise modified from time to time, including by each joinder agreement thereto.</w:t>
      </w:r>
    </w:p>
    <w:p>
      <w:pPr>
        <w:pStyle w:val="TextBody"/>
        <w:bidi w:val="0"/>
        <w:spacing w:before="0" w:after="240"/>
        <w:ind w:left="0" w:right="0" w:firstLine="720"/>
        <w:jc w:val="both"/>
        <w:rPr/>
      </w:pPr>
      <w:r>
        <w:rPr/>
        <w:t>“</w:t>
      </w:r>
      <w:r>
        <w:rPr>
          <w:rFonts w:ascii="Times New Roman;Times;serif" w:hAnsi="Times New Roman;Times;serif"/>
          <w:b/>
          <w:sz w:val="24"/>
        </w:rPr>
        <w:t>U.S. Special Resolution Regime</w:t>
      </w:r>
      <w:r>
        <w:rPr>
          <w:rFonts w:ascii="Times New Roman;Times;serif" w:hAnsi="Times New Roman;Times;serif"/>
          <w:sz w:val="20"/>
        </w:rPr>
        <w:t xml:space="preserve">” </w:t>
      </w:r>
      <w:r>
        <w:rPr>
          <w:rFonts w:ascii="Times New Roman;Times;serif" w:hAnsi="Times New Roman;Times;serif"/>
          <w:sz w:val="24"/>
        </w:rPr>
        <w:t xml:space="preserve">has the meaning specified in </w:t>
      </w:r>
      <w:r>
        <w:rPr>
          <w:rFonts w:ascii="Times New Roman;Times;serif" w:hAnsi="Times New Roman;Times;serif"/>
          <w:sz w:val="24"/>
          <w:u w:val="single"/>
        </w:rPr>
        <w:t>Section 10.18</w:t>
      </w:r>
      <w:r>
        <w:rPr>
          <w:rFonts w:ascii="Times New Roman;Times;serif" w:hAnsi="Times New Roman;Times;serif"/>
          <w:sz w:val="24"/>
        </w:rPr>
        <w:t>.</w:t>
      </w:r>
    </w:p>
    <w:p>
      <w:pPr>
        <w:pStyle w:val="TextBody"/>
        <w:bidi w:val="0"/>
        <w:spacing w:before="0" w:after="240"/>
        <w:ind w:left="0" w:right="0" w:firstLine="720"/>
        <w:jc w:val="both"/>
        <w:rPr/>
      </w:pPr>
      <w:r>
        <w:rPr/>
        <w:t>“</w:t>
      </w:r>
      <w:r>
        <w:rPr>
          <w:rFonts w:ascii="Times New Roman;Times;serif" w:hAnsi="Times New Roman;Times;serif"/>
          <w:b/>
          <w:sz w:val="24"/>
        </w:rPr>
        <w:t>Wholly Owned Subsidiary</w:t>
      </w:r>
      <w:r>
        <w:rPr>
          <w:rFonts w:ascii="Times New Roman;Times;serif" w:hAnsi="Times New Roman;Times;serif"/>
          <w:sz w:val="20"/>
        </w:rPr>
        <w:t xml:space="preserve">” </w:t>
      </w:r>
      <w:r>
        <w:rPr>
          <w:rFonts w:ascii="Times New Roman;Times;serif" w:hAnsi="Times New Roman;Times;serif"/>
          <w:sz w:val="24"/>
        </w:rPr>
        <w:t>means as to any Person, any other Person all of the Equity Interests of which (other than directors’ qualifying shares required by law) is owned by such Person directly and/or through other Wholly Owned Subsidiaries.</w:t>
      </w:r>
    </w:p>
    <w:p>
      <w:pPr>
        <w:pStyle w:val="TextBody"/>
        <w:bidi w:val="0"/>
        <w:spacing w:before="0" w:after="240"/>
        <w:ind w:left="0" w:right="0" w:firstLine="720"/>
        <w:jc w:val="both"/>
        <w:rPr/>
      </w:pPr>
      <w:r>
        <w:rPr/>
        <w:t>“</w:t>
      </w:r>
      <w:r>
        <w:rPr>
          <w:rFonts w:ascii="Times New Roman;Times;serif" w:hAnsi="Times New Roman;Times;serif"/>
          <w:b/>
          <w:sz w:val="24"/>
        </w:rPr>
        <w:t>Withdrawal Liability</w:t>
      </w:r>
      <w:r>
        <w:rPr>
          <w:rFonts w:ascii="Times New Roman;Times;serif" w:hAnsi="Times New Roman;Times;serif"/>
          <w:sz w:val="20"/>
        </w:rPr>
        <w:t xml:space="preserve">” </w:t>
      </w:r>
      <w:r>
        <w:rPr>
          <w:rFonts w:ascii="Times New Roman;Times;serif" w:hAnsi="Times New Roman;Times;serif"/>
          <w:sz w:val="24"/>
        </w:rPr>
        <w:t>means liability to a Multiemployer Plan as a result of a complete or partial withdrawal from such Multiemployer Plan, as such terms are defined in Title IV of ERISA.</w:t>
      </w:r>
    </w:p>
    <w:p>
      <w:pPr>
        <w:pStyle w:val="TextBody"/>
        <w:bidi w:val="0"/>
        <w:spacing w:before="0" w:after="240"/>
        <w:ind w:left="0" w:right="0" w:firstLine="720"/>
        <w:jc w:val="both"/>
        <w:rPr/>
      </w:pPr>
      <w:r>
        <w:rPr/>
        <w:t>“</w:t>
      </w:r>
      <w:r>
        <w:rPr>
          <w:rFonts w:ascii="Times New Roman;Times;serif" w:hAnsi="Times New Roman;Times;serif"/>
          <w:b/>
          <w:sz w:val="24"/>
        </w:rPr>
        <w:t>Withholding Agent</w:t>
      </w:r>
      <w:r>
        <w:rPr>
          <w:rFonts w:ascii="Times New Roman;Times;serif" w:hAnsi="Times New Roman;Times;serif"/>
          <w:sz w:val="20"/>
        </w:rPr>
        <w:t xml:space="preserve">” </w:t>
      </w:r>
      <w:r>
        <w:rPr>
          <w:rFonts w:ascii="Times New Roman;Times;serif" w:hAnsi="Times New Roman;Times;serif"/>
          <w:sz w:val="24"/>
        </w:rPr>
        <w:t>means any Loan Party and the Administrative Agent.</w:t>
      </w:r>
    </w:p>
    <w:p>
      <w:pPr>
        <w:pStyle w:val="TextBody"/>
        <w:bidi w:val="0"/>
        <w:spacing w:before="0" w:after="240"/>
        <w:ind w:left="0" w:right="0" w:firstLine="720"/>
        <w:jc w:val="both"/>
        <w:rPr/>
      </w:pPr>
      <w:r>
        <w:rPr/>
        <w:t>“</w:t>
      </w:r>
      <w:r>
        <w:rPr>
          <w:rFonts w:ascii="Times New Roman;Times;serif" w:hAnsi="Times New Roman;Times;serif"/>
          <w:b/>
          <w:sz w:val="24"/>
        </w:rPr>
        <w:t>Write-Down and Conversion Powers</w:t>
      </w:r>
      <w:r>
        <w:rPr>
          <w:rFonts w:ascii="Times New Roman;Times;serif" w:hAnsi="Times New Roman;Times;serif"/>
          <w:sz w:val="20"/>
        </w:rPr>
        <w:t xml:space="preserve">” </w:t>
      </w:r>
      <w:r>
        <w:rPr>
          <w:rFonts w:ascii="Times New Roman;Times;serif" w:hAnsi="Times New Roman;Times;serif"/>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1.02</w:t>
      </w:r>
      <w:r>
        <w:rPr>
          <w:rFonts w:ascii="Times New Roman;Times;serif" w:hAnsi="Times New Roman;Times;serif"/>
          <w:sz w:val="24"/>
          <w:u w:val="single"/>
        </w:rPr>
        <w:t>Classification of Loans and Borrowings</w:t>
      </w:r>
      <w:r>
        <w:rPr>
          <w:rFonts w:ascii="Times New Roman;Times;serif" w:hAnsi="Times New Roman;Times;serif"/>
          <w:sz w:val="24"/>
        </w:rPr>
        <w:t>. For purposes of this Agreement, Loans may be classified and referred to by Type (e.g., a “Term Benchmark Loan” or an “RFR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Borrowing”). Borrowings also may be classified and referred to by Type (e.g., a “Term Benchmark Borrowing” or an “RFR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1.03</w:t>
      </w:r>
      <w:r>
        <w:rPr>
          <w:rFonts w:ascii="Times New Roman;Times;serif" w:hAnsi="Times New Roman;Times;serif"/>
          <w:sz w:val="24"/>
          <w:u w:val="single"/>
        </w:rPr>
        <w:t>Terms Generally</w:t>
      </w:r>
      <w:r>
        <w:rPr>
          <w:rFonts w:ascii="Times New Roman;Times;serif" w:hAnsi="Times New Roman;Times;serif"/>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legislation or other document herein shall be construed as referring to such agreement, instrument, legislation or other document as from time to time amended, restated, amended and restated, supplemented or otherwise modified (subject to any restrictions on such amendments,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1.04</w:t>
      </w:r>
      <w:r>
        <w:rPr>
          <w:rFonts w:ascii="Times New Roman;Times;serif" w:hAnsi="Times New Roman;Times;serif"/>
          <w:sz w:val="24"/>
          <w:u w:val="single"/>
        </w:rPr>
        <w:t>Accounting Terms; GAAP</w:t>
      </w:r>
      <w:r>
        <w:rPr>
          <w:rFonts w:ascii="Times New Roman;Times;serif" w:hAnsi="Times New Roman;Times;serif"/>
          <w:sz w:val="24"/>
        </w:rPr>
        <w:t xml:space="preserve">. Except as otherwise expressly provided herein, all terms of an accounting or financial nature shall be construed in accordance with GAAP, as in effect from time to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the Borrowers notify the Administrative Agent that the Borrowers request an amendment to any provision hereof to eliminate the effect of any change occurring after the Amendment No. 3 Effective Date in GAAP or in the application thereof on the operation of such provision (or if the Administrative Agent notifies the Borrowers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Loan Document, and either the Borrowers or the Required Lenders shall so request, the Administrative Agent, the Lenders and the Borrowers shall negotiate in good faith to amend such ratio or requirement to preserve the original intent thereof in light of such change in GAAP;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setting forth a reconciliation between calculations of such ratio or requirement made before and after giving effect to such change in GAAP. Notwithstanding the foregoing, all financial covenants contained herein shall be calculated (1) without giving effect to any election under the Statement of Financial Accounting Standards No. 159 (ASC 825) (or any similar accounting principle) permitting or requiring a Person to value its financial liabilities or Indebtedness at the fair value thereof, (2) without giving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(3) all leases and obligations under any leases of any Person that are or would be characterized as operating leases and/or operating lease obligations in accordance with GAAP on December 14, 2018 (whether or not such operating leases and/or operating lease obligations were in effect on such date) shall continue to be accounted for as operating leases and/or operating lease obligations (and not as Capital Lease Obligations) for purposes of this Agreement regardless of any change in GAAP following the date that would otherwise require such obligations to be recharacterized as Capital Lease Obligations. Prior to the first delivery of financial statements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0"/>
        </w:rPr>
        <w:t xml:space="preserve"> </w:t>
      </w:r>
      <w:r>
        <w:rPr>
          <w:rFonts w:ascii="Times New Roman;Times;serif" w:hAnsi="Times New Roman;Times;serif"/>
          <w:sz w:val="24"/>
        </w:rPr>
        <w:t xml:space="preserve">on or after the Amendment No. 3 Effective Date, any reference in this Agreement to the financial statements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0"/>
        </w:rPr>
        <w:t xml:space="preserve"> </w:t>
      </w:r>
      <w:r>
        <w:rPr>
          <w:rFonts w:ascii="Times New Roman;Times;serif" w:hAnsi="Times New Roman;Times;serif"/>
          <w:sz w:val="24"/>
        </w:rPr>
        <w:t>or similar reference to the same effect shall be deemed to refer to the most recently delivered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1.05</w:t>
      </w:r>
      <w:r>
        <w:rPr>
          <w:rFonts w:ascii="Times New Roman;Times;serif" w:hAnsi="Times New Roman;Times;serif"/>
          <w:sz w:val="24"/>
          <w:u w:val="single"/>
        </w:rPr>
        <w:t>Interest Rates; Benchmark Notification</w:t>
      </w:r>
      <w:r>
        <w:rPr>
          <w:rFonts w:ascii="Times New Roman;Times;serif" w:hAnsi="Times New Roman;Times;serif"/>
          <w:sz w:val="24"/>
        </w:rPr>
        <w:t xml:space="preserve">. The interest rate on a Loan denominated in dollars or an Alternative Currency may be derived from an interest rate benchmark that is, or may in the future become, the subject of regulatory reform. Upon the occurrence of a Benchmark Transition Event, </w:t>
      </w:r>
      <w:r>
        <w:rPr>
          <w:rFonts w:ascii="Times New Roman;Times;serif" w:hAnsi="Times New Roman;Times;serif"/>
          <w:sz w:val="24"/>
          <w:u w:val="single"/>
        </w:rPr>
        <w:t>Section 2.11(b)</w:t>
      </w:r>
      <w:r>
        <w:rPr>
          <w:rFonts w:ascii="Times New Roman;Times;serif" w:hAnsi="Times New Roman;Times;serif"/>
          <w:sz w:val="20"/>
        </w:rPr>
        <w:t xml:space="preserve"> </w:t>
      </w:r>
      <w:r>
        <w:rPr>
          <w:rFonts w:ascii="Times New Roman;Times;serif" w:hAnsi="Times New Roman;Times;serif"/>
          <w:sz w:val="24"/>
        </w:rPr>
        <w:t xml:space="preserve">provides a mechanism for determining an alternative rate of interest. The Administrative Agent will promptly notify the Borrowers, pursuant to </w:t>
      </w:r>
      <w:r>
        <w:rPr>
          <w:rFonts w:ascii="Times New Roman;Times;serif" w:hAnsi="Times New Roman;Times;serif"/>
          <w:sz w:val="24"/>
          <w:u w:val="single"/>
        </w:rPr>
        <w:t>Section 2.11(b)</w:t>
      </w:r>
      <w:r>
        <w:rPr>
          <w:rFonts w:ascii="Times New Roman;Times;serif" w:hAnsi="Times New Roman;Times;serif"/>
          <w:sz w:val="24"/>
        </w:rPr>
        <w:t xml:space="preserve">, of any change to the reference rate upon which the interest rate on Term Benchmark Loans is based. However, the Administrative Agent does not warrant or accept any responsibility for, and shall not have any liability with respect to, the continuation of, administration of, submission of, calculation of or any other matter related to the Alternate Base Rate, Daily Simple RFR, Daily Simple SOFR, the Adjusted EURIBOR Rate, the Term SOFR Rate or Daily Simple RFR or any component definition thereof or rates referred to in the definition thereof, or any alternative or successor rate thereto, or replacement rate thereof (including, without limitation, (i) any such alternative, successor or replacement rate implemented pursuant to </w:t>
      </w:r>
      <w:r>
        <w:rPr>
          <w:rFonts w:ascii="Times New Roman;Times;serif" w:hAnsi="Times New Roman;Times;serif"/>
          <w:sz w:val="24"/>
          <w:u w:val="single"/>
        </w:rPr>
        <w:t>Section 2.11(b)</w:t>
      </w:r>
      <w:r>
        <w:rPr>
          <w:rFonts w:ascii="Times New Roman;Times;serif" w:hAnsi="Times New Roman;Times;serif"/>
          <w:sz w:val="20"/>
        </w:rPr>
        <w:t xml:space="preserve"> </w:t>
      </w:r>
      <w:r>
        <w:rPr>
          <w:rFonts w:ascii="Times New Roman;Times;serif" w:hAnsi="Times New Roman;Times;serif"/>
          <w:sz w:val="24"/>
        </w:rPr>
        <w:t xml:space="preserve">upon the occurrence of a Benchmark Transition Event, and (ii) the implementation of any Benchmark Replacement Conforming Changes pursuant to </w:t>
      </w:r>
      <w:r>
        <w:rPr>
          <w:rFonts w:ascii="Times New Roman;Times;serif" w:hAnsi="Times New Roman;Times;serif"/>
          <w:sz w:val="24"/>
          <w:u w:val="single"/>
        </w:rPr>
        <w:t>Section 2.11(b)</w:t>
      </w:r>
      <w:r>
        <w:rPr>
          <w:rFonts w:ascii="Times New Roman;Times;serif" w:hAnsi="Times New Roman;Times;serif"/>
          <w:sz w:val="24"/>
        </w:rPr>
        <w:t>), including without limitation, whether the composition or characteristics of any such alternative, successor or replacement reference rate will be similar to, or produce the same value or economic equivalence of, or have the same volume or liquidity as did any existing interest rate prior to its discontinuance or unavailability. The Administrative Agent and its affiliates and/or other related entities may engage in transactions that affect the calculation of any the Alternate Base Rate, Daily Simple RFR, Daily Simple SOFR, the Adjusted EURIBOR Rate, the Term SOFR Rate or Daily Simple RFR,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the Alternate Base Rate, Daily Simple SOFR, the Adjusted EURIBOR Rate, the Term SOFR Rate, Daily Simple RFR or any other Benchmark, any component thereof, or rates referenced in the definition thereof, in each case pursuant to the terms of this Agreement, and shall have no liability to any Borrower, any Lender</w:t>
      </w:r>
      <w:r>
        <w:rPr>
          <w:rFonts w:ascii="Times New Roman;Times;serif" w:hAnsi="Times New Roman;Times;serif"/>
          <w:sz w:val="20"/>
        </w:rPr>
        <w:t xml:space="preserve"> </w:t>
      </w:r>
      <w:r>
        <w:rPr>
          <w:rFonts w:ascii="Times New Roman;Times;serif" w:hAnsi="Times New Roman;Times;serif"/>
          <w:sz w:val="24"/>
        </w:rPr>
        <w:t>or any other person or entity for damages of any kind, including direct or indirect, special, punitive, incidental or consequential damages, costs, losses or expenses (whether in tort, contract or otherwise and whether at law or in equity), for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error or calculation of any such rate (or component thereof) provided by any such information source or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1.06</w:t>
      </w:r>
      <w:r>
        <w:rPr>
          <w:rFonts w:ascii="Times New Roman;Times;serif" w:hAnsi="Times New Roman;Times;serif"/>
          <w:sz w:val="24"/>
          <w:u w:val="single"/>
        </w:rPr>
        <w:t>Divisions</w:t>
      </w:r>
      <w:r>
        <w:rPr>
          <w:rFonts w:ascii="Times New Roman;Times;serif" w:hAnsi="Times New Roman;Times;serif"/>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1.07</w:t>
      </w:r>
      <w:r>
        <w:rPr>
          <w:rFonts w:ascii="Times New Roman;Times;serif" w:hAnsi="Times New Roman;Times;serif"/>
          <w:sz w:val="24"/>
          <w:u w:val="single"/>
        </w:rPr>
        <w:t>Letter of Credit Amounts</w:t>
      </w:r>
      <w:r>
        <w:rPr>
          <w:rFonts w:ascii="Times New Roman;Times;serif" w:hAnsi="Times New Roman;Times;serif"/>
          <w:sz w:val="24"/>
        </w:rPr>
        <w:t xml:space="preserve">. Unless otherwise specified herein, the amount of a Letter of Credit at any time shall be deemed to be the Dollar Equivalent of the amount of such Letter of Credit available to be drawn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with respect to any Letter of Credit that, by its terms or the terms of any Letter of Credit agreement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available to be drawn for all purposes other than the determination of Net Debt for Borrowed Money.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1.08</w:t>
      </w:r>
      <w:r>
        <w:rPr>
          <w:rFonts w:ascii="Times New Roman;Times;serif" w:hAnsi="Times New Roman;Times;serif"/>
          <w:sz w:val="24"/>
          <w:u w:val="single"/>
        </w:rPr>
        <w:t>Exchange Rates; Currency Equivalents</w:t>
      </w:r>
      <w:r>
        <w:rPr>
          <w:rFonts w:ascii="Times New Roman;Times;serif" w:hAnsi="Times New Roman;Times;serif"/>
          <w:sz w:val="24"/>
        </w:rPr>
        <w:t>. (a) The Administrative Agent or the Issuing Bank, as applicable, shall determine the Dollar Equivalent amounts of Borrowings or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1.09</w:t>
      </w:r>
      <w:r>
        <w:rPr>
          <w:rFonts w:ascii="Times New Roman;Times;serif" w:hAnsi="Times New Roman;Times;serif"/>
          <w:sz w:val="24"/>
          <w:u w:val="single"/>
        </w:rPr>
        <w:t>Certain Calculations and Tests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Notwithstanding anything to the contrary herein, the Consolidated Leverage Ratio (and the component definitions thereof) shall be calculated in the manner prescribed by this </w:t>
      </w:r>
      <w:r>
        <w:rPr>
          <w:rFonts w:ascii="Times New Roman;Times;serif" w:hAnsi="Times New Roman;Times;serif"/>
          <w:sz w:val="24"/>
          <w:u w:val="single"/>
        </w:rPr>
        <w:t>Section 1.09</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notwithstanding anything to the contrary in subsections (b) or (c) of this </w:t>
      </w:r>
      <w:r>
        <w:rPr>
          <w:rFonts w:ascii="Times New Roman;Times;serif" w:hAnsi="Times New Roman;Times;serif"/>
          <w:sz w:val="24"/>
          <w:u w:val="single"/>
        </w:rPr>
        <w:t>Section 1.09</w:t>
      </w:r>
      <w:r>
        <w:rPr>
          <w:rFonts w:ascii="Times New Roman;Times;serif" w:hAnsi="Times New Roman;Times;serif"/>
          <w:sz w:val="24"/>
        </w:rPr>
        <w:t>, when calculating the Consolidated Leverage Ratio (and the component definitions thereof), as applicable, for purposes of determining actual compliance (and not pro forma compliance or compliance on a Pro Forma Basis) with any financial covenant pursuant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u w:val="single"/>
        </w:rPr>
        <w:t>Section 6.10</w:t>
      </w:r>
      <w:r>
        <w:rPr>
          <w:rFonts w:ascii="Times New Roman;Times;serif" w:hAnsi="Times New Roman;Times;serif"/>
          <w:sz w:val="24"/>
        </w:rPr>
        <w:t xml:space="preserve">, the events described in this </w:t>
      </w:r>
      <w:r>
        <w:rPr>
          <w:rFonts w:ascii="Times New Roman;Times;serif" w:hAnsi="Times New Roman;Times;serif"/>
          <w:sz w:val="24"/>
          <w:u w:val="single"/>
        </w:rPr>
        <w:t>Section 1.09</w:t>
      </w:r>
      <w:r>
        <w:rPr>
          <w:rFonts w:ascii="Times New Roman;Times;serif" w:hAnsi="Times New Roman;Times;serif"/>
          <w:sz w:val="20"/>
        </w:rPr>
        <w:t xml:space="preserve"> </w:t>
      </w:r>
      <w:r>
        <w:rPr>
          <w:rFonts w:ascii="Times New Roman;Times;serif" w:hAnsi="Times New Roman;Times;serif"/>
          <w:sz w:val="24"/>
        </w:rPr>
        <w:t>that occurred subsequent to the end of the applicable Measurement Period shall not be given Pro Forma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For purposes of calculating the Consolidated Leverage Ratio (and the component definitions thereof), Specified Transactions that have been consummated (i) during the applicable Measurement Period or (ii) subsequent to such Measurement Period and prior to or simultaneously with the event for which the calculation of any such ratio is made in each case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Measurement Period. If, since the beginning of any Measurement Period, any Person that subsequently became a Subsidiary or was merged, amalgamated or consolidated with or into any Borrower or any of its Subsidiaries since the beginning of such Measurement Period shall have made any Specified Transaction that would have required adjustment pursuant to this </w:t>
      </w:r>
      <w:r>
        <w:rPr>
          <w:rFonts w:ascii="Times New Roman;Times;serif" w:hAnsi="Times New Roman;Times;serif"/>
          <w:sz w:val="24"/>
          <w:u w:val="single"/>
        </w:rPr>
        <w:t>Section 1.09</w:t>
      </w:r>
      <w:r>
        <w:rPr>
          <w:rFonts w:ascii="Times New Roman;Times;serif" w:hAnsi="Times New Roman;Times;serif"/>
          <w:sz w:val="24"/>
        </w:rPr>
        <w:t xml:space="preserve">, then the Consolidated Leverage Ratio (and the component definitions thereof) shall be calculated to give Pro Forma Effect thereto in accordance with this </w:t>
      </w:r>
      <w:r>
        <w:rPr>
          <w:rFonts w:ascii="Times New Roman;Times;serif" w:hAnsi="Times New Roman;Times;serif"/>
          <w:sz w:val="24"/>
          <w:u w:val="single"/>
        </w:rPr>
        <w:t>Section 1.09</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In the event that any Borrower or any Subsidiary incurs (including by assumption or guarantees) or repays (including by redemption, repayment, prepayment, retirement, exchange, extinguishment or satisfaction and discharge) any Indebtedness included in the calculations of the Consolidated Leverage Ratio (and the component definitions thereof), as the case may be (in each case, other than Indebtedness incurred or repaid under this Agreement), (i) during the applicable Measurement Period and/or (ii) subsequent to the end of the applicable Measurement Period and prior to or simultaneously with the event for which the calculation of any such ratio is made, then the Consolidated Leverage Ratio (and the component definitions thereof) shall be calculated giving Pro Forma Effect to such incurrence or repayment of Indebtedness, to the extent required, as if the same had occurred on the last day of the applicable Measurement Period. Interest on a Capital Lease Obligation shall be deemed to accrue at an interest rate reasonably determined by a Financial Officer of the Parent Borrower to be the rate of interest implicit in such Capital Lease Obligation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Parent Borrower may designate.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Notwithstanding anything to the contrary herein, unless the Borrowers otherwise notify the Administrative Agent, with respect to any amounts incurred or transactions entered into (or consummated) in reliance on a provision of this Agreement that does not require compliance with a financial ratio or test (any such amounts, the “</w:t>
      </w:r>
      <w:r>
        <w:rPr>
          <w:rFonts w:ascii="Times New Roman;Times;serif" w:hAnsi="Times New Roman;Times;serif"/>
          <w:b/>
          <w:sz w:val="24"/>
        </w:rPr>
        <w:t>Fixed Amounts</w:t>
      </w:r>
      <w:r>
        <w:rPr>
          <w:rFonts w:ascii="Times New Roman;Times;serif" w:hAnsi="Times New Roman;Times;serif"/>
          <w:sz w:val="20"/>
        </w:rPr>
        <w:t>”</w:t>
      </w:r>
      <w:r>
        <w:rPr>
          <w:rFonts w:ascii="Times New Roman;Times;serif" w:hAnsi="Times New Roman;Times;serif"/>
          <w:sz w:val="24"/>
        </w:rPr>
        <w:t>) substantially concurrently with any amounts incurred or transactions entered into (or consummated) in reliance on a provision of this Agreement that requires compliance with a financial ratio or test (any such amounts, the “</w:t>
      </w:r>
      <w:r>
        <w:rPr>
          <w:rFonts w:ascii="Times New Roman;Times;serif" w:hAnsi="Times New Roman;Times;serif"/>
          <w:b/>
          <w:sz w:val="24"/>
        </w:rPr>
        <w:t>Incurrence-Based Amounts</w:t>
      </w:r>
      <w:r>
        <w:rPr>
          <w:rFonts w:ascii="Times New Roman;Times;serif" w:hAnsi="Times New Roman;Times;serif"/>
          <w:sz w:val="20"/>
        </w:rPr>
        <w:t>”</w:t>
      </w:r>
      <w:r>
        <w:rPr>
          <w:rFonts w:ascii="Times New Roman;Times;serif" w:hAnsi="Times New Roman;Times;serif"/>
          <w:sz w:val="24"/>
        </w:rPr>
        <w:t>), it is understood and agreed that the Fixed Amounts shall be disregarded in the calculation of the financial ratio or test applicable to the Incurrence-Based Amounts in connection with such substantially concurrent incurrence.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For the avoidance of doubt, notwithstanding any classification under GAAP of any Person or business in respect of which a definitive agreement for the Disposition thereof has been entered into as discontinued operations, the earnings of such Person or business shall not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excluded from the calculation of Consolidated EBITDA until such Disposition shall have been consummated.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1.10</w:t>
      </w:r>
      <w:r>
        <w:rPr>
          <w:rFonts w:ascii="Times New Roman;Times;serif" w:hAnsi="Times New Roman;Times;serif"/>
          <w:sz w:val="24"/>
          <w:u w:val="single"/>
        </w:rPr>
        <w:t>Borrower Representative</w:t>
      </w:r>
      <w:r>
        <w:rPr>
          <w:rFonts w:ascii="Times New Roman;Times;serif" w:hAnsi="Times New Roman;Times;serif"/>
          <w:sz w:val="24"/>
        </w:rPr>
        <w:t xml:space="preserve">(a). Each Borrower hereby designates the Parent Borrower as the Borrower Representative. The Borrower Representative will be acting as agent on each Borrower’s behalf for the purposes of issuing notices of Borrowing and notices of conversion/continuation of any Loans pursuant to </w:t>
      </w:r>
      <w:r>
        <w:rPr>
          <w:rFonts w:ascii="Times New Roman;Times;serif" w:hAnsi="Times New Roman;Times;serif"/>
          <w:sz w:val="24"/>
          <w:u w:val="single"/>
        </w:rPr>
        <w:t>Article 2</w:t>
      </w:r>
      <w:r>
        <w:rPr>
          <w:rFonts w:ascii="Times New Roman;Times;serif" w:hAnsi="Times New Roman;Times;serif"/>
          <w:sz w:val="20"/>
        </w:rPr>
        <w:t xml:space="preserve"> </w:t>
      </w:r>
      <w:r>
        <w:rPr>
          <w:rFonts w:ascii="Times New Roman;Times;serif" w:hAnsi="Times New Roman;Times;serif"/>
          <w:sz w:val="24"/>
        </w:rPr>
        <w:t>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1.11</w:t>
      </w:r>
      <w:r>
        <w:rPr>
          <w:rFonts w:ascii="Times New Roman;Times;serif" w:hAnsi="Times New Roman;Times;serif"/>
          <w:sz w:val="24"/>
          <w:u w:val="single"/>
        </w:rPr>
        <w:t>Australian Terms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Without limiting </w:t>
      </w:r>
      <w:r>
        <w:rPr>
          <w:rFonts w:ascii="Times New Roman;Times;serif" w:hAnsi="Times New Roman;Times;serif"/>
          <w:sz w:val="24"/>
          <w:u w:val="single"/>
        </w:rPr>
        <w:t>Section 8.08</w:t>
      </w:r>
      <w:r>
        <w:rPr>
          <w:rFonts w:ascii="Times New Roman;Times;serif" w:hAnsi="Times New Roman;Times;serif"/>
          <w:sz w:val="24"/>
        </w:rPr>
        <w:t>, in relation to Security Documents that are governed by the laws of Australia, each present and future Secured Party appoints and authorizes the Administrative Agent (in its capacity as “Australian Security Trustee”) to hold each such Security Document as security trustee on its behalf.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Any terms used in this Agreement that are defined in the Australian PPSA, shall have the meanings ascribed to such terms in the Australian PPSA when used in relation to Collateral subject to the Australian PPSA. Notwithstanding the foregoing, and where the context so requires, (i) any term defined in this Agreement or the Loan Documents by reference to the UCC shall also have any extended, alternative or analogous meaning given to such term in applicable Australian PPS Law, in all cases for the extension, preservation or betterment of the security and rights of the Collateral, (ii) all references in this Agreement to a financing statement, continuation statement, amendment or termination statement shall be deemed to refer also to the analogous documents used under applicable Australian PPS Law, (iii) all references to the United States, or to any subdivision, department, agency or instrumentality thereof shall be deemed to refer also to Australia, or to any subdivision, department, agency or instrumentality thereof, and (iv) all references to federal or state securities laws of the United States shall be deemed to refer also to analogous federal and state securities laws in Australia.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Without prejudice to the generality of any provision of this Agreement, in this Agreement where it relates to Australian Loan Party or Australian Security Document, a reference in this Agreement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0"/>
        </w:rPr>
        <w:t>“</w:t>
      </w:r>
      <w:r>
        <w:rPr>
          <w:rFonts w:ascii="Times New Roman;Times;serif" w:hAnsi="Times New Roman;Times;serif"/>
          <w:sz w:val="24"/>
        </w:rPr>
        <w:t>Account” also includes any “account” as defined in section 10 of the Australian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0"/>
        </w:rPr>
        <w:t>“</w:t>
      </w:r>
      <w:r>
        <w:rPr>
          <w:rFonts w:ascii="Times New Roman;Times;serif" w:hAnsi="Times New Roman;Times;serif"/>
          <w:sz w:val="24"/>
        </w:rPr>
        <w:t>Account Debtor” also includes any “account debtor” as defined in section 10 of the Australian PPSA;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0"/>
        </w:rPr>
        <w:t>“</w:t>
      </w:r>
      <w:r>
        <w:rPr>
          <w:rFonts w:ascii="Times New Roman;Times;serif" w:hAnsi="Times New Roman;Times;serif"/>
          <w:sz w:val="24"/>
        </w:rPr>
        <w:t>Deposit Account” also includes any “ADI account” as defined in section 10 of the Australian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0"/>
        </w:rPr>
        <w:t>“</w:t>
      </w:r>
      <w:r>
        <w:rPr>
          <w:rFonts w:ascii="Times New Roman;Times;serif" w:hAnsi="Times New Roman;Times;serif"/>
          <w:sz w:val="24"/>
        </w:rPr>
        <w:t>Documents” also includes any “documents of title” as defined in section 10 of the Australian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0"/>
        </w:rPr>
        <w:t>“</w:t>
      </w:r>
      <w:r>
        <w:rPr>
          <w:rFonts w:ascii="Times New Roman;Times;serif" w:hAnsi="Times New Roman;Times;serif"/>
          <w:sz w:val="24"/>
        </w:rPr>
        <w:t>Equity Interests” also includes any “investment instruments” as defined in section 10 of the Australian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0"/>
        </w:rPr>
        <w:t>“</w:t>
      </w:r>
      <w:r>
        <w:rPr>
          <w:rFonts w:ascii="Times New Roman;Times;serif" w:hAnsi="Times New Roman;Times;serif"/>
          <w:sz w:val="24"/>
        </w:rPr>
        <w:t>Proceeds” also includes any “proceeds” as defined in section 10 of the Australian PPSA;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0"/>
        </w:rPr>
        <w:t>“</w:t>
      </w:r>
      <w:r>
        <w:rPr>
          <w:rFonts w:ascii="Times New Roman;Times;serif" w:hAnsi="Times New Roman;Times;serif"/>
          <w:sz w:val="24"/>
        </w:rPr>
        <w:t>Securities Account” also includes any “securities account” as defined in section 15 of the Australian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parties agree that the Australian Banking Code of Practice does not apply to the Loan Documents and the transactions under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1.12</w:t>
      </w:r>
      <w:r>
        <w:rPr>
          <w:rFonts w:ascii="Times New Roman;Times;serif" w:hAnsi="Times New Roman;Times;serif"/>
          <w:sz w:val="24"/>
          <w:u w:val="single"/>
        </w:rPr>
        <w:t>Quebec Terms</w:t>
      </w:r>
      <w:r>
        <w:rPr>
          <w:rFonts w:ascii="Times New Roman;Times;serif" w:hAnsi="Times New Roman;Times;serif"/>
          <w:sz w:val="24"/>
        </w:rPr>
        <w:t>. For purposes of the interpretation or construction of this Agreement pursuant to the laws of the Province of Quebec, for purposes of any Collateral located in the Province of Quebec or charged by any deed of hypothec (or any other Loan Document) and for all other purposes pursuant to which the interpretation or construction of any other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“mortgage” and “lien” shall be deemed to include a “hypothec”, a “reservation of ownership”, “prior claim” and a “resolutory clause,” (f) all references to filing, registering or recording under the Canadian PPSA shall be deemed to include publication under the Civil Code of Québec, (g) all references to “perfection” of or “perfected” Liens shall be deemed to include a reference to an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in favour of persons having taken part in the construction or renovation of an immovable”, (l) “joint and several” shall be deemed to include “solidary” and “jointly and severally” shall be deemed to include “solidarily” (m) “gross negligence or willful misconduct” shall be deemed to be “intentional or gross fault”, (n) “beneficial ownership” shall be deemed to include “ownership on behalf of another as mandatary”, (o) “legal title” shall be deemed to include “holding title on behalf of an owner as mandatary or prête-nom”, (p) “easement” shall be deemed to include “servitude”, (q) “priority” shall be deemed to include “prior claim” or “rank”, as applicable, (r) “survey” shall be deemed to include “certificate of location and plan”, (s) “fee simple title” and “fee title” shall be deemed to include “right of ownership”, (t) “foreclosure” shall be deemed to include “the exercise of a hypothecary right”, (u) “leasehold interest” shall be deemed to include “valid rights resulting from a lease”, (v) “lease” for personal or movable property shall be deemed to include a “contract of leasing (</w:t>
      </w:r>
      <w:r>
        <w:rPr>
          <w:rFonts w:ascii="Times New Roman;Times;serif" w:hAnsi="Times New Roman;Times;serif"/>
          <w:i/>
          <w:sz w:val="24"/>
        </w:rPr>
        <w:t>crédit-bail</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(x) “deposit account” shall include a “financial account” as defined in Article 2713.6 of the Civil Code of Québec, and (y) “guarantee” and “guarantor” shall include “suretyship” and “surety”,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1.13</w:t>
      </w:r>
      <w:r>
        <w:rPr>
          <w:rFonts w:ascii="Times New Roman;Times;serif" w:hAnsi="Times New Roman;Times;serif"/>
          <w:sz w:val="24"/>
          <w:u w:val="single"/>
        </w:rPr>
        <w:t>German Terms</w:t>
      </w:r>
      <w:r>
        <w:rPr>
          <w:rFonts w:ascii="Times New Roman;Times;serif" w:hAnsi="Times New Roman;Times;serif"/>
          <w:sz w:val="24"/>
        </w:rPr>
        <w:t>. In this Agreement, or any other Loan Document, if applicable, where it relates to any Loan Party incorporated or established in Germany, a reference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 person being unable to pay its debts or insolvent includes that person being in a state of Zahlungsunfähigkeit under section 17 of the German Insolvency Code (</w:t>
      </w:r>
      <w:r>
        <w:rPr>
          <w:rFonts w:ascii="Times New Roman;Times;serif" w:hAnsi="Times New Roman;Times;serif"/>
          <w:i/>
          <w:sz w:val="24"/>
        </w:rPr>
        <w:t>Insolvenzordnung</w:t>
      </w:r>
      <w:r>
        <w:rPr>
          <w:rFonts w:ascii="Times New Roman;Times;serif" w:hAnsi="Times New Roman;Times;serif"/>
          <w:sz w:val="24"/>
        </w:rPr>
        <w:t>) or being over-indebted (</w:t>
      </w:r>
      <w:r>
        <w:rPr>
          <w:rFonts w:ascii="Times New Roman;Times;serif" w:hAnsi="Times New Roman;Times;serif"/>
          <w:i/>
          <w:sz w:val="24"/>
        </w:rPr>
        <w:t>überschuldet</w:t>
      </w:r>
      <w:r>
        <w:rPr>
          <w:rFonts w:ascii="Times New Roman;Times;serif" w:hAnsi="Times New Roman;Times;serif"/>
          <w:sz w:val="24"/>
        </w:rPr>
        <w:t>) under section 19 of the German Insolvency Code (</w:t>
      </w:r>
      <w:r>
        <w:rPr>
          <w:rFonts w:ascii="Times New Roman;Times;serif" w:hAnsi="Times New Roman;Times;serif"/>
          <w:i/>
          <w:sz w:val="24"/>
        </w:rPr>
        <w:t>Insolvenzordnung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 liquidator, trustee in bankruptcy, administrative receiver, compulsory manager receiver, administrator or other similar officer includes an insolvency administrator (</w:t>
      </w:r>
      <w:r>
        <w:rPr>
          <w:rFonts w:ascii="Times New Roman;Times;serif" w:hAnsi="Times New Roman;Times;serif"/>
          <w:i/>
          <w:sz w:val="24"/>
        </w:rPr>
        <w:t>Insolvenzverwalter</w:t>
      </w:r>
      <w:r>
        <w:rPr>
          <w:rFonts w:ascii="Times New Roman;Times;serif" w:hAnsi="Times New Roman;Times;serif"/>
          <w:sz w:val="24"/>
        </w:rPr>
        <w:t>), interim insolvency administrator (</w:t>
      </w:r>
      <w:r>
        <w:rPr>
          <w:rFonts w:ascii="Times New Roman;Times;serif" w:hAnsi="Times New Roman;Times;serif"/>
          <w:i/>
          <w:sz w:val="24"/>
        </w:rPr>
        <w:t>vorläufiger Insolvenzverwalter</w:t>
      </w:r>
      <w:r>
        <w:rPr>
          <w:rFonts w:ascii="Times New Roman;Times;serif" w:hAnsi="Times New Roman;Times;serif"/>
          <w:sz w:val="24"/>
        </w:rPr>
        <w:t>) or custodian (</w:t>
      </w:r>
      <w:r>
        <w:rPr>
          <w:rFonts w:ascii="Times New Roman;Times;serif" w:hAnsi="Times New Roman;Times;serif"/>
          <w:i/>
          <w:sz w:val="24"/>
        </w:rPr>
        <w:t>Sachwalter</w:t>
      </w:r>
      <w:r>
        <w:rPr>
          <w:rFonts w:ascii="Times New Roman;Times;serif" w:hAnsi="Times New Roman;Times;serif"/>
          <w:sz w:val="24"/>
        </w:rPr>
        <w:t>) or interim custodian (</w:t>
      </w:r>
      <w:r>
        <w:rPr>
          <w:rFonts w:ascii="Times New Roman;Times;serif" w:hAnsi="Times New Roman;Times;serif"/>
          <w:i/>
          <w:sz w:val="24"/>
        </w:rPr>
        <w:t>vorläufiger Sachwalter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 winding up, administration or dissolution includes liquidation (</w:t>
      </w:r>
      <w:r>
        <w:rPr>
          <w:rFonts w:ascii="Times New Roman;Times;serif" w:hAnsi="Times New Roman;Times;serif"/>
          <w:i/>
          <w:sz w:val="24"/>
        </w:rPr>
        <w:t>Liquidation</w:t>
      </w:r>
      <w:r>
        <w:rPr>
          <w:rFonts w:ascii="Times New Roman;Times;serif" w:hAnsi="Times New Roman;Times;serif"/>
          <w:sz w:val="24"/>
        </w:rPr>
        <w:t>), (preliminary) insolvency proceedings (</w:t>
      </w:r>
      <w:r>
        <w:rPr>
          <w:rFonts w:ascii="Times New Roman;Times;serif" w:hAnsi="Times New Roman;Times;serif"/>
          <w:i/>
          <w:sz w:val="24"/>
        </w:rPr>
        <w:t>(vorläufiges) Insolvenzverfahren</w:t>
      </w:r>
      <w:r>
        <w:rPr>
          <w:rFonts w:ascii="Times New Roman;Times;serif" w:hAnsi="Times New Roman;Times;serif"/>
          <w:sz w:val="24"/>
        </w:rPr>
        <w:t>), an order for admissibility of the application for the opening of insolvency proceedings (</w:t>
      </w:r>
      <w:r>
        <w:rPr>
          <w:rFonts w:ascii="Times New Roman;Times;serif" w:hAnsi="Times New Roman;Times;serif"/>
          <w:i/>
          <w:sz w:val="24"/>
        </w:rPr>
        <w:t>Entscheidung über Zulässigkeit des Insolvenzantrags</w:t>
      </w:r>
      <w:r>
        <w:rPr>
          <w:rFonts w:ascii="Times New Roman;Times;serif" w:hAnsi="Times New Roman;Times;serif"/>
          <w:sz w:val="24"/>
        </w:rPr>
        <w:t>) or for rejection of insolvency proceedings due to lack of funds (</w:t>
      </w:r>
      <w:r>
        <w:rPr>
          <w:rFonts w:ascii="Times New Roman;Times;serif" w:hAnsi="Times New Roman;Times;serif"/>
          <w:i/>
          <w:sz w:val="24"/>
        </w:rPr>
        <w:t>Abweisungsbeschluss mangels Masse</w:t>
      </w:r>
      <w:r>
        <w:rPr>
          <w:rFonts w:ascii="Times New Roman;Times;serif" w:hAnsi="Times New Roman;Times;serif"/>
          <w:sz w:val="24"/>
        </w:rPr>
        <w:t>) and including any action taken by the competent court as set out in section 21 of the German Insolvency Code (</w:t>
      </w:r>
      <w:r>
        <w:rPr>
          <w:rFonts w:ascii="Times New Roman;Times;serif" w:hAnsi="Times New Roman;Times;serif"/>
          <w:i/>
          <w:sz w:val="24"/>
        </w:rPr>
        <w:t>Insolvenzordnung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 step or procedure taken in connection with insolvency proceedings for a German entity includes it being subject to a filing for insolvency (</w:t>
      </w:r>
      <w:r>
        <w:rPr>
          <w:rFonts w:ascii="Times New Roman;Times;serif" w:hAnsi="Times New Roman;Times;serif"/>
          <w:i/>
          <w:sz w:val="24"/>
        </w:rPr>
        <w:t>Antrag auf Eröffnung eines Insolvenzverfahrens</w:t>
      </w:r>
      <w:r>
        <w:rPr>
          <w:rFonts w:ascii="Times New Roman;Times;serif" w:hAnsi="Times New Roman;Times;serif"/>
          <w:sz w:val="24"/>
        </w:rPr>
        <w:t>) for any of the reasons set out in sections 17 to 19 (inclusive) of the German Insolvency Code (</w:t>
      </w:r>
      <w:r>
        <w:rPr>
          <w:rFonts w:ascii="Times New Roman;Times;serif" w:hAnsi="Times New Roman;Times;serif"/>
          <w:i/>
          <w:sz w:val="24"/>
        </w:rPr>
        <w:t>Insolvenzordnung</w:t>
      </w:r>
      <w:r>
        <w:rPr>
          <w:rFonts w:ascii="Times New Roman;Times;serif" w:hAnsi="Times New Roman;Times;serif"/>
          <w:sz w:val="24"/>
        </w:rPr>
        <w:t>), including, for the avoidance of doubt, a filing for preliminary proceedings according to sections 270a and 270b of the German Insolvency Code (</w:t>
      </w:r>
      <w:r>
        <w:rPr>
          <w:rFonts w:ascii="Times New Roman;Times;serif" w:hAnsi="Times New Roman;Times;serif"/>
          <w:i/>
          <w:sz w:val="24"/>
        </w:rPr>
        <w:t>Insolvenzordnung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 moratorium includes, without limitation, protective shield proceedings (</w:t>
      </w:r>
      <w:r>
        <w:rPr>
          <w:rFonts w:ascii="Times New Roman;Times;serif" w:hAnsi="Times New Roman;Times;serif"/>
          <w:i/>
          <w:sz w:val="24"/>
        </w:rPr>
        <w:t>Schutzschirmverfahren</w:t>
      </w:r>
      <w:r>
        <w:rPr>
          <w:rFonts w:ascii="Times New Roman;Times;serif" w:hAnsi="Times New Roman;Times;serif"/>
          <w:sz w:val="24"/>
        </w:rPr>
        <w:t>) and insolvency plan proceedings (</w:t>
      </w:r>
      <w:r>
        <w:rPr>
          <w:rFonts w:ascii="Times New Roman;Times;serif" w:hAnsi="Times New Roman;Times;serif"/>
          <w:i/>
          <w:sz w:val="24"/>
        </w:rPr>
        <w:t>Insolvenzplanverfahren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director or manager of a company includes any statutory legal representative(s) (including any German law (</w:t>
      </w:r>
      <w:r>
        <w:rPr>
          <w:rFonts w:ascii="Times New Roman;Times;serif" w:hAnsi="Times New Roman;Times;serif"/>
          <w:i/>
          <w:sz w:val="24"/>
        </w:rPr>
        <w:t>organschaftlicher Vertreter</w:t>
      </w:r>
      <w:r>
        <w:rPr>
          <w:rFonts w:ascii="Times New Roman;Times;serif" w:hAnsi="Times New Roman;Times;serif"/>
          <w:sz w:val="24"/>
        </w:rPr>
        <w:t>)) of a person pursuant to the laws of its jurisdiction of incorporation, including with respect to a person incorporated or established in Germany, any managing director (</w:t>
      </w:r>
      <w:r>
        <w:rPr>
          <w:rFonts w:ascii="Times New Roman;Times;serif" w:hAnsi="Times New Roman;Times;serif"/>
          <w:i/>
          <w:sz w:val="24"/>
        </w:rPr>
        <w:t>Geschäftsführer</w:t>
      </w:r>
      <w:r>
        <w:rPr>
          <w:rFonts w:ascii="Times New Roman;Times;serif" w:hAnsi="Times New Roman;Times;serif"/>
          <w:sz w:val="24"/>
        </w:rPr>
        <w:t>) or member of the board (</w:t>
      </w:r>
      <w:r>
        <w:rPr>
          <w:rFonts w:ascii="Times New Roman;Times;serif" w:hAnsi="Times New Roman;Times;serif"/>
          <w:i/>
          <w:sz w:val="24"/>
        </w:rPr>
        <w:t>Vorstand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a security interest or security includes a mortgage (</w:t>
      </w:r>
      <w:r>
        <w:rPr>
          <w:rFonts w:ascii="Times New Roman;Times;serif" w:hAnsi="Times New Roman;Times;serif"/>
          <w:i/>
          <w:sz w:val="24"/>
        </w:rPr>
        <w:t>Hypothek</w:t>
      </w:r>
      <w:r>
        <w:rPr>
          <w:rFonts w:ascii="Times New Roman;Times;serif" w:hAnsi="Times New Roman;Times;serif"/>
          <w:sz w:val="24"/>
        </w:rPr>
        <w:t>), land charge (</w:t>
      </w:r>
      <w:r>
        <w:rPr>
          <w:rFonts w:ascii="Times New Roman;Times;serif" w:hAnsi="Times New Roman;Times;serif"/>
          <w:i/>
          <w:sz w:val="24"/>
        </w:rPr>
        <w:t>Grundschuld</w:t>
      </w:r>
      <w:r>
        <w:rPr>
          <w:rFonts w:ascii="Times New Roman;Times;serif" w:hAnsi="Times New Roman;Times;serif"/>
          <w:sz w:val="24"/>
        </w:rPr>
        <w:t>) including security purpose declarations, pledge (</w:t>
      </w:r>
      <w:r>
        <w:rPr>
          <w:rFonts w:ascii="Times New Roman;Times;serif" w:hAnsi="Times New Roman;Times;serif"/>
          <w:i/>
          <w:sz w:val="24"/>
        </w:rPr>
        <w:t>Pfandrecht</w:t>
      </w:r>
      <w:r>
        <w:rPr>
          <w:rFonts w:ascii="Times New Roman;Times;serif" w:hAnsi="Times New Roman;Times;serif"/>
          <w:sz w:val="24"/>
        </w:rPr>
        <w:t>), assignment or transfer for security purposes (</w:t>
      </w:r>
      <w:r>
        <w:rPr>
          <w:rFonts w:ascii="Times New Roman;Times;serif" w:hAnsi="Times New Roman;Times;serif"/>
          <w:i/>
          <w:sz w:val="24"/>
        </w:rPr>
        <w:t>Sicherungsabtretung oder -übereignung</w:t>
      </w:r>
      <w:r>
        <w:rPr>
          <w:rFonts w:ascii="Times New Roman;Times;serif" w:hAnsi="Times New Roman;Times;serif"/>
          <w:sz w:val="24"/>
        </w:rPr>
        <w:t>) and retention of title arrangements (</w:t>
      </w:r>
      <w:r>
        <w:rPr>
          <w:rFonts w:ascii="Times New Roman;Times;serif" w:hAnsi="Times New Roman;Times;serif"/>
          <w:i/>
          <w:sz w:val="24"/>
        </w:rPr>
        <w:t>(verlängerter/erweiterter) Eigentumsvorbehalt</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a guarantee includes any guarantee (</w:t>
      </w:r>
      <w:r>
        <w:rPr>
          <w:rFonts w:ascii="Times New Roman;Times;serif" w:hAnsi="Times New Roman;Times;serif"/>
          <w:i/>
          <w:sz w:val="24"/>
        </w:rPr>
        <w:t>Garantie</w:t>
      </w:r>
      <w:r>
        <w:rPr>
          <w:rFonts w:ascii="Times New Roman;Times;serif" w:hAnsi="Times New Roman;Times;serif"/>
          <w:sz w:val="24"/>
        </w:rPr>
        <w:t>), any indemnity, any joint and several (</w:t>
      </w:r>
      <w:r>
        <w:rPr>
          <w:rFonts w:ascii="Times New Roman;Times;serif" w:hAnsi="Times New Roman;Times;serif"/>
          <w:i/>
          <w:sz w:val="24"/>
        </w:rPr>
        <w:t>gesamtschuldnerisch</w:t>
      </w:r>
      <w:r>
        <w:rPr>
          <w:rFonts w:ascii="Times New Roman;Times;serif" w:hAnsi="Times New Roman;Times;serif"/>
          <w:sz w:val="24"/>
        </w:rPr>
        <w:t>) or independent obligation (</w:t>
      </w:r>
      <w:r>
        <w:rPr>
          <w:rFonts w:ascii="Times New Roman;Times;serif" w:hAnsi="Times New Roman;Times;serif"/>
          <w:i/>
          <w:sz w:val="24"/>
        </w:rPr>
        <w:t>unabhängiges Schuldversprechen</w:t>
      </w:r>
      <w:r>
        <w:rPr>
          <w:rFonts w:ascii="Times New Roman;Times;serif" w:hAnsi="Times New Roman;Times;serif"/>
          <w:sz w:val="24"/>
        </w:rPr>
        <w:t>) within the meaning of German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1.14</w:t>
      </w:r>
      <w:r>
        <w:rPr>
          <w:rFonts w:ascii="Times New Roman;Times;serif" w:hAnsi="Times New Roman;Times;serif"/>
          <w:sz w:val="24"/>
          <w:u w:val="single"/>
        </w:rPr>
        <w:t>Irish Terms</w:t>
      </w:r>
      <w:r>
        <w:rPr>
          <w:rFonts w:ascii="Times New Roman;Times;serif" w:hAnsi="Times New Roman;Times;serif"/>
          <w:sz w:val="24"/>
        </w:rPr>
        <w:t>. In this Agreement and any other Security Document, where it relates to an entity incorporated in or having its registered office in Ireland, a reference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 composition, compromise, assignment or arrangement with any creditor, winding up, administration, insolvency or dissolution (where it relates to a person incorporated or having its centre of main interests in Ireland) includes, without limitation:</w:t>
      </w:r>
    </w:p>
    <w:tbl>
      <w:tblPr>
        <w:tblW w:w="7713" w:type="dxa"/>
        <w:jc w:val="left"/>
        <w:tblInd w:w="0" w:type="dxa"/>
        <w:tblLayout w:type="fixed"/>
        <w:tblCellMar>
          <w:top w:w="0" w:type="dxa"/>
          <w:left w:w="0" w:type="dxa"/>
          <w:bottom w:w="0" w:type="dxa"/>
          <w:right w:w="0" w:type="dxa"/>
        </w:tblCellMar>
      </w:tblPr>
      <w:tblGrid>
        <w:gridCol w:w="23"/>
        <w:gridCol w:w="23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w:t>
            </w:r>
          </w:p>
        </w:tc>
        <w:tc>
          <w:tcPr>
            <w:tcW w:w="74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 act of bankruptcy (as that term is defined in the Irish Bankruptcy Act 1988);</w:t>
            </w:r>
          </w:p>
        </w:tc>
      </w:tr>
    </w:tbl>
    <w:tbl>
      <w:tblPr>
        <w:tblW w:w="8343" w:type="dxa"/>
        <w:jc w:val="left"/>
        <w:tblInd w:w="0" w:type="dxa"/>
        <w:tblLayout w:type="fixed"/>
        <w:tblCellMar>
          <w:top w:w="0" w:type="dxa"/>
          <w:left w:w="0" w:type="dxa"/>
          <w:bottom w:w="0" w:type="dxa"/>
          <w:right w:w="0" w:type="dxa"/>
        </w:tblCellMar>
      </w:tblPr>
      <w:tblGrid>
        <w:gridCol w:w="23"/>
        <w:gridCol w:w="290"/>
        <w:gridCol w:w="80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(ii)</w:t>
            </w:r>
          </w:p>
        </w:tc>
        <w:tc>
          <w:tcPr>
            <w:tcW w:w="803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appointment of an examiner (as defined in Section 2 of the Irish Companies Act);</w:t>
            </w:r>
          </w:p>
        </w:tc>
      </w:tr>
    </w:tbl>
    <w:tbl>
      <w:tblPr>
        <w:tblW w:w="1713" w:type="dxa"/>
        <w:jc w:val="left"/>
        <w:tblInd w:w="0" w:type="dxa"/>
        <w:tblLayout w:type="fixed"/>
        <w:tblCellMar>
          <w:top w:w="0" w:type="dxa"/>
          <w:left w:w="0" w:type="dxa"/>
          <w:bottom w:w="0" w:type="dxa"/>
          <w:right w:w="0" w:type="dxa"/>
        </w:tblCellMar>
      </w:tblPr>
      <w:tblGrid>
        <w:gridCol w:w="23"/>
        <w:gridCol w:w="35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(iii)</w:t>
            </w:r>
          </w:p>
        </w:tc>
        <w:tc>
          <w:tcPr>
            <w:tcW w:w="13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examinership;</w:t>
            </w:r>
          </w:p>
        </w:tc>
      </w:tr>
    </w:tbl>
    <w:tbl>
      <w:tblPr>
        <w:tblW w:w="9213" w:type="dxa"/>
        <w:jc w:val="left"/>
        <w:tblInd w:w="0" w:type="dxa"/>
        <w:tblLayout w:type="fixed"/>
        <w:tblCellMar>
          <w:top w:w="0" w:type="dxa"/>
          <w:left w:w="0" w:type="dxa"/>
          <w:bottom w:w="0" w:type="dxa"/>
          <w:right w:w="0" w:type="dxa"/>
        </w:tblCellMar>
      </w:tblPr>
      <w:tblGrid>
        <w:gridCol w:w="23"/>
        <w:gridCol w:w="350"/>
        <w:gridCol w:w="8840"/>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(iv)</w:t>
            </w:r>
          </w:p>
        </w:tc>
        <w:tc>
          <w:tcPr>
            <w:tcW w:w="88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procedure or process referred to in Part 11 (</w:t>
            </w:r>
            <w:r>
              <w:rPr>
                <w:rFonts w:ascii="Times New Roman;Times;serif" w:hAnsi="Times New Roman;Times;serif"/>
                <w:i/>
                <w:sz w:val="24"/>
              </w:rPr>
              <w:t>Winding Up</w:t>
            </w:r>
            <w:r>
              <w:rPr>
                <w:rFonts w:ascii="Times New Roman;Times;serif" w:hAnsi="Times New Roman;Times;serif"/>
                <w:sz w:val="24"/>
              </w:rPr>
              <w:t>) of the Irish Companies Act; and</w:t>
            </w:r>
          </w:p>
        </w:tc>
      </w:tr>
    </w:tbl>
    <w:tbl>
      <w:tblPr>
        <w:tblW w:w="10205" w:type="dxa"/>
        <w:jc w:val="left"/>
        <w:tblInd w:w="0" w:type="dxa"/>
        <w:tblLayout w:type="fixed"/>
        <w:tblCellMar>
          <w:top w:w="0" w:type="dxa"/>
          <w:left w:w="0" w:type="dxa"/>
          <w:bottom w:w="0" w:type="dxa"/>
          <w:right w:w="0" w:type="dxa"/>
        </w:tblCellMar>
      </w:tblPr>
      <w:tblGrid>
        <w:gridCol w:w="23"/>
        <w:gridCol w:w="259"/>
        <w:gridCol w:w="9923"/>
      </w:tblGrid>
      <w:tr>
        <w:trPr/>
        <w:tc>
          <w:tcPr>
            <w:tcW w:w="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(v)</w:t>
            </w:r>
          </w:p>
        </w:tc>
        <w:tc>
          <w:tcPr>
            <w:tcW w:w="992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other similar proceedings affecting the rights of creditors generally under Irish law, and shall be construed so as to include any equivalent or analogous proceedings;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an “examiner” means an examiner or an interim examiner under Section 509 or 517 of the Irish Companies Act and “examinership” shall be construed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0"/>
        </w:rPr>
        <w:t>“</w:t>
      </w:r>
      <w:r>
        <w:rPr>
          <w:rFonts w:ascii="Times New Roman;Times;serif" w:hAnsi="Times New Roman;Times;serif"/>
          <w:sz w:val="24"/>
        </w:rPr>
        <w:t>financial assistance” includes any act contemplated by Section 82 of the Irish Companies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 reference to “Ireland” means the island of Ireland, exclusive of Northern Ireland;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 person being “unable to pay its debts” includes that person being unable to pay its debts within the meaning of Section 509(3) or Section 570 of the Irish Companies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a “process advisor” means a process advisor within the meaning given to that term in Part 2 of the Companies (Rescue Process for Small and Micro Companies) Act 2021;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a “Wholly Owned Subsidiary” means a wholly owned subsidiary within the meaning of section 8 of the Irish Companies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1.15</w:t>
      </w:r>
      <w:r>
        <w:rPr>
          <w:rFonts w:ascii="Times New Roman;Times;serif" w:hAnsi="Times New Roman;Times;serif"/>
          <w:sz w:val="24"/>
          <w:u w:val="single"/>
        </w:rPr>
        <w:t>UK Terms</w:t>
      </w:r>
      <w:r>
        <w:rPr>
          <w:rFonts w:ascii="Times New Roman;Times;serif" w:hAnsi="Times New Roman;Times;serif"/>
          <w:sz w:val="24"/>
        </w:rPr>
        <w:t>. In this Agreement, or any other Loan Document, if applicable, where it relates to any Loan Party incorporated under the laws of England and Wales, a reference to an insolvency event in respect of a UK Loan Party means any corporate action, legal proceedings or other formal procedure or step is taken in relation to (i) the suspension of payments, a moratorium of any indebtedness, winding-up, dissolution, administration or reorganization (by way of voluntary arrangement, scheme of arrangement or otherwise) of that UK Loan Party, (ii) a composition, compromise, assignment or arrangement with any creditor of that UK Loan Party (other than the Lenders or Administrative Agent in their capacities as such), (iii) the appointment of a liquidator, receiver, administrative receiver, administrator, compulsory manager or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similar officer in respect of that UK Loan Party or any of its assets subject to the UK Security Documents, (iv) enforcement of any security over any of such UK Loan Party’s assets; or (v) in each case, any analogous procedure or step in any jurisdiction in each case, except for any winding-up petition which is frivolous or vexatious and is discharged, stayed, or dismissed within 15 Business Days of commencement.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1.16</w:t>
      </w:r>
      <w:r>
        <w:rPr>
          <w:rFonts w:ascii="Times New Roman;Times;serif" w:hAnsi="Times New Roman;Times;serif"/>
          <w:sz w:val="24"/>
          <w:u w:val="single"/>
        </w:rPr>
        <w:t>Swiss Terms</w:t>
      </w:r>
      <w:r>
        <w:rPr>
          <w:rFonts w:ascii="Times New Roman;Times;serif" w:hAnsi="Times New Roman;Times;serif"/>
          <w:sz w:val="24"/>
        </w:rPr>
        <w:t>. In this Agreement and any other Loan Document, if applicable, where it relates to any Swiss Loan Party and unless the contrary intention appears, a reference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 person being unable to pay its debts or insolvent includes a reference to that person being in a state of inability to make payments (</w:t>
      </w:r>
      <w:r>
        <w:rPr>
          <w:rFonts w:ascii="Times New Roman;Times;serif" w:hAnsi="Times New Roman;Times;serif"/>
          <w:i/>
          <w:sz w:val="24"/>
        </w:rPr>
        <w:t>Zahlungsunfähigkeit</w:t>
      </w:r>
      <w:r>
        <w:rPr>
          <w:rFonts w:ascii="Times New Roman;Times;serif" w:hAnsi="Times New Roman;Times;serif"/>
          <w:sz w:val="24"/>
        </w:rPr>
        <w:t>) and being over-indebted (</w:t>
      </w:r>
      <w:r>
        <w:rPr>
          <w:rFonts w:ascii="Times New Roman;Times;serif" w:hAnsi="Times New Roman;Times;serif"/>
          <w:i/>
          <w:sz w:val="24"/>
        </w:rPr>
        <w:t>Überschuldung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receiver, administrative receiver, administrator, trustee in bankruptcy, custodian, conservator, liquidator, receiver manager, compulsory manager, monitor or similar officer includes a reference to any (i) </w:t>
      </w:r>
      <w:r>
        <w:rPr>
          <w:rFonts w:ascii="Times New Roman;Times;serif" w:hAnsi="Times New Roman;Times;serif"/>
          <w:i/>
          <w:sz w:val="24"/>
        </w:rPr>
        <w:t xml:space="preserve">Sachwalter </w:t>
      </w:r>
      <w:r>
        <w:rPr>
          <w:rFonts w:ascii="Times New Roman;Times;serif" w:hAnsi="Times New Roman;Times;serif"/>
          <w:sz w:val="24"/>
        </w:rPr>
        <w:t xml:space="preserve">appointed in accordance with the Swiss CO, (ii) </w:t>
      </w:r>
      <w:r>
        <w:rPr>
          <w:rFonts w:ascii="Times New Roman;Times;serif" w:hAnsi="Times New Roman;Times;serif"/>
          <w:i/>
          <w:sz w:val="24"/>
        </w:rPr>
        <w:t xml:space="preserve">Liquidator </w:t>
      </w:r>
      <w:r>
        <w:rPr>
          <w:rFonts w:ascii="Times New Roman;Times;serif" w:hAnsi="Times New Roman;Times;serif"/>
          <w:sz w:val="24"/>
        </w:rPr>
        <w:t xml:space="preserve">appointed in accordance with the Swiss CO and (iii) </w:t>
      </w:r>
      <w:r>
        <w:rPr>
          <w:rFonts w:ascii="Times New Roman;Times;serif" w:hAnsi="Times New Roman;Times;serif"/>
          <w:i/>
          <w:sz w:val="24"/>
        </w:rPr>
        <w:t xml:space="preserve">Konkursamt or Konkursverwaltung </w:t>
      </w:r>
      <w:r>
        <w:rPr>
          <w:rFonts w:ascii="Times New Roman;Times;serif" w:hAnsi="Times New Roman;Times;serif"/>
          <w:sz w:val="24"/>
        </w:rPr>
        <w:t xml:space="preserve">(including a supervisory authority acting in any such capacity) or any of its officials or employees, any </w:t>
      </w:r>
      <w:r>
        <w:rPr>
          <w:rFonts w:ascii="Times New Roman;Times;serif" w:hAnsi="Times New Roman;Times;serif"/>
          <w:i/>
          <w:sz w:val="24"/>
        </w:rPr>
        <w:t xml:space="preserve">Liquidator </w:t>
      </w:r>
      <w:r>
        <w:rPr>
          <w:rFonts w:ascii="Times New Roman;Times;serif" w:hAnsi="Times New Roman;Times;serif"/>
          <w:sz w:val="24"/>
        </w:rPr>
        <w:t xml:space="preserve">or </w:t>
      </w:r>
      <w:r>
        <w:rPr>
          <w:rFonts w:ascii="Times New Roman;Times;serif" w:hAnsi="Times New Roman;Times;serif"/>
          <w:i/>
          <w:sz w:val="24"/>
        </w:rPr>
        <w:t xml:space="preserve">Sachwalter </w:t>
      </w:r>
      <w:r>
        <w:rPr>
          <w:rFonts w:ascii="Times New Roman;Times;serif" w:hAnsi="Times New Roman;Times;serif"/>
          <w:sz w:val="24"/>
        </w:rPr>
        <w:t>or other officer appointed in accordance with the Swiss DEBA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 liquidation, winding-up, administration, dissolution, bankruptcy, liquidation, composition with creditors or moratorium includes a reference to (i) a Swiss Loan Party’s own filing for the declaration of bankruptcy (</w:t>
      </w:r>
      <w:r>
        <w:rPr>
          <w:rFonts w:ascii="Times New Roman;Times;serif" w:hAnsi="Times New Roman;Times;serif"/>
          <w:i/>
          <w:sz w:val="24"/>
        </w:rPr>
        <w:t>Antrag auf Konkurseröffnung pursuant to article 191 DEBA</w:t>
      </w:r>
      <w:r>
        <w:rPr>
          <w:rFonts w:ascii="Times New Roman;Times;serif" w:hAnsi="Times New Roman;Times;serif"/>
          <w:sz w:val="24"/>
        </w:rPr>
        <w:t>) or a formal declaration of bankruptcy (</w:t>
      </w:r>
      <w:r>
        <w:rPr>
          <w:rFonts w:ascii="Times New Roman;Times;serif" w:hAnsi="Times New Roman;Times;serif"/>
          <w:i/>
          <w:sz w:val="24"/>
        </w:rPr>
        <w:t>Konkurseröffnung</w:t>
      </w:r>
      <w:r>
        <w:rPr>
          <w:rFonts w:ascii="Times New Roman;Times;serif" w:hAnsi="Times New Roman;Times;serif"/>
          <w:sz w:val="24"/>
        </w:rPr>
        <w:t>) within the meaning of the Swiss DEBA, (ii) the filing for a request for a moratorium (</w:t>
      </w:r>
      <w:r>
        <w:rPr>
          <w:rFonts w:ascii="Times New Roman;Times;serif" w:hAnsi="Times New Roman;Times;serif"/>
          <w:i/>
          <w:sz w:val="24"/>
        </w:rPr>
        <w:t>Gesuch um Nachlassstundung</w:t>
      </w:r>
      <w:r>
        <w:rPr>
          <w:rFonts w:ascii="Times New Roman;Times;serif" w:hAnsi="Times New Roman;Times;serif"/>
          <w:sz w:val="24"/>
        </w:rPr>
        <w:t>) or a grant of a moratorium (</w:t>
      </w:r>
      <w:r>
        <w:rPr>
          <w:rFonts w:ascii="Times New Roman;Times;serif" w:hAnsi="Times New Roman;Times;serif"/>
          <w:i/>
          <w:sz w:val="24"/>
        </w:rPr>
        <w:t>provisorische oder definitive Nachlassstundung</w:t>
      </w:r>
      <w:r>
        <w:rPr>
          <w:rFonts w:ascii="Times New Roman;Times;serif" w:hAnsi="Times New Roman;Times;serif"/>
          <w:sz w:val="24"/>
        </w:rPr>
        <w:t>) within the meaning of the Swiss DEBA, and (iii) the notification of the court of over-indebtedness pursuant to article 725b paragraph 3 of the Swiss CO;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 director or a manager includes a reference to in relation to a company limited by shares (</w:t>
      </w:r>
      <w:r>
        <w:rPr>
          <w:rFonts w:ascii="Times New Roman;Times;serif" w:hAnsi="Times New Roman;Times;serif"/>
          <w:i/>
          <w:sz w:val="24"/>
        </w:rPr>
        <w:t>Aktiengesellschaft</w:t>
      </w:r>
      <w:r>
        <w:rPr>
          <w:rFonts w:ascii="Times New Roman;Times;serif" w:hAnsi="Times New Roman;Times;serif"/>
          <w:sz w:val="24"/>
        </w:rPr>
        <w:t>) a member of the board of directors (</w:t>
      </w:r>
      <w:r>
        <w:rPr>
          <w:rFonts w:ascii="Times New Roman;Times;serif" w:hAnsi="Times New Roman;Times;serif"/>
          <w:i/>
          <w:sz w:val="24"/>
        </w:rPr>
        <w:t>Verwaltungsrat</w:t>
      </w:r>
      <w:r>
        <w:rPr>
          <w:rFonts w:ascii="Times New Roman;Times;serif" w:hAnsi="Times New Roman;Times;serif"/>
          <w:sz w:val="24"/>
        </w:rPr>
        <w:t>) or a member of the executive management (</w:t>
      </w:r>
      <w:r>
        <w:rPr>
          <w:rFonts w:ascii="Times New Roman;Times;serif" w:hAnsi="Times New Roman;Times;serif"/>
          <w:i/>
          <w:sz w:val="24"/>
        </w:rPr>
        <w:t>Geschäftsleitung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1.17</w:t>
      </w:r>
      <w:r>
        <w:rPr>
          <w:rFonts w:ascii="Times New Roman;Times;serif" w:hAnsi="Times New Roman;Times;serif"/>
          <w:sz w:val="24"/>
          <w:u w:val="single"/>
        </w:rPr>
        <w:t>Dutch Terms</w:t>
      </w:r>
      <w:r>
        <w:rPr>
          <w:rFonts w:ascii="Times New Roman;Times;serif" w:hAnsi="Times New Roman;Times;serif"/>
          <w:sz w:val="24"/>
        </w:rPr>
        <w:t>. Without prejudice to the generality of any provision of this Agreement, in this Agreement or any other Loan Document, where it relates to any Dutch Loan Party, a reference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 necessary action to authorise, where applicable, includes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action required to comply with the Dutch Works Councils Act (</w:t>
      </w:r>
      <w:r>
        <w:rPr>
          <w:rFonts w:ascii="Times New Roman;Times;serif" w:hAnsi="Times New Roman;Times;serif"/>
          <w:i/>
          <w:sz w:val="24"/>
        </w:rPr>
        <w:t>Wet op de ondernemingsraden</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obtaining a positive advice (</w:t>
      </w:r>
      <w:r>
        <w:rPr>
          <w:rFonts w:ascii="Times New Roman;Times;serif" w:hAnsi="Times New Roman;Times;serif"/>
          <w:i/>
          <w:sz w:val="24"/>
        </w:rPr>
        <w:t>positief advies</w:t>
      </w:r>
      <w:r>
        <w:rPr>
          <w:rFonts w:ascii="Times New Roman;Times;serif" w:hAnsi="Times New Roman;Times;serif"/>
          <w:sz w:val="24"/>
        </w:rPr>
        <w:t>) or neutral advice (</w:t>
      </w:r>
      <w:r>
        <w:rPr>
          <w:rFonts w:ascii="Times New Roman;Times;serif" w:hAnsi="Times New Roman;Times;serif"/>
          <w:i/>
          <w:sz w:val="24"/>
        </w:rPr>
        <w:t>neutraal advies</w:t>
      </w:r>
      <w:r>
        <w:rPr>
          <w:rFonts w:ascii="Times New Roman;Times;serif" w:hAnsi="Times New Roman;Times;serif"/>
          <w:sz w:val="24"/>
        </w:rPr>
        <w:t>) from the competent works council(s);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 security interest includes any mortgage (</w:t>
      </w:r>
      <w:r>
        <w:rPr>
          <w:rFonts w:ascii="Times New Roman;Times;serif" w:hAnsi="Times New Roman;Times;serif"/>
          <w:i/>
          <w:sz w:val="24"/>
        </w:rPr>
        <w:t>hypotheek</w:t>
      </w:r>
      <w:r>
        <w:rPr>
          <w:rFonts w:ascii="Times New Roman;Times;serif" w:hAnsi="Times New Roman;Times;serif"/>
          <w:sz w:val="24"/>
        </w:rPr>
        <w:t>), pledge (</w:t>
      </w:r>
      <w:r>
        <w:rPr>
          <w:rFonts w:ascii="Times New Roman;Times;serif" w:hAnsi="Times New Roman;Times;serif"/>
          <w:i/>
          <w:sz w:val="24"/>
        </w:rPr>
        <w:t>pandrecht</w:t>
      </w:r>
      <w:r>
        <w:rPr>
          <w:rFonts w:ascii="Times New Roman;Times;serif" w:hAnsi="Times New Roman;Times;serif"/>
          <w:sz w:val="24"/>
        </w:rPr>
        <w:t>), retention of title arrangement (</w:t>
      </w:r>
      <w:r>
        <w:rPr>
          <w:rFonts w:ascii="Times New Roman;Times;serif" w:hAnsi="Times New Roman;Times;serif"/>
          <w:i/>
          <w:sz w:val="24"/>
        </w:rPr>
        <w:t>eigendomsvoorbehoud</w:t>
      </w:r>
      <w:r>
        <w:rPr>
          <w:rFonts w:ascii="Times New Roman;Times;serif" w:hAnsi="Times New Roman;Times;serif"/>
          <w:sz w:val="24"/>
        </w:rPr>
        <w:t>), privilege (</w:t>
      </w:r>
      <w:r>
        <w:rPr>
          <w:rFonts w:ascii="Times New Roman;Times;serif" w:hAnsi="Times New Roman;Times;serif"/>
          <w:i/>
          <w:sz w:val="24"/>
        </w:rPr>
        <w:t>voorrecht</w:t>
      </w:r>
      <w:r>
        <w:rPr>
          <w:rFonts w:ascii="Times New Roman;Times;serif" w:hAnsi="Times New Roman;Times;serif"/>
          <w:sz w:val="24"/>
        </w:rPr>
        <w:t>), right of retention (</w:t>
      </w:r>
      <w:r>
        <w:rPr>
          <w:rFonts w:ascii="Times New Roman;Times;serif" w:hAnsi="Times New Roman;Times;serif"/>
          <w:i/>
          <w:sz w:val="24"/>
        </w:rPr>
        <w:t>recht van retentie</w:t>
      </w:r>
      <w:r>
        <w:rPr>
          <w:rFonts w:ascii="Times New Roman;Times;serif" w:hAnsi="Times New Roman;Times;serif"/>
          <w:sz w:val="24"/>
        </w:rPr>
        <w:t>) and right to reclaim goods (</w:t>
      </w:r>
      <w:r>
        <w:rPr>
          <w:rFonts w:ascii="Times New Roman;Times;serif" w:hAnsi="Times New Roman;Times;serif"/>
          <w:i/>
          <w:sz w:val="24"/>
        </w:rPr>
        <w:t>recht van reclame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 winding-up, administration or dissolution includes a Dutch person being declared bankrupt (</w:t>
      </w:r>
      <w:r>
        <w:rPr>
          <w:rFonts w:ascii="Times New Roman;Times;serif" w:hAnsi="Times New Roman;Times;serif"/>
          <w:i/>
          <w:sz w:val="24"/>
        </w:rPr>
        <w:t>failliet verklaard</w:t>
      </w:r>
      <w:r>
        <w:rPr>
          <w:rFonts w:ascii="Times New Roman;Times;serif" w:hAnsi="Times New Roman;Times;serif"/>
          <w:sz w:val="24"/>
        </w:rPr>
        <w:t>) or dissolved (</w:t>
      </w:r>
      <w:r>
        <w:rPr>
          <w:rFonts w:ascii="Times New Roman;Times;serif" w:hAnsi="Times New Roman;Times;serif"/>
          <w:i/>
          <w:sz w:val="24"/>
        </w:rPr>
        <w:t>ontbonden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a moratorium or suspension of payments includes a </w:t>
      </w:r>
      <w:r>
        <w:rPr>
          <w:rFonts w:ascii="Times New Roman;Times;serif" w:hAnsi="Times New Roman;Times;serif"/>
          <w:i/>
          <w:sz w:val="24"/>
        </w:rPr>
        <w:t>surseance van betaling</w:t>
      </w:r>
      <w:r>
        <w:rPr>
          <w:rFonts w:ascii="Times New Roman;Times;serif" w:hAnsi="Times New Roman;Times;serif"/>
          <w:sz w:val="20"/>
        </w:rPr>
        <w:t xml:space="preserve"> </w:t>
      </w:r>
      <w:r>
        <w:rPr>
          <w:rFonts w:ascii="Times New Roman;Times;serif" w:hAnsi="Times New Roman;Times;serif"/>
          <w:sz w:val="24"/>
        </w:rPr>
        <w:t xml:space="preserve">and granted a moratorium or suspension of payments includes </w:t>
      </w:r>
      <w:r>
        <w:rPr>
          <w:rFonts w:ascii="Times New Roman;Times;serif" w:hAnsi="Times New Roman;Times;serif"/>
          <w:i/>
          <w:sz w:val="24"/>
        </w:rPr>
        <w:t>surseance verleend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a trustee, receiver or administrator includes a </w:t>
      </w:r>
      <w:r>
        <w:rPr>
          <w:rFonts w:ascii="Times New Roman;Times;serif" w:hAnsi="Times New Roman;Times;serif"/>
          <w:i/>
          <w:sz w:val="24"/>
        </w:rPr>
        <w:t>curator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an administrator includes a </w:t>
      </w:r>
      <w:r>
        <w:rPr>
          <w:rFonts w:ascii="Times New Roman;Times;serif" w:hAnsi="Times New Roman;Times;serif"/>
          <w:i/>
          <w:sz w:val="24"/>
        </w:rPr>
        <w:t>bewindvoerder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a liquidator includes a </w:t>
      </w:r>
      <w:r>
        <w:rPr>
          <w:rFonts w:ascii="Times New Roman;Times;serif" w:hAnsi="Times New Roman;Times;serif"/>
          <w:i/>
          <w:sz w:val="24"/>
        </w:rPr>
        <w:t>vereffenaar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an attachment includes a </w:t>
      </w:r>
      <w:r>
        <w:rPr>
          <w:rFonts w:ascii="Times New Roman;Times;serif" w:hAnsi="Times New Roman;Times;serif"/>
          <w:i/>
          <w:sz w:val="24"/>
        </w:rPr>
        <w:t>beslag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a group includes a </w:t>
      </w:r>
      <w:r>
        <w:rPr>
          <w:rFonts w:ascii="Times New Roman;Times;serif" w:hAnsi="Times New Roman;Times;serif"/>
          <w:i/>
          <w:sz w:val="24"/>
        </w:rPr>
        <w:t>groep</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 xml:space="preserve">a subsidiary includes a </w:t>
      </w:r>
      <w:r>
        <w:rPr>
          <w:rFonts w:ascii="Times New Roman;Times;serif" w:hAnsi="Times New Roman;Times;serif"/>
          <w:i/>
          <w:sz w:val="24"/>
        </w:rPr>
        <w:t>dochtermaatschappij</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 xml:space="preserve">an affiliate includes a </w:t>
      </w:r>
      <w:r>
        <w:rPr>
          <w:rFonts w:ascii="Times New Roman;Times;serif" w:hAnsi="Times New Roman;Times;serif"/>
          <w:i/>
          <w:sz w:val="24"/>
        </w:rPr>
        <w:t>groepsmaatschappij</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 xml:space="preserve">a merger includes a </w:t>
      </w:r>
      <w:r>
        <w:rPr>
          <w:rFonts w:ascii="Times New Roman;Times;serif" w:hAnsi="Times New Roman;Times;serif"/>
          <w:i/>
          <w:sz w:val="24"/>
        </w:rPr>
        <w:t>juridische fusie</w:t>
      </w:r>
      <w:r>
        <w:rPr>
          <w:rFonts w:ascii="Times New Roman;Times;serif" w:hAnsi="Times New Roman;Times;serif"/>
          <w:sz w:val="24"/>
        </w:rPr>
        <w:t xml:space="preserve">, </w:t>
      </w:r>
      <w:r>
        <w:rPr>
          <w:rFonts w:ascii="Times New Roman;Times;serif" w:hAnsi="Times New Roman;Times;serif"/>
          <w:i/>
          <w:sz w:val="24"/>
        </w:rPr>
        <w:t>aandelenfusie</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i/>
          <w:sz w:val="24"/>
        </w:rPr>
        <w:t>bedrijfsfusie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 xml:space="preserve">a director includes a </w:t>
      </w:r>
      <w:r>
        <w:rPr>
          <w:rFonts w:ascii="Times New Roman;Times;serif" w:hAnsi="Times New Roman;Times;serif"/>
          <w:i/>
          <w:sz w:val="24"/>
        </w:rPr>
        <w:t>bestuurder</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 xml:space="preserve">constitutional documents include an </w:t>
      </w:r>
      <w:r>
        <w:rPr>
          <w:rFonts w:ascii="Times New Roman;Times;serif" w:hAnsi="Times New Roman;Times;serif"/>
          <w:i/>
          <w:sz w:val="24"/>
        </w:rPr>
        <w:t>akte van oprichting</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i/>
          <w:sz w:val="24"/>
        </w:rPr>
        <w:t>statuten</w:t>
      </w:r>
      <w:r>
        <w:rPr>
          <w:rFonts w:ascii="Times New Roman;Times;serif" w:hAnsi="Times New Roman;Times;serif"/>
          <w:sz w:val="24"/>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2</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THE CREDITS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2.01</w:t>
      </w:r>
      <w:r>
        <w:rPr>
          <w:rFonts w:ascii="Times New Roman;Times;serif" w:hAnsi="Times New Roman;Times;serif"/>
          <w:sz w:val="24"/>
          <w:u w:val="single"/>
        </w:rPr>
        <w:t>Commitments</w:t>
      </w:r>
      <w:r>
        <w:rPr>
          <w:rFonts w:ascii="Times New Roman;Times;serif" w:hAnsi="Times New Roman;Times;serif"/>
          <w:sz w:val="24"/>
        </w:rPr>
        <w:t>. Subject to the terms and conditions set forth herein, each Revolving Lender severally agrees to make revolving credit loans (collectively, “</w:t>
      </w:r>
      <w:r>
        <w:rPr>
          <w:rFonts w:ascii="Times New Roman;Times;serif" w:hAnsi="Times New Roman;Times;serif"/>
          <w:b/>
          <w:sz w:val="24"/>
        </w:rPr>
        <w:t>Revolving Loans</w:t>
      </w:r>
      <w:r>
        <w:rPr>
          <w:rFonts w:ascii="Times New Roman;Times;serif" w:hAnsi="Times New Roman;Times;serif"/>
          <w:sz w:val="20"/>
        </w:rPr>
        <w:t>”</w:t>
      </w:r>
      <w:r>
        <w:rPr>
          <w:rFonts w:ascii="Times New Roman;Times;serif" w:hAnsi="Times New Roman;Times;serif"/>
          <w:sz w:val="24"/>
        </w:rPr>
        <w:t>) in Dollars or in one or more Alternative Currencies to the Borrowers from time to time during the Availability Period in an aggregate principal amount that will not result in (a) such Revolving Lender’s Revolving Credit Exposure exceeding such Revolving Lender’s Commitment, (b) the Total Revolving Extensions of Credit exceeding the total Commitments of all Lenders, (c) the outstanding principal amount of Revolving Loans exceeding the Revolving Loan Cap</w:t>
      </w:r>
      <w:r>
        <w:rPr>
          <w:rFonts w:ascii="Times New Roman;Times;serif" w:hAnsi="Times New Roman;Times;serif"/>
          <w:color w:val="FF0000"/>
          <w:sz w:val="20"/>
        </w:rPr>
        <w:t xml:space="preserve"> </w:t>
      </w:r>
      <w:r>
        <w:rPr>
          <w:rFonts w:ascii="Times New Roman;Times;serif" w:hAnsi="Times New Roman;Times;serif"/>
          <w:b/>
          <w:color w:val="FF0000"/>
          <w:sz w:val="24"/>
        </w:rPr>
        <w:t>or</w:t>
      </w:r>
      <w:r>
        <w:rPr>
          <w:rFonts w:ascii="Times New Roman;Times;serif" w:hAnsi="Times New Roman;Times;serif"/>
          <w:b/>
          <w:color w:val="0000FF"/>
          <w:sz w:val="24"/>
        </w:rPr>
        <w:t>,</w:t>
      </w:r>
      <w:r>
        <w:rPr>
          <w:rFonts w:ascii="Times New Roman;Times;serif" w:hAnsi="Times New Roman;Times;serif"/>
          <w:sz w:val="20"/>
        </w:rPr>
        <w:t xml:space="preserve"> </w:t>
      </w:r>
      <w:r>
        <w:rPr>
          <w:rFonts w:ascii="Times New Roman;Times;serif" w:hAnsi="Times New Roman;Times;serif"/>
          <w:sz w:val="24"/>
        </w:rPr>
        <w:t>(d) such Revolving Lender’s Applicable Percentage of the Revolving Loans exceeding such Revolving Lender’s Borrowing Sublimit</w:t>
      </w:r>
      <w:r>
        <w:rPr>
          <w:rFonts w:ascii="Times New Roman;Times;serif" w:hAnsi="Times New Roman;Times;serif"/>
          <w:b/>
          <w:color w:val="0000FF"/>
          <w:sz w:val="24"/>
        </w:rPr>
        <w:t>, or (e) the Total Revolving Extensions of Credit exceeding $450,000,000 unless the Borrowers are in compliance with Section 5.15</w:t>
      </w:r>
      <w:r>
        <w:rPr>
          <w:rFonts w:ascii="Times New Roman;Times;serif" w:hAnsi="Times New Roman;Times;serif"/>
          <w:sz w:val="20"/>
        </w:rPr>
        <w:t xml:space="preserve"> </w:t>
      </w:r>
      <w:r>
        <w:rPr>
          <w:rFonts w:ascii="Times New Roman;Times;serif" w:hAnsi="Times New Roman;Times;serif"/>
          <w:sz w:val="24"/>
        </w:rPr>
        <w:t>(clauses (a), (b), (c)</w:t>
      </w:r>
      <w:r>
        <w:rPr>
          <w:rFonts w:ascii="Times New Roman;Times;serif" w:hAnsi="Times New Roman;Times;serif"/>
          <w:color w:val="FF0000"/>
          <w:sz w:val="20"/>
        </w:rPr>
        <w:t xml:space="preserve"> </w:t>
      </w:r>
      <w:r>
        <w:rPr>
          <w:rFonts w:ascii="Times New Roman;Times;serif" w:hAnsi="Times New Roman;Times;serif"/>
          <w:b/>
          <w:color w:val="FF0000"/>
          <w:sz w:val="24"/>
        </w:rPr>
        <w:t>and</w:t>
      </w:r>
      <w:r>
        <w:rPr>
          <w:rFonts w:ascii="Times New Roman;Times;serif" w:hAnsi="Times New Roman;Times;serif"/>
          <w:b/>
          <w:color w:val="0000FF"/>
          <w:sz w:val="24"/>
        </w:rPr>
        <w:t>,</w:t>
      </w:r>
      <w:r>
        <w:rPr>
          <w:rFonts w:ascii="Times New Roman;Times;serif" w:hAnsi="Times New Roman;Times;serif"/>
          <w:sz w:val="20"/>
        </w:rPr>
        <w:t xml:space="preserve"> </w:t>
      </w:r>
      <w:r>
        <w:rPr>
          <w:rFonts w:ascii="Times New Roman;Times;serif" w:hAnsi="Times New Roman;Times;serif"/>
          <w:sz w:val="24"/>
        </w:rPr>
        <w:t xml:space="preserve">(d) </w:t>
      </w:r>
      <w:r>
        <w:rPr>
          <w:rFonts w:ascii="Times New Roman;Times;serif" w:hAnsi="Times New Roman;Times;serif"/>
          <w:b/>
          <w:color w:val="0000FF"/>
          <w:sz w:val="24"/>
        </w:rPr>
        <w:t>and (e)</w:t>
      </w:r>
      <w:r>
        <w:rPr>
          <w:rFonts w:ascii="Times New Roman;Times;serif" w:hAnsi="Times New Roman;Times;serif"/>
          <w:sz w:val="20"/>
        </w:rPr>
        <w:t xml:space="preserve"> </w:t>
      </w:r>
      <w:r>
        <w:rPr>
          <w:rFonts w:ascii="Times New Roman;Times;serif" w:hAnsi="Times New Roman;Times;serif"/>
          <w:sz w:val="24"/>
        </w:rPr>
        <w:t>above, collectively, the “</w:t>
      </w:r>
      <w:r>
        <w:rPr>
          <w:rFonts w:ascii="Times New Roman;Times;serif" w:hAnsi="Times New Roman;Times;serif"/>
          <w:b/>
          <w:sz w:val="24"/>
        </w:rPr>
        <w:t>Borrowing Limits</w:t>
      </w:r>
      <w:r>
        <w:rPr>
          <w:rFonts w:ascii="Times New Roman;Times;serif" w:hAnsi="Times New Roman;Times;serif"/>
          <w:sz w:val="20"/>
        </w:rPr>
        <w:t>”</w:t>
      </w:r>
      <w:r>
        <w:rPr>
          <w:rFonts w:ascii="Times New Roman;Times;serif" w:hAnsi="Times New Roman;Times;serif"/>
          <w:sz w:val="24"/>
        </w:rPr>
        <w:t xml:space="preserve">), subject to, in each case, the authority of the Administrative Agent, in its sole discretion, to make Protective Advances pursuant to the terms of </w:t>
      </w:r>
      <w:r>
        <w:rPr>
          <w:rFonts w:ascii="Times New Roman;Times;serif" w:hAnsi="Times New Roman;Times;serif"/>
          <w:sz w:val="24"/>
          <w:u w:val="single"/>
        </w:rPr>
        <w:t>Section 2.02(e)</w:t>
      </w:r>
      <w:r>
        <w:rPr>
          <w:rFonts w:ascii="Times New Roman;Times;serif" w:hAnsi="Times New Roman;Times;serif"/>
          <w:sz w:val="24"/>
        </w:rPr>
        <w:t>. Within the foregoing limits and subject to the terms and conditions set forth herein, during the Availability Period, the Borrowers may borrow, prepay and reborrow Revolving Loans in accordance with the terms and conditions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2.02</w:t>
      </w:r>
      <w:r>
        <w:rPr>
          <w:rFonts w:ascii="Times New Roman;Times;serif" w:hAnsi="Times New Roman;Times;serif"/>
          <w:sz w:val="24"/>
          <w:u w:val="single"/>
        </w:rPr>
        <w:t>Loans and Borrowings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Each Revolving Loan shall be made as part of a Borrowing consisting of Revolving Loans made by the Revolving Lenders in accordance with their respective Applicable Percentages. The failure of any Revolving Lender to make any Revolving Loan required to be made by it shall not relieve any other Revolving Lender of its obligations hereunder;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Commitments of the Revolving Lenders are several and no Revolving Lender shall be responsible for any other Revolving Lender’s failure to make Revolving Loans as required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Subject to </w:t>
      </w:r>
      <w:r>
        <w:rPr>
          <w:rFonts w:ascii="Times New Roman;Times;serif" w:hAnsi="Times New Roman;Times;serif"/>
          <w:sz w:val="24"/>
          <w:u w:val="single"/>
        </w:rPr>
        <w:t>Section 2.11</w:t>
      </w:r>
      <w:r>
        <w:rPr>
          <w:rFonts w:ascii="Times New Roman;Times;serif" w:hAnsi="Times New Roman;Times;serif"/>
          <w:sz w:val="24"/>
        </w:rPr>
        <w:t xml:space="preserve">, each Borrowing shall be comprised (A) in the case of Borrowings in Dollars, entirely of ABR Loans or Term Benchmark Loans bearing interest at a rate determined by reference to the Term SOFR Rate and (B) in the case of Borrowings in any other Agreed Currency, entirely of Term Benchmark Loans (bearing interest at a rate determined by reference to the Adjusted EURIBOR Rate) or RFR Loans, as applicable, in each case of the same Agreed Currency, as the applicable Borrower may request in accordance herewith. Each Lender at its option may make any Loan by causing any domestic or foreign branch or Affiliate of such Lender to make such Loan;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any exercise of such option shall not affect the obligation of the Borrowers to repay such Loan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At the commencement of each Interest Period for any Term Benchmark Borrowing, such Borrowing shall be in an aggregate amount that is an integral multiple of the Dollar Equivalent of $1,000,000 and not less than the Dollar Equivalent of $1,000,000. At the time that each ABR Borrowing and/or RFR Borrowing is made, such Borrowing shall be in an aggregate amount that is an integral multiple of the Dollar Equivalent of $1,000,000 and not less than the Dollar Equivalent of $1,000,000;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an ABR Borrowing may be in an aggregate amount that is equal to the entire unused balance of the total Commitments or that is required to finance the reimbursement of an LC Disbursement as contemplated by </w:t>
      </w:r>
      <w:r>
        <w:rPr>
          <w:rFonts w:ascii="Times New Roman;Times;serif" w:hAnsi="Times New Roman;Times;serif"/>
          <w:sz w:val="24"/>
          <w:u w:val="single"/>
        </w:rPr>
        <w:t>Section 2.19(e)</w:t>
      </w:r>
      <w:r>
        <w:rPr>
          <w:rFonts w:ascii="Times New Roman;Times;serif" w:hAnsi="Times New Roman;Times;serif"/>
          <w:sz w:val="24"/>
        </w:rPr>
        <w:t xml:space="preserve">. Borrowings of more than one Type may be outstanding at the same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there shall not at any time be more than a total of fifteen (15) Term Benchmark Borrowings or RFR Borrowings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Notwithstanding any other provision of this Agreement, no Borrower shall be entitled to request, or to elect to convert or continue, any Borrowing if the Interest Period requested with respect thereto would end after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(i) Subject to the limitations set forth below, the Administrative Agent is authorized by the Borrowers and the Lenders, from time to time in the Administrative Agent’s Permitted Discretion, but shall have absolutely no obligation, to make Loans to the Borrowers, on behalf of all Lenders,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any Loan Party pursuant to the terms of this Agreement, including payments of reimbursable expenses (including costs, fees, and expenses as described in </w:t>
      </w:r>
      <w:r>
        <w:rPr>
          <w:rFonts w:ascii="Times New Roman;Times;serif" w:hAnsi="Times New Roman;Times;serif"/>
          <w:sz w:val="24"/>
          <w:u w:val="single"/>
        </w:rPr>
        <w:t>Section 10.03</w:t>
      </w:r>
      <w:r>
        <w:rPr>
          <w:rFonts w:ascii="Times New Roman;Times;serif" w:hAnsi="Times New Roman;Times;serif"/>
          <w:sz w:val="24"/>
        </w:rPr>
        <w:t>) and other sums payable under the Loan Documents (any of such Loans are herein referred to as “</w:t>
      </w:r>
      <w:r>
        <w:rPr>
          <w:rFonts w:ascii="Times New Roman;Times;serif" w:hAnsi="Times New Roman;Times;serif"/>
          <w:b/>
          <w:sz w:val="24"/>
        </w:rPr>
        <w:t>Protective Advances</w:t>
      </w:r>
      <w:r>
        <w:rPr>
          <w:rFonts w:ascii="Times New Roman;Times;serif" w:hAnsi="Times New Roman;Times;serif"/>
          <w:sz w:val="20"/>
        </w:rPr>
        <w:t>”</w:t>
      </w:r>
      <w:r>
        <w:rPr>
          <w:rFonts w:ascii="Times New Roman;Times;serif" w:hAnsi="Times New Roman;Times;serif"/>
          <w:sz w:val="24"/>
        </w:rPr>
        <w:t xml:space="preserve">). Protective Advances may be made even if the conditions precedent set forth in </w:t>
      </w:r>
      <w:r>
        <w:rPr>
          <w:rFonts w:ascii="Times New Roman;Times;serif" w:hAnsi="Times New Roman;Times;serif"/>
          <w:sz w:val="24"/>
          <w:u w:val="single"/>
        </w:rPr>
        <w:t>Section 4.02</w:t>
      </w:r>
      <w:r>
        <w:rPr>
          <w:rFonts w:ascii="Times New Roman;Times;serif" w:hAnsi="Times New Roman;Times;serif"/>
          <w:sz w:val="20"/>
        </w:rPr>
        <w:t xml:space="preserve"> </w:t>
      </w:r>
      <w:r>
        <w:rPr>
          <w:rFonts w:ascii="Times New Roman;Times;serif" w:hAnsi="Times New Roman;Times;serif"/>
          <w:sz w:val="24"/>
        </w:rPr>
        <w:t>have not been satisfied. The Protective Advances shall be secured by the Liens in favor of the Administrative Agent in and to the Collateral and shall constitute Obligations hereunder. All Protective Advances shall be made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 Dollars as ABR Loans. The Administrative Agent’s authorization to make Protective Advances may be revoked at any time by the Required Lenders. Any such revocation must be in writing and shall become effective prospectively upon the Administrative Agent’s receipt thereof. At any time (x) the amount equal to the Revolving Loan Cap minus the Total Revolving Extensions of Credit then outstanding (calculated, with respect to any Defaulting Lender, as if such Defaulting Lender had funded its Applicable Percentage of all outstanding Loans) exceeds the amount of any Protective Advance and (y) the conditions precedent set forth in </w:t>
      </w:r>
      <w:r>
        <w:rPr>
          <w:rFonts w:ascii="Times New Roman;Times;serif" w:hAnsi="Times New Roman;Times;serif"/>
          <w:sz w:val="24"/>
          <w:u w:val="single"/>
        </w:rPr>
        <w:t>Section 4.02</w:t>
      </w:r>
      <w:r>
        <w:rPr>
          <w:rFonts w:ascii="Times New Roman;Times;serif" w:hAnsi="Times New Roman;Times;serif"/>
          <w:sz w:val="20"/>
        </w:rPr>
        <w:t xml:space="preserve"> </w:t>
      </w:r>
      <w:r>
        <w:rPr>
          <w:rFonts w:ascii="Times New Roman;Times;serif" w:hAnsi="Times New Roman;Times;serif"/>
          <w:sz w:val="24"/>
        </w:rPr>
        <w:t xml:space="preserve">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Times;serif" w:hAnsi="Times New Roman;Times;serif"/>
          <w:sz w:val="24"/>
          <w:u w:val="single"/>
        </w:rPr>
        <w:t>Section 2.02(e)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Protective Advances then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2.03</w:t>
      </w:r>
      <w:r>
        <w:rPr>
          <w:rFonts w:ascii="Times New Roman;Times;serif" w:hAnsi="Times New Roman;Times;serif"/>
          <w:sz w:val="24"/>
          <w:u w:val="single"/>
        </w:rPr>
        <w:t>Requests for Borrowings</w:t>
      </w:r>
      <w:r>
        <w:rPr>
          <w:rFonts w:ascii="Times New Roman;Times;serif" w:hAnsi="Times New Roman;Times;serif"/>
          <w:sz w:val="24"/>
        </w:rPr>
        <w:t xml:space="preserve">. To request a Borrowing, the applicable Borrower shall notify the Administrative Agent of such request by telephone or telecopy (i) (A) in the case of a Term Benchmark Borrowing denominated in Dollars, not later than 11:00 a.m., New York City time, three U.S. Government Securities Business Days before the date of the proposed Borrowing, (B) in the case of an RFR Borrowing denominated in Sterling, not later than 11:00 a.m., New York City time, five Business Days before the date of the proposed Borrowing, and (C) in the case of any other Term Benchmark Borrowing, not later than 12:00 noon, New York City time, three Business Days before the date of the proposed Borrowing, or (iii) in the case of an ABR Borrowing, not later than 12:00 noon, New York City time, on the date of the proposed Borrowing. Each such telephonic Borrowing Request shall be confirmed promptly by delivery to the Administrative Agent of a written Borrowing Request in substantially the form of </w:t>
      </w:r>
      <w:r>
        <w:rPr>
          <w:rFonts w:ascii="Times New Roman;Times;serif" w:hAnsi="Times New Roman;Times;serif"/>
          <w:sz w:val="24"/>
          <w:u w:val="single"/>
        </w:rPr>
        <w:t>Exhibit B-1</w:t>
      </w:r>
      <w:r>
        <w:rPr>
          <w:rFonts w:ascii="Times New Roman;Times;serif" w:hAnsi="Times New Roman;Times;serif"/>
          <w:sz w:val="20"/>
        </w:rPr>
        <w:t xml:space="preserve"> </w:t>
      </w:r>
      <w:r>
        <w:rPr>
          <w:rFonts w:ascii="Times New Roman;Times;serif" w:hAnsi="Times New Roman;Times;serif"/>
          <w:sz w:val="24"/>
        </w:rPr>
        <w:t xml:space="preserve">attached hereto and signed by the applicable Borrower. Each such telephonic and written Borrowing Request shall specify the following information in compliance with </w:t>
      </w:r>
      <w:r>
        <w:rPr>
          <w:rFonts w:ascii="Times New Roman;Times;serif" w:hAnsi="Times New Roman;Times;serif"/>
          <w:sz w:val="24"/>
          <w:u w:val="single"/>
        </w:rPr>
        <w:t>Section 2.02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Agreed Currency and aggregate amount of the requested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date of such Borrowing, which shall be a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whether such Borrowing is to be an ABR Borrowing, a Term Benchmark Borrowing or an RFR Borrowing;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in the case of a Term Benchmark Borrowing, the initial Interest Period to be applicable thereto, which shall be a period contemplated by the definition of the term “Interest Period”;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the location and number of the account or accounts to which funds are to be disbursed, which shall comply with the requirements of </w:t>
      </w:r>
      <w:r>
        <w:rPr>
          <w:rFonts w:ascii="Times New Roman;Times;serif" w:hAnsi="Times New Roman;Times;serif"/>
          <w:sz w:val="24"/>
          <w:u w:val="single"/>
        </w:rPr>
        <w:t>Section 2.04</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no election as to the currency of a Borrowing is specified, then the requested Borrowing shall be made in Dollars. If no election as to the Type of Borrowing is specified, then the requested Borrowing shall be an ABR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Borrowing Request for a Term Benchmark Borrowing shall be irrevocable on and after the related Interest Rate Determination Date, and the applicable Borrower shall be bound to make a borrowing in accordance therewith.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Term Benchmark Borrowing for which an interest rate is then being determined for the applicable Interest Period and shall promptly give notice thereof (in writing or by telephone confirmed in writing) to the Borrowers and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2.04</w:t>
      </w:r>
      <w:r>
        <w:rPr>
          <w:rFonts w:ascii="Times New Roman;Times;serif" w:hAnsi="Times New Roman;Times;serif"/>
          <w:sz w:val="24"/>
          <w:u w:val="single"/>
        </w:rPr>
        <w:t>Funding of Borrowings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Each Lender shall make each Loan to be made by it hereunder on the proposed date thereof by wire transfer of immediately available funds (x) for any ABR Borrowing, by 3:00 p.m., New York City time, and (y) for any other Borrowing, by 12:00 noon, New York City time, to the account of the Administrative Agent most recently designated by it for the purpose of receiving payments of such type by notice to the Lenders. The Administrative Agent will make such Loans available to the applicable Borrower by promptly crediting the amounts so received, in like funds, to an account or accounts designated by the applicable Borrower in the applicable Borrowing Request;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ABR Loans made to finance the reimbursement of an LC Disbursement as provided in </w:t>
      </w:r>
      <w:r>
        <w:rPr>
          <w:rFonts w:ascii="Times New Roman;Times;serif" w:hAnsi="Times New Roman;Times;serif"/>
          <w:sz w:val="24"/>
          <w:u w:val="single"/>
        </w:rPr>
        <w:t>Section 2.19(e)</w:t>
      </w:r>
      <w:r>
        <w:rPr>
          <w:rFonts w:ascii="Times New Roman;Times;serif" w:hAnsi="Times New Roman;Times;serif"/>
          <w:sz w:val="20"/>
        </w:rPr>
        <w:t xml:space="preserve"> </w:t>
      </w:r>
      <w:r>
        <w:rPr>
          <w:rFonts w:ascii="Times New Roman;Times;serif" w:hAnsi="Times New Roman;Times;serif"/>
          <w:sz w:val="24"/>
        </w:rPr>
        <w:t>shall be remitted by the Administrative Agent to the applicable Issuing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 (a) of this Section and may, in reliance upon such assumption, make available to the applicable Borrower a corresponding amount. In such event, if a Lender has not in fact made its Applicable Percentage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a Borrower, the interest rate applicable to ABR Loans. If such Lender pays such amount to the Administrative Agent, then such amount shall constitute such Lender’s Loan included in such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2.05</w:t>
      </w:r>
      <w:r>
        <w:rPr>
          <w:rFonts w:ascii="Times New Roman;Times;serif" w:hAnsi="Times New Roman;Times;serif"/>
          <w:sz w:val="24"/>
          <w:u w:val="single"/>
        </w:rPr>
        <w:t>Interest Elections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Borrowing initially shall be of the Type and Agreed Currency specified in the applicable Borrowing Request and, in the case of a Term Benchmark Borrowing, shall have an initial Interest Period as specified in such Borrowing Request. Thereafter, the Borrowers may elect to convert such Borrowing to a different Type or to continue such Borrowing and, in the case of a Term Benchmark Borrowing, may elect Interest Periods therefor, all as provided in this Section. The Borrowers may elect different options with respect to different portions of the affected Borrowing, in which case each such portion shall be allocated among the Lenders holding the Loans comprising such Borrowing in accordance with their respective Applicable Percentages, and the Loans comprising each such portion shall be considered a separate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To make an election pursuant to this Section, the applicable Borrower shall notify the Administrative Agent of such election by telephone by the time that a Borrowing Request would be required under </w:t>
      </w:r>
      <w:r>
        <w:rPr>
          <w:rFonts w:ascii="Times New Roman;Times;serif" w:hAnsi="Times New Roman;Times;serif"/>
          <w:sz w:val="24"/>
          <w:u w:val="single"/>
        </w:rPr>
        <w:t>Section 2.03</w:t>
      </w:r>
      <w:r>
        <w:rPr>
          <w:rFonts w:ascii="Times New Roman;Times;serif" w:hAnsi="Times New Roman;Times;serif"/>
          <w:sz w:val="20"/>
        </w:rPr>
        <w:t xml:space="preserve"> </w:t>
      </w:r>
      <w:r>
        <w:rPr>
          <w:rFonts w:ascii="Times New Roman;Times;serif" w:hAnsi="Times New Roman;Times;serif"/>
          <w:sz w:val="24"/>
        </w:rPr>
        <w:t>if a Borrower were requesting a Borrowing of the Type resulting from such election to be made on the effective date of such election. Each such telephonic request shall be irrevocable and shall be confirmed promptly by hand delivery or telecopy to the Administrative Agent of a written request (an “</w:t>
      </w:r>
      <w:r>
        <w:rPr>
          <w:rFonts w:ascii="Times New Roman;Times;serif" w:hAnsi="Times New Roman;Times;serif"/>
          <w:b/>
          <w:sz w:val="24"/>
        </w:rPr>
        <w:t>Interest Election Request</w:t>
      </w:r>
      <w:r>
        <w:rPr>
          <w:rFonts w:ascii="Times New Roman;Times;serif" w:hAnsi="Times New Roman;Times;serif"/>
          <w:sz w:val="20"/>
        </w:rPr>
        <w:t>”</w:t>
      </w:r>
      <w:r>
        <w:rPr>
          <w:rFonts w:ascii="Times New Roman;Times;serif" w:hAnsi="Times New Roman;Times;serif"/>
          <w:sz w:val="24"/>
        </w:rPr>
        <w:t xml:space="preserve">) in substantially the form of </w:t>
      </w:r>
      <w:r>
        <w:rPr>
          <w:rFonts w:ascii="Times New Roman;Times;serif" w:hAnsi="Times New Roman;Times;serif"/>
          <w:sz w:val="24"/>
          <w:u w:val="single"/>
        </w:rPr>
        <w:t>Exhibit C</w:t>
      </w:r>
      <w:r>
        <w:rPr>
          <w:rFonts w:ascii="Times New Roman;Times;serif" w:hAnsi="Times New Roman;Times;serif"/>
          <w:sz w:val="20"/>
        </w:rPr>
        <w:t xml:space="preserve"> </w:t>
      </w:r>
      <w:r>
        <w:rPr>
          <w:rFonts w:ascii="Times New Roman;Times;serif" w:hAnsi="Times New Roman;Times;serif"/>
          <w:sz w:val="24"/>
        </w:rPr>
        <w:t>attached hereto and signed by the applicable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Each telephonic and written Interest Election Request shall specify the following information in compliance with </w:t>
      </w:r>
      <w:r>
        <w:rPr>
          <w:rFonts w:ascii="Times New Roman;Times;serif" w:hAnsi="Times New Roman;Times;serif"/>
          <w:sz w:val="24"/>
          <w:u w:val="single"/>
        </w:rPr>
        <w:t>Section 2.02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effective date of the election made pursuant to such Interest Election Request, which shall be a Business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whether the resulting Borrowing is to be an ABR Borrowing (in the case of Borrowings denominated in Dollars) or a Term Benchmark Borrowing;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if the resulting Borrowing is a Term Benchmark Borrowing, the Interest Period to be applicable thereto after giving effect to such election, which shall be a period contemplated by the definition of the term “</w:t>
      </w:r>
      <w:r>
        <w:rPr>
          <w:rFonts w:ascii="Times New Roman;Times;serif" w:hAnsi="Times New Roman;Times;serif"/>
          <w:b/>
          <w:sz w:val="24"/>
        </w:rPr>
        <w:t>Interest Period</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any such Interest Election Request requests a Term Benchmark Borrowing but does not specify an Interest Period, then the Borrowers shall be deemed to have selected an Interest Period of one month’s duration.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Promptly following receipt of an Interest Election Request, the Administrative Agent shall advise each Lender of the details thereof and of such Lender’s portion of each resulting Borrowing. Except as otherwise provided herein, an Interest Election Request for conversion to, or continuation of, any Term Benchmark Borrowing shall be irrevocable on and after the related Interest Rate Determination Date, and the Borrowers shall be bound to effect a conversion or continuation in accordance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If the Borrowers fail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converted to an ABR Borrowing at the end of such Interest Period. If the Borrowers fail to deliver a timely and complete Interest Election Request with respect to a Term Benchmark Borrowing in an Alternative Currency prior to the end of the Interest Period therefor, then, unless such Term Benchmark Borrowing is repaid as provided herein, the Borrowers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Term Benchmark Borrowing and (ii) unless repaid, (x) each Term Benchmark Borrowing denominated in Dollars shall be converted to an ABR Borrowing at the end of the Interest Period applicable thereto and (y) each Term Benchmark Borrowing denominated in an Alternative Currency shall bear interest at the Central Bank Rate for the applicable Agreed Currency plus the Applicable Rate for Term Benchmark Loans;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provided that if no election is made by the Borrowers by the earlier of (x) the date that is three Business Days after receipt by the Borrowers of such notice and (y) the last day of the current Interest Period for the applicable Term Benchmark Loan, the Borrowers shall be deemed to have elected clause (A)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2.06</w:t>
      </w:r>
      <w:r>
        <w:rPr>
          <w:rFonts w:ascii="Times New Roman;Times;serif" w:hAnsi="Times New Roman;Times;serif"/>
          <w:sz w:val="24"/>
          <w:u w:val="single"/>
        </w:rPr>
        <w:t>Termination and Reduction of Commitments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Unless previously terminated, the Commitments shall terminate on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Borrowers may at any time terminate, or from time to time reduce, the Commitments;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each reduction of the Commitments shall be in an amount that is an integral multiple of $1,000,000 and not less than $5,000,000 and (ii) the Borrowers shall not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terminate or reduce the Commitments if, after giving effect to any concurrent prepayment of any Revolving Loans in accordance with </w:t>
      </w:r>
      <w:r>
        <w:rPr>
          <w:rFonts w:ascii="Times New Roman;Times;serif" w:hAnsi="Times New Roman;Times;serif"/>
          <w:sz w:val="24"/>
          <w:u w:val="single"/>
        </w:rPr>
        <w:t>Section 2.08</w:t>
      </w:r>
      <w:r>
        <w:rPr>
          <w:rFonts w:ascii="Times New Roman;Times;serif" w:hAnsi="Times New Roman;Times;serif"/>
          <w:sz w:val="24"/>
        </w:rPr>
        <w:t>, any of the Borrowing Limits would be exceeded.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Borrowers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 notice of termination of the Commitments delivered by the Borrowers may state that such notice is conditioned upon the effectiveness of other credit facilities or another transaction, in which case such notice may be revoked by the Borrowers (by notice to the Administrative Agent on or prior to the specified effective date) if such condition is not satisfied. Any termination or reduction of the Commitments shall be permanent. Each reduction of the Commitments shall be applied ratably to the Lenders in accordance with their respective Applicable Percentages.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2.07</w:t>
      </w:r>
      <w:r>
        <w:rPr>
          <w:rFonts w:ascii="Times New Roman;Times;serif" w:hAnsi="Times New Roman;Times;serif"/>
          <w:sz w:val="24"/>
          <w:u w:val="single"/>
        </w:rPr>
        <w:t>Repayment of Loans; Evidence of Debt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Borrowers hereby unconditionally promise to pay to the Administrative Agent for the account of each Lender the then unpaid principal amount of each Loan on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Administrative Agent shall maintain accounts in which it shall record (i) the amount of each Loan made hereunder, the Type thereof, the currency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The entries made in the accounts maintained pursuant to paragraph (b) or (c) of this Section shall be </w:t>
      </w:r>
      <w:r>
        <w:rPr>
          <w:rFonts w:ascii="Times New Roman;Times;serif" w:hAnsi="Times New Roman;Times;serif"/>
          <w:i/>
          <w:sz w:val="24"/>
        </w:rPr>
        <w:t>prima facie</w:t>
      </w:r>
      <w:r>
        <w:rPr>
          <w:rFonts w:ascii="Times New Roman;Times;serif" w:hAnsi="Times New Roman;Times;serif"/>
          <w:sz w:val="20"/>
        </w:rPr>
        <w:t xml:space="preserve"> </w:t>
      </w:r>
      <w:r>
        <w:rPr>
          <w:rFonts w:ascii="Times New Roman;Times;serif" w:hAnsi="Times New Roman;Times;serif"/>
          <w:sz w:val="24"/>
        </w:rPr>
        <w:t xml:space="preserve">evidence (including within the meaning of section 151 Dutch Civil Code) of the existence and amounts of the obligations recorded therein (absent manifest error);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failure of any Lender or the Administrative Agent to maintain such accounts or any error therein shall not in any manner affect the obligation of any Borrower to repay the Loans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Any Lender may request that Loans made by it be evidenced by a promissory note (each such promissory note being called a “</w:t>
      </w:r>
      <w:r>
        <w:rPr>
          <w:rFonts w:ascii="Times New Roman;Times;serif" w:hAnsi="Times New Roman;Times;serif"/>
          <w:b/>
          <w:sz w:val="24"/>
        </w:rPr>
        <w:t>Note</w:t>
      </w:r>
      <w:r>
        <w:rPr>
          <w:rFonts w:ascii="Times New Roman;Times;serif" w:hAnsi="Times New Roman;Times;serif"/>
          <w:sz w:val="20"/>
        </w:rPr>
        <w:t xml:space="preserve">” </w:t>
      </w:r>
      <w:r>
        <w:rPr>
          <w:rFonts w:ascii="Times New Roman;Times;serif" w:hAnsi="Times New Roman;Times;serif"/>
          <w:sz w:val="24"/>
        </w:rPr>
        <w:t>and all such promissory notes being collectively called the “</w:t>
      </w:r>
      <w:r>
        <w:rPr>
          <w:rFonts w:ascii="Times New Roman;Times;serif" w:hAnsi="Times New Roman;Times;serif"/>
          <w:b/>
          <w:sz w:val="24"/>
        </w:rPr>
        <w:t>Notes</w:t>
      </w:r>
      <w:r>
        <w:rPr>
          <w:rFonts w:ascii="Times New Roman;Times;serif" w:hAnsi="Times New Roman;Times;serif"/>
          <w:sz w:val="20"/>
        </w:rPr>
        <w:t>”</w:t>
      </w:r>
      <w:r>
        <w:rPr>
          <w:rFonts w:ascii="Times New Roman;Times;serif" w:hAnsi="Times New Roman;Times;serif"/>
          <w:sz w:val="24"/>
        </w:rPr>
        <w:t xml:space="preserve">). In such event, the Borrowers shall prepare, execute and deliver to such Lender a Note payable to such Lender (or, if requested by such Lender, to such Lender and its registered assigns) in substantially the form of </w:t>
      </w:r>
      <w:r>
        <w:rPr>
          <w:rFonts w:ascii="Times New Roman;Times;serif" w:hAnsi="Times New Roman;Times;serif"/>
          <w:sz w:val="24"/>
          <w:u w:val="single"/>
        </w:rPr>
        <w:t>Exhibit D</w:t>
      </w:r>
      <w:r>
        <w:rPr>
          <w:rFonts w:ascii="Times New Roman;Times;serif" w:hAnsi="Times New Roman;Times;serif"/>
          <w:sz w:val="20"/>
        </w:rPr>
        <w:t xml:space="preserve"> </w:t>
      </w:r>
      <w:r>
        <w:rPr>
          <w:rFonts w:ascii="Times New Roman;Times;serif" w:hAnsi="Times New Roman;Times;serif"/>
          <w:sz w:val="24"/>
        </w:rPr>
        <w:t>attached hereto. Thereafter, the Loans evidenced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by such Note and interest thereon shall at all times (including after assignment pursuant to </w:t>
      </w:r>
      <w:r>
        <w:rPr>
          <w:rFonts w:ascii="Times New Roman;Times;serif" w:hAnsi="Times New Roman;Times;serif"/>
          <w:sz w:val="24"/>
          <w:u w:val="single"/>
        </w:rPr>
        <w:t>Section 10.04</w:t>
      </w:r>
      <w:r>
        <w:rPr>
          <w:rFonts w:ascii="Times New Roman;Times;serif" w:hAnsi="Times New Roman;Times;serif"/>
          <w:sz w:val="24"/>
        </w:rPr>
        <w:t>) be represented by one or more promissory notes in such form payable to the payee named therein (or, if such promissory note is a registered note, to such payee and its registered assigns).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2.08</w:t>
      </w:r>
      <w:r>
        <w:rPr>
          <w:rFonts w:ascii="Times New Roman;Times;serif" w:hAnsi="Times New Roman;Times;serif"/>
          <w:sz w:val="24"/>
          <w:u w:val="single"/>
        </w:rPr>
        <w:t>Prepayment of Loans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The Borrowers shall have the right at any time and from time to time to prepay any Borrowing in whole or in part, without premium or penalty (subject to the requirements of </w:t>
      </w:r>
      <w:r>
        <w:rPr>
          <w:rFonts w:ascii="Times New Roman;Times;serif" w:hAnsi="Times New Roman;Times;serif"/>
          <w:sz w:val="24"/>
          <w:u w:val="single"/>
        </w:rPr>
        <w:t>Section 2.13</w:t>
      </w:r>
      <w:r>
        <w:rPr>
          <w:rFonts w:ascii="Times New Roman;Times;serif" w:hAnsi="Times New Roman;Times;serif"/>
          <w:sz w:val="24"/>
        </w:rPr>
        <w:t>), subject to prior notice in accordance with paragraph (b) of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Borrowers shall notify the Administrative Agent by telephone (confirmed by telecopy or delivery of written notice) or telecopy of any prepayment hereunder (i)(x) in the case of prepayment of a Term Benchmark Borrowing denominated in Dollars, not later than 11:00 a.m., New York City time, three Business Days before the date of prepayment, (y) in the case of prepayment of a Term Benchmark Borrowing denominated in Euros, not later than 12:00 noon, New York City time, three Business Days before the date of prepayment, and (z) in the case of prepayment of an RFR Borrowing denominated in Sterling, not later than 12:00 noon, New York City time, five Business Days before the date of prepayment or (ii) in the case of prepayment of an ABR Borrowing, not later than 12:00 noon, New York City time, one Business Day before the date of prepayment. Each such notice shall be irrevocable and shall specify the prepayment date and the principal amount of each Borrowing or portion thereof to be prepaid;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a notice of prepayment is given in connection with a conditional notice of termination of the Commitments as contemplated by </w:t>
      </w:r>
      <w:r>
        <w:rPr>
          <w:rFonts w:ascii="Times New Roman;Times;serif" w:hAnsi="Times New Roman;Times;serif"/>
          <w:sz w:val="24"/>
          <w:u w:val="single"/>
        </w:rPr>
        <w:t>Section 2.06</w:t>
      </w:r>
      <w:r>
        <w:rPr>
          <w:rFonts w:ascii="Times New Roman;Times;serif" w:hAnsi="Times New Roman;Times;serif"/>
          <w:sz w:val="24"/>
        </w:rPr>
        <w:t xml:space="preserve">, then such notice of prepayment may be revoked if such notice of termination is revoked in accordance with </w:t>
      </w:r>
      <w:r>
        <w:rPr>
          <w:rFonts w:ascii="Times New Roman;Times;serif" w:hAnsi="Times New Roman;Times;serif"/>
          <w:sz w:val="24"/>
          <w:u w:val="single"/>
        </w:rPr>
        <w:t>Section 2.06</w:t>
      </w:r>
      <w:r>
        <w:rPr>
          <w:rFonts w:ascii="Times New Roman;Times;serif" w:hAnsi="Times New Roman;Times;serif"/>
          <w:sz w:val="24"/>
        </w:rPr>
        <w:t xml:space="preserve">.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Times;serif" w:hAnsi="Times New Roman;Times;serif"/>
          <w:sz w:val="24"/>
          <w:u w:val="single"/>
        </w:rPr>
        <w:t>Section 2.02</w:t>
      </w:r>
      <w:r>
        <w:rPr>
          <w:rFonts w:ascii="Times New Roman;Times;serif" w:hAnsi="Times New Roman;Times;serif"/>
          <w:sz w:val="24"/>
        </w:rPr>
        <w:t xml:space="preserve">. Each prepayment of a Borrowing shall be applied ratably to the Loans of the Lenders in accordance with their respective Applicable Percentages. Prepayments shall be accompanied by accrued interest to the extent required by </w:t>
      </w:r>
      <w:r>
        <w:rPr>
          <w:rFonts w:ascii="Times New Roman;Times;serif" w:hAnsi="Times New Roman;Times;serif"/>
          <w:sz w:val="24"/>
          <w:u w:val="single"/>
        </w:rPr>
        <w:t>Section 2.10</w:t>
      </w:r>
      <w:r>
        <w:rPr>
          <w:rFonts w:ascii="Times New Roman;Times;serif" w:hAnsi="Times New Roman;Times;serif"/>
          <w:sz w:val="20"/>
        </w:rPr>
        <w:t xml:space="preserve"> </w:t>
      </w:r>
      <w:r>
        <w:rPr>
          <w:rFonts w:ascii="Times New Roman;Times;serif" w:hAnsi="Times New Roman;Times;serif"/>
          <w:sz w:val="24"/>
        </w:rPr>
        <w:t xml:space="preserve">and any costs incurred as contemplated by </w:t>
      </w:r>
      <w:r>
        <w:rPr>
          <w:rFonts w:ascii="Times New Roman;Times;serif" w:hAnsi="Times New Roman;Times;serif"/>
          <w:sz w:val="24"/>
          <w:u w:val="single"/>
        </w:rPr>
        <w:t>Section 2.13</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Borrowers shall from time to time prepay the Revolving Loans to the extent necessary so that the aggregate outstanding principal amount of the Revolving Loans shall not at any time exceed the Revolving Loan Cap then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If at any time, the Total Revolving Extensions of Credit (calculated, with respect to any Loans or LC Exposure denominated in an Alternative Currency, as of the most recent Revaluation Date with respect to such Loan or LC Exposure) exceed (i) the total Commitments of all Lenders then in effect, (ii) the outstanding principal amount of the Revolving Loans (excluding for such purposes Protective Advances) exceed the Revolving Loan Cap, or (iii) any of the Borrowing Limits are exceeded, the Borrowers shall immediately repay Borrowings, Protective Advances and Cash Collateralize LC Exposure in accordance with the procedures set forth in </w:t>
      </w:r>
      <w:r>
        <w:rPr>
          <w:rFonts w:ascii="Times New Roman;Times;serif" w:hAnsi="Times New Roman;Times;serif"/>
          <w:b/>
          <w:color w:val="FF0000"/>
          <w:sz w:val="24"/>
        </w:rPr>
        <w:t>Section 2.17(d)</w:t>
      </w:r>
      <w:r>
        <w:rPr>
          <w:rFonts w:ascii="Times New Roman;Times;serif" w:hAnsi="Times New Roman;Times;serif"/>
          <w:b/>
          <w:color w:val="0000FF"/>
          <w:sz w:val="24"/>
        </w:rPr>
        <w:t>Section 2.17(d)</w:t>
      </w:r>
      <w:r>
        <w:rPr>
          <w:rFonts w:ascii="Times New Roman;Times;serif" w:hAnsi="Times New Roman;Times;serif"/>
          <w:sz w:val="20"/>
        </w:rPr>
        <w:t xml:space="preserve"> </w:t>
      </w:r>
      <w:r>
        <w:rPr>
          <w:rFonts w:ascii="Times New Roman;Times;serif" w:hAnsi="Times New Roman;Times;serif"/>
          <w:sz w:val="24"/>
        </w:rPr>
        <w:t>in an aggregate principal amount equal to such excess (it being understood that the Borrowers shall prepay Revolving Loans and/or Protective Advances prior to Cash Collateralization of LC Exposure).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2.09</w:t>
      </w:r>
      <w:r>
        <w:rPr>
          <w:rFonts w:ascii="Times New Roman;Times;serif" w:hAnsi="Times New Roman;Times;serif"/>
          <w:sz w:val="24"/>
          <w:u w:val="single"/>
        </w:rPr>
        <w:t>Fees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Borrowers agree to pay to the Administrative Agent for the account of each Lender (other than any Defaulting Lender) a commitment fee (the “</w:t>
      </w:r>
      <w:r>
        <w:rPr>
          <w:rFonts w:ascii="Times New Roman;Times;serif" w:hAnsi="Times New Roman;Times;serif"/>
          <w:b/>
          <w:sz w:val="24"/>
        </w:rPr>
        <w:t>Commitment Fee</w:t>
      </w:r>
      <w:r>
        <w:rPr>
          <w:rFonts w:ascii="Times New Roman;Times;serif" w:hAnsi="Times New Roman;Times;serif"/>
          <w:sz w:val="20"/>
        </w:rPr>
        <w:t>”</w:t>
      </w:r>
      <w:r>
        <w:rPr>
          <w:rFonts w:ascii="Times New Roman;Times;serif" w:hAnsi="Times New Roman;Times;serif"/>
          <w:sz w:val="24"/>
        </w:rPr>
        <w:t xml:space="preserve">), which shall accrue at the Applicable Commitment Fee Rate on the average daily amount of the unused Commitment of such Lender during the period from and including the Amendment No. 3 Effective Date to but excluding the date on which such Commitment terminates. Accrued commitment fees shall be payable in arrears on the last day of March, June, September and December of each year and on the date on which the Commitments terminate, commencing on the first such date to occur after the Amendment No. 3 Effective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Borrowers agree to pay (i) to the Administrative Agent for the account of each Lender a participation fee with respect to its participations in Letters of Credit, which shall accrue at a rate equal to the Applicable LC Fee Rate on the Dollar Equivalent of the average daily amount of such Lender’s LC Exposure (excluding any portion thereof attributable to unreimbursed LC Disbursements) during the period from and including the Amendment No. 3 Effective Date to but excluding the later of the date on which such Lender’s Commitment terminates and the date on which such Lender ceases to have any LC Exposure, and (ii) to the applicable Issuing Bank a fronting fee, which shall accrue at the rate or rates </w:t>
      </w:r>
      <w:r>
        <w:rPr>
          <w:rFonts w:ascii="Times New Roman;Times;serif" w:hAnsi="Times New Roman;Times;serif"/>
          <w:i/>
          <w:sz w:val="24"/>
        </w:rPr>
        <w:t>per annum</w:t>
      </w:r>
      <w:r>
        <w:rPr>
          <w:rFonts w:ascii="Times New Roman;Times;serif" w:hAnsi="Times New Roman;Times;serif"/>
          <w:sz w:val="20"/>
        </w:rPr>
        <w:t xml:space="preserve"> </w:t>
      </w:r>
      <w:r>
        <w:rPr>
          <w:rFonts w:ascii="Times New Roman;Times;serif" w:hAnsi="Times New Roman;Times;serif"/>
          <w:sz w:val="24"/>
        </w:rPr>
        <w:t xml:space="preserve">separately agreed upon between the applicable Borrower and such Issuing Bank (but not to exceed 0.20% </w:t>
      </w:r>
      <w:r>
        <w:rPr>
          <w:rFonts w:ascii="Times New Roman;Times;serif" w:hAnsi="Times New Roman;Times;serif"/>
          <w:i/>
          <w:sz w:val="24"/>
        </w:rPr>
        <w:t>per annum</w:t>
      </w:r>
      <w:r>
        <w:rPr>
          <w:rFonts w:ascii="Times New Roman;Times;serif" w:hAnsi="Times New Roman;Times;serif"/>
          <w:sz w:val="24"/>
        </w:rPr>
        <w:t xml:space="preserve">) on the Dollar Equivalent of the average daily amount of the LC Exposure (excluding any portion thereof attributable to unreimbursed LC Disbursements) during the period from and including the Amendment No. 3 Effective Date to but excluding the later of the date of termination of the Commitments and the date on which there ceases to be any LC Exposure, as well as such Issuing Bank’s standard fees with respect to the issuance, amendment, renewal or extension of any Letter of Credit or processing of drawings thereunder. Accrued participation fees and fronting fees shall be payable on the last day of March, June, September and December of each year, commencing on the first such date to occur after the Amendment No. 3 Effective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Borrowers agree to pay to the Administrative Agent, for its own account, fees payable in the amounts and at the times separately agreed upon by the Parent Borrower in the Administrative Agent Fee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2.10</w:t>
      </w:r>
      <w:r>
        <w:rPr>
          <w:rFonts w:ascii="Times New Roman;Times;serif" w:hAnsi="Times New Roman;Times;serif"/>
          <w:sz w:val="24"/>
          <w:u w:val="single"/>
        </w:rPr>
        <w:t>Interest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The Loans comprising each ABR Borrowing shall bear interest at the Alternate Base Rate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the Applicable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Loans comprising each Term Benchmark Borrowing shall bear interest at the Term SOFR Rate or the Adjusted EURIBOR Rate, as applicable, for the Interest Period in effect for such Borrowing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the Applicable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Each RFR Loan shall bear interest at a rate per annum equal to the applicable Daily Simple RFR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the Applicable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Notwithstanding the foregoing, at all times when an Event of Default listed in paragraph (a) or (b) of </w:t>
      </w:r>
      <w:r>
        <w:rPr>
          <w:rFonts w:ascii="Times New Roman;Times;serif" w:hAnsi="Times New Roman;Times;serif"/>
          <w:sz w:val="24"/>
          <w:u w:val="single"/>
        </w:rPr>
        <w:t>Section 7.01</w:t>
      </w:r>
      <w:r>
        <w:rPr>
          <w:rFonts w:ascii="Times New Roman;Times;serif" w:hAnsi="Times New Roman;Times;serif"/>
          <w:sz w:val="20"/>
        </w:rPr>
        <w:t xml:space="preserve"> </w:t>
      </w:r>
      <w:r>
        <w:rPr>
          <w:rFonts w:ascii="Times New Roman;Times;serif" w:hAnsi="Times New Roman;Times;serif"/>
          <w:sz w:val="24"/>
        </w:rPr>
        <w:t xml:space="preserve">has occurred hereunder and is continuing, all overdue amounts outstanding hereunder shall bear interest, after as well as before judgment, at a rate </w:t>
      </w:r>
      <w:r>
        <w:rPr>
          <w:rFonts w:ascii="Times New Roman;Times;serif" w:hAnsi="Times New Roman;Times;serif"/>
          <w:i/>
          <w:sz w:val="24"/>
        </w:rPr>
        <w:t>per annum</w:t>
      </w:r>
      <w:r>
        <w:rPr>
          <w:rFonts w:ascii="Times New Roman;Times;serif" w:hAnsi="Times New Roman;Times;serif"/>
          <w:sz w:val="20"/>
        </w:rPr>
        <w:t xml:space="preserve"> </w:t>
      </w:r>
      <w:r>
        <w:rPr>
          <w:rFonts w:ascii="Times New Roman;Times;serif" w:hAnsi="Times New Roman;Times;serif"/>
          <w:sz w:val="24"/>
        </w:rPr>
        <w:t xml:space="preserve">equal to (i) in the case of overdue principal of or interest on any Loan, 2%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the rate otherwise applicable to such Loan as provided in the preceding paragraphs of this Section or (ii) in the case of any other overdue amount, 2% plus the rate applicable to ABR Loans as provided in paragraph (a) of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Accrued interest on each Loan shall be payable in arrears on each Interest Payment Date for such Loan and upon termination of the Commitments;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interest accrued pursuant to paragraph (d)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Interest computed by reference to the Term SOFR Rate or the EURIBOR Rate hereunder shall be computed on the basis of a year of 360 days. Interest computed by reference to the Daily Simple RFR with respect to Sterling, the Alternate Base Rate at times when the Alternate Base Rate is based on the Prime Rate shall be computed on the basis of a year of 365 days (or 366 days in a leap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In each case interest shall be payable for the actual number of days elapsed (including the first day but excluding the last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All interest hereunder on any Loan shall be computed on a daily basis based upon the outstanding principal amount of such Loan as of the applicable date of determination. The applicable Alternate Base Rate, Term SOFR Rate, Adjusted EURIBOR Rate, EURIBOR Rate or Daily Simple RFR shall be determined by the Administrative Agent, and such determination 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2.11</w:t>
      </w:r>
      <w:r>
        <w:rPr>
          <w:rFonts w:ascii="Times New Roman;Times;serif" w:hAnsi="Times New Roman;Times;serif"/>
          <w:sz w:val="24"/>
          <w:u w:val="single"/>
        </w:rPr>
        <w:t>Alternate Rate of Interest</w:t>
      </w:r>
      <w:r>
        <w:rPr>
          <w:rFonts w:ascii="Times New Roman;Times;serif" w:hAnsi="Times New Roman;Times;serif"/>
          <w:sz w:val="24"/>
        </w:rPr>
        <w:t xml:space="preserve">. (a) Subject to clauses </w:t>
      </w:r>
      <w:r>
        <w:rPr>
          <w:rFonts w:ascii="Times New Roman;Times;serif" w:hAnsi="Times New Roman;Times;serif"/>
          <w:sz w:val="24"/>
          <w:u w:val="single"/>
        </w:rPr>
        <w:t>(b)</w:t>
      </w:r>
      <w:r>
        <w:rPr>
          <w:rFonts w:ascii="Times New Roman;Times;serif" w:hAnsi="Times New Roman;Times;serif"/>
          <w:sz w:val="24"/>
        </w:rPr>
        <w:t xml:space="preserve">, </w:t>
      </w:r>
      <w:r>
        <w:rPr>
          <w:rFonts w:ascii="Times New Roman;Times;serif" w:hAnsi="Times New Roman;Times;serif"/>
          <w:sz w:val="24"/>
          <w:u w:val="single"/>
        </w:rPr>
        <w:t>(d)</w:t>
      </w:r>
      <w:r>
        <w:rPr>
          <w:rFonts w:ascii="Times New Roman;Times;serif" w:hAnsi="Times New Roman;Times;serif"/>
          <w:sz w:val="24"/>
        </w:rPr>
        <w:t xml:space="preserve">, </w:t>
      </w:r>
      <w:r>
        <w:rPr>
          <w:rFonts w:ascii="Times New Roman;Times;serif" w:hAnsi="Times New Roman;Times;serif"/>
          <w:sz w:val="24"/>
          <w:u w:val="single"/>
        </w:rPr>
        <w:t>(e)</w:t>
      </w:r>
      <w:r>
        <w:rPr>
          <w:rFonts w:ascii="Times New Roman;Times;serif" w:hAnsi="Times New Roman;Times;serif"/>
          <w:sz w:val="24"/>
        </w:rPr>
        <w:t xml:space="preserve">, </w:t>
      </w:r>
      <w:r>
        <w:rPr>
          <w:rFonts w:ascii="Times New Roman;Times;serif" w:hAnsi="Times New Roman;Times;serif"/>
          <w:sz w:val="24"/>
          <w:u w:val="single"/>
        </w:rPr>
        <w:t>(f)</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(g)</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Section 2.11</w:t>
      </w:r>
      <w:r>
        <w:rPr>
          <w:rFonts w:ascii="Times New Roman;Times;serif" w:hAnsi="Times New Roman;Times;serif"/>
          <w:sz w:val="24"/>
        </w:rPr>
        <w:t>,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Administrative Agent determines (which determination shall be conclusive absent manifest error) (A) prior to the commencement of any Interest Period for a Term Benchmark Borrowing, that adequate and reasonable means do not exist for ascertaining the Term SOFR Rate, the Adjusted EURIBOR Rate or the EURIBOR Rate, as applicable (including because the Relevant Screen Rate is not available or published on a current basis), for the applicable Agreed Currency and such Interest Period or (B) at any time, that adequate and reasonable means do not exist for ascertaining the applicable Daily Simple RFR;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Administrative Agent is advised by the Required Lenders that, (A) prior to the commencement of any Interest Period for a Term Benchmark Borrowing, the Term SOFR Rate, the Adjusted EURIBOR Rate or the EURIBOR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RFR or RFR for the applicable Agreed Currency will not adequately and fairly reflect the cost to such Lenders (or Lender) of making or maintaining their Loans (or its Loan) included in such Borrowing for the applicable Agreed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then the Administrative Agent shall give notice thereof to the Borrowers and the Lenders by telephone, telecopy or electronic mail as promptly as practicable thereafter and, until the Administrative Agent notifies the Borrowers and the Lenders that the circumstances giving rise to such notice no longer exist, (A) any Interest Election Request that requests the conversion of any Borrowing to, or continuation of any Borrowing as, a Term Benchmark Borrowing shall be ineffective, (B) if any Borrowing Request requests a Term Benchmark Borrowing in Dollars, such Borrowing shall be made as an ABR Borrowing, and (C) if any Borrowing Request requests a Term Benchmark Borrowing (other than a Term Benchmark Borrowing in Dollars) or an RFR Borrowing for the relevant rate above in an Alternative Currency, then such request shall be ineffective;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w:t>
      </w:r>
      <w:r>
        <w:rPr>
          <w:rFonts w:ascii="Times New Roman;Times;serif" w:hAnsi="Times New Roman;Times;serif"/>
          <w:sz w:val="24"/>
          <w:u w:val="single"/>
        </w:rPr>
        <w:t>Section 2.11(i)</w:t>
      </w:r>
      <w:r>
        <w:rPr>
          <w:rFonts w:ascii="Times New Roman;Times;serif" w:hAnsi="Times New Roman;Times;serif"/>
          <w:sz w:val="20"/>
        </w:rPr>
        <w:t xml:space="preserve"> </w:t>
      </w:r>
      <w:r>
        <w:rPr>
          <w:rFonts w:ascii="Times New Roman;Times;serif" w:hAnsi="Times New Roman;Times;serif"/>
          <w:sz w:val="24"/>
        </w:rPr>
        <w:t>with respect to a Relevant Rate applicable to such Term Benchmark Loan or RFR Loan, then until the Administrative Agent notifies the Borrowers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other than Dollars, at the Borrowers’ election, shall either (A) be converted into ABR Loans denominated in Dollars (in an amount equal to the Dollar Equivalent of such Alternative Currency) immediately or (B) be prepaid in full immediately.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Notwithstanding anything to the contrary herein or in any other Loan Document (and any Swap Agreement shall be deemed not to be a “Loan Document” for purposes of this </w:t>
      </w:r>
      <w:r>
        <w:rPr>
          <w:rFonts w:ascii="Times New Roman;Times;serif" w:hAnsi="Times New Roman;Times;serif"/>
          <w:sz w:val="24"/>
          <w:u w:val="single"/>
        </w:rPr>
        <w:t>Section 2.11(b)</w:t>
      </w:r>
      <w:r>
        <w:rPr>
          <w:rFonts w:ascii="Times New Roman;Times;serif" w:hAnsi="Times New Roman;Times;serif"/>
          <w:sz w:val="24"/>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In connection with the implementation of a Benchmark Replacement, the Administrative Agent will have the right (in consultation with the Borrower Representative)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The Administrative Agent will promptly notify the Borrowers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Times;serif" w:hAnsi="Times New Roman;Times;serif"/>
          <w:sz w:val="24"/>
          <w:u w:val="single"/>
        </w:rPr>
        <w:t>clause (f)</w:t>
      </w:r>
      <w:r>
        <w:rPr>
          <w:rFonts w:ascii="Times New Roman;Times;serif" w:hAnsi="Times New Roman;Times;serif"/>
          <w:sz w:val="20"/>
        </w:rPr>
        <w:t xml:space="preserve"> </w:t>
      </w:r>
      <w:r>
        <w:rPr>
          <w:rFonts w:ascii="Times New Roman;Times;serif" w:hAnsi="Times New Roman;Times;serif"/>
          <w:sz w:val="24"/>
        </w:rPr>
        <w:t xml:space="preserve">below and (v) the commencement or conclusion of any Benchmark Unavailability Period. Any determination, decision or election that may be made by the Administrative Agent or, if applicable, any Lender (or group of Lenders) pursuant to this </w:t>
      </w:r>
      <w:r>
        <w:rPr>
          <w:rFonts w:ascii="Times New Roman;Times;serif" w:hAnsi="Times New Roman;Times;serif"/>
          <w:sz w:val="24"/>
          <w:u w:val="single"/>
        </w:rPr>
        <w:t>Section 2.11(e)</w:t>
      </w:r>
      <w:r>
        <w:rPr>
          <w:rFonts w:ascii="Times New Roman;Times;serif" w:hAnsi="Times New Roman;Times;serif"/>
          <w:sz w:val="24"/>
        </w:rPr>
        <w:t>, including any determination with respect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sz w:val="24"/>
          <w:u w:val="single"/>
        </w:rPr>
        <w:t>Section 2.11(e)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Notwithstanding anything to the contrary herein or in any other Loan Document, at any time (including in connection with the implementation of a Benchmark Replacement), (i) if the then-current Benchmark is a term rate (including the Term SOFR Rate or the EURIBOR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Times;serif" w:hAnsi="Times New Roman;Times;serif"/>
          <w:sz w:val="24"/>
          <w:u w:val="single"/>
        </w:rPr>
        <w:t>clause (i)</w:t>
      </w:r>
      <w:r>
        <w:rPr>
          <w:rFonts w:ascii="Times New Roman;Times;serif" w:hAnsi="Times New Roman;Times;serif"/>
          <w:sz w:val="20"/>
        </w:rPr>
        <w:t xml:space="preserve"> </w:t>
      </w:r>
      <w:r>
        <w:rPr>
          <w:rFonts w:ascii="Times New Roman;Times;serif" w:hAnsi="Times New Roman;Times;serif"/>
          <w:sz w:val="24"/>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Upon the Borrowers’ receipt of notice of the commencement of a Benchmark Unavailability Period, the applicable Borrower may revoke any request for a Term Benchmark Borrowing or RFR Borrowing of, conversion to or continuation of Term Benchmark Loans to be made, converted or continued during any Benchmark Unavailability Period and, failing that, either (x) the applicable Borrower will be deemed to have converted any request for a Term Benchmark Borrowing denominated in Dollars into a request for a Borrowing of or conversion to ABR Loans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Times;serif" w:hAnsi="Times New Roman;Times;serif"/>
          <w:sz w:val="24"/>
          <w:u w:val="single"/>
        </w:rPr>
        <w:t>Section 2.11(g)</w:t>
      </w:r>
      <w:r>
        <w:rPr>
          <w:rFonts w:ascii="Times New Roman;Times;serif" w:hAnsi="Times New Roman;Times;serif"/>
          <w:sz w:val="24"/>
        </w:rPr>
        <w:t xml:space="preserve">,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and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for Term Benchmark Loans;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Administrative Agent determines (which determination shall be conclusive and binding absent manifest error) that the Central Bank Rate for the applicable Agreed Currency cannot be determined, any outstanding affected Term Benchmark Loans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denominated in any Agreed Currency other than Dollars shall, at the Borrowers’ election prior to such day: (A) be prepaid by the Borrowers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for RFR Loans;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at the Borrowers’ election, shall either (A) be converted into ABR Loans denominated in Dollars (in an amount equal to the Dollar Equivalent of such Alternative Currency) immediately or (B) be prepaid in full immediately.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2.12</w:t>
      </w:r>
      <w:r>
        <w:rPr>
          <w:rFonts w:ascii="Times New Roman;Times;serif" w:hAnsi="Times New Roman;Times;serif"/>
          <w:sz w:val="24"/>
          <w:u w:val="single"/>
        </w:rPr>
        <w:t>Increased Costs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If any Change in Law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impose, modify or deem applicable any reserve, special deposit, compulsory loan, insurance charge or similar requirement against assets of, deposits with or for the account of, or credit extended by, any Lender (except any such reserve requirement reflected in the Adjusted EURIBOR Rate) or any Issuing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subject the Administrative Agent, any Issuing Bank, any Lender, the London or other applicable offshore interbank market for the applicable Agreed Currency or any other recipient of any payment to be made by or on account of any obligation of any Borrower hereunder, to any Taxes (other than (A) Indemnified Taxes, (B) Taxes described in clauses (b) through (h)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impose on any Lender or Issuing Bank or the London interbank market any other condition, cost or expense (other than Taxes) affecting this Agreement or Term Benchmark Loans made by such Lender or any Letter of Credit or participation therein;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the result of any of the foregoing shall be to increase the cost to such Lender or Issuing Bank of making, continuing, converting to or maintaining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Borrowers will pay to such Lender or Issuing Bank such additional amount or amounts as will compensate such Lender or Issuing Bank for such additional costs incurred or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If any Lender or Issuing Bank determines that any Change in Law regarding capital or liquidity requirements has or would have the effect of reducing the rate of return on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Lender’s or Issuing Bank’s capital or on the capital of such Lender’s or Issuing Bank’s holding company, if any, as a consequence of this Agreement, the Commitments hereunder or the Loans made by,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Issuing Bank’s policies and the policies of such Lender’s or Issuing Bank’s holding company with respect to capital adequacy or liquidity), then from time to time the Borrowers will pay to such Lender or Issuing Bank such additional amount or amounts as will compensate such Lender or Issuing Bank or such Lender’s or Issuing Bank’s holding company for any such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 certificate of a Lender or Issuing Bank setting forth in reasonable detail the amount or amounts necessary to compensate such Lender or Issuing Bank or its holding company, as the case may be, as specified in paragraph (a) or (b) of this Section shall be delivered to the Borrowers and shall be conclusive absent manifest error. The Borrowers shall pay such Lender or Issuing Bank the amount shown as due on any such certificate within 10 days after receipt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Failure or delay on the part of any Lender or Issuing Bank to demand compensation pursuant to this Section shall not constitute a waiver of such Lender’s or Issuing Bank’s right to demand such compensation;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the Borrowers shall not be required to compensate a Lender or Issuing Bank pursuant to this Section for any increased costs or reductions incurred more than 180 days prior to the date that such Lender or Issuing Bank notifies the Borrowers of the Change in Law giving rise to such increased costs or reductions and of such Lender’s or Issuing Bank’s intention to claim compensation therefore; </w:t>
      </w:r>
      <w:r>
        <w:rPr>
          <w:rFonts w:ascii="Times New Roman;Times;serif" w:hAnsi="Times New Roman;Times;serif"/>
          <w:sz w:val="24"/>
          <w:u w:val="single"/>
        </w:rPr>
        <w:t>provided further</w:t>
      </w:r>
      <w:r>
        <w:rPr>
          <w:rFonts w:ascii="Times New Roman;Times;serif" w:hAnsi="Times New Roman;Times;serif"/>
          <w:sz w:val="20"/>
        </w:rPr>
        <w:t xml:space="preserve"> </w:t>
      </w:r>
      <w:r>
        <w:rPr>
          <w:rFonts w:ascii="Times New Roman;Times;serif" w:hAnsi="Times New Roman;Times;serif"/>
          <w:sz w:val="24"/>
        </w:rPr>
        <w:t>that, if the Change in Law giving rise to such increased costs or reductions is retroactive (or has retroactive effect), then the 180-day period referred to above shall be extended to include the period of retroactive effect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Notwithstanding the foregoing, increased costs due to a Change in Law resulting from the Dodd-Frank Wall Street Reform and Consumer Protection Act and Basel III may only be requested by a Lender imposing such increased costs on borrowers similarly situated to the Borrowers under syndicated credit facilities comparable to those provided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2.13</w:t>
      </w:r>
      <w:r>
        <w:rPr>
          <w:rFonts w:ascii="Times New Roman;Times;serif" w:hAnsi="Times New Roman;Times;serif"/>
          <w:sz w:val="24"/>
          <w:u w:val="single"/>
        </w:rPr>
        <w:t>Break Funding Payments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With respect to Term Benchmark Loans, in the event of (i) the payment or prepayment of any principal of any Term Benchmark Loan other than on the last day of an Interest Period applicable thereto (whether voluntary, mandatory, automatic, by reason of acceleration, or otherwise),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Times;serif" w:hAnsi="Times New Roman;Times;serif"/>
          <w:sz w:val="24"/>
          <w:u w:val="single"/>
        </w:rPr>
        <w:t>Section 2.08(b)</w:t>
      </w:r>
      <w:r>
        <w:rPr>
          <w:rFonts w:ascii="Times New Roman;Times;serif" w:hAnsi="Times New Roman;Times;serif"/>
          <w:sz w:val="20"/>
        </w:rPr>
        <w:t xml:space="preserve"> </w:t>
      </w:r>
      <w:r>
        <w:rPr>
          <w:rFonts w:ascii="Times New Roman;Times;serif" w:hAnsi="Times New Roman;Times;serif"/>
          <w:sz w:val="24"/>
        </w:rPr>
        <w:t xml:space="preserve">and is revoked in accordance therewith), (iv) the assignment of any Term Benchmark Loan other than on the last day of the Interest Period applicable thereto as a result of a request by the Borrowers pursuant to </w:t>
      </w:r>
      <w:r>
        <w:rPr>
          <w:rFonts w:ascii="Times New Roman;Times;serif" w:hAnsi="Times New Roman;Times;serif"/>
          <w:sz w:val="24"/>
          <w:u w:val="single"/>
        </w:rPr>
        <w:t>Section 2.16</w:t>
      </w:r>
      <w:r>
        <w:rPr>
          <w:rFonts w:ascii="Times New Roman;Times;serif" w:hAnsi="Times New Roman;Times;serif"/>
          <w:sz w:val="20"/>
        </w:rPr>
        <w:t xml:space="preserve"> </w:t>
      </w:r>
      <w:r>
        <w:rPr>
          <w:rFonts w:ascii="Times New Roman;Times;serif" w:hAnsi="Times New Roman;Times;serif"/>
          <w:sz w:val="24"/>
        </w:rPr>
        <w:t>or (v) the failure by any Borrower to make any payment of any Loan or drawing under any Letter of Credit (or interest due thereof) denominated in an Alternative Currency on its scheduled due date or any payment thereof in a different currency, then, in any such event, the Borrowers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Loan had such event not occurred, at the Term SOFR Rate or the Adjusted EURIBOR Rate,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Agreed Currency of a comparable amount and period from other banks in the applicable offshore interbank market for such Agreed Currency. A certificate of any Lender setting forth in reasonable detail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Times;serif" w:hAnsi="Times New Roman;Times;serif"/>
          <w:sz w:val="24"/>
          <w:u w:val="single"/>
        </w:rPr>
        <w:t>Section 2.08(b)</w:t>
      </w:r>
      <w:r>
        <w:rPr>
          <w:rFonts w:ascii="Times New Roman;Times;serif" w:hAnsi="Times New Roman;Times;serif"/>
          <w:sz w:val="20"/>
        </w:rPr>
        <w:t xml:space="preserve"> </w:t>
      </w:r>
      <w:r>
        <w:rPr>
          <w:rFonts w:ascii="Times New Roman;Times;serif" w:hAnsi="Times New Roman;Times;serif"/>
          <w:sz w:val="24"/>
        </w:rPr>
        <w:t xml:space="preserve">and is revoked in accordance therewith), (iii) the assignment of any RFR Loan other than on the Interest Payment Date applicable thereto as a result of a request by the Borrowers pursuant to </w:t>
      </w:r>
      <w:r>
        <w:rPr>
          <w:rFonts w:ascii="Times New Roman;Times;serif" w:hAnsi="Times New Roman;Times;serif"/>
          <w:sz w:val="24"/>
          <w:u w:val="single"/>
        </w:rPr>
        <w:t>Section 2.16</w:t>
      </w:r>
      <w:r>
        <w:rPr>
          <w:rFonts w:ascii="Times New Roman;Times;serif" w:hAnsi="Times New Roman;Times;serif"/>
          <w:sz w:val="20"/>
        </w:rPr>
        <w:t xml:space="preserve"> </w:t>
      </w:r>
      <w:r>
        <w:rPr>
          <w:rFonts w:ascii="Times New Roman;Times;serif" w:hAnsi="Times New Roman;Times;serif"/>
          <w:sz w:val="24"/>
        </w:rPr>
        <w:t>or (iv) the failure by any Borrower to make any payment of any Loan or drawing under any Letter of Credit (or interest due thereof) denominated in an Alternative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Borrowers and shall be conclusive absent manifest error. The Borrowers shall pay such Lender the amount shown as due on any such certificate within 10 days after receipt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2.14</w:t>
      </w:r>
      <w:r>
        <w:rPr>
          <w:rFonts w:ascii="Times New Roman;Times;serif" w:hAnsi="Times New Roman;Times;serif"/>
          <w:sz w:val="24"/>
          <w:u w:val="single"/>
        </w:rPr>
        <w:t>Taxes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Any and all payments by or on account of any obligation of any Loan Party under any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make such deduction or withholding and timely pay the full amount deducted or withheld to the relevant Governmental Authority in accordance with applicable law and, if such Tax is an Indemnified Tax, then the sum and additional amount is payable by the Borrowers as necessary (or, where the Indemnified Tax is a Tax imposed by Australia, the applicable Withholding Agent shall pay an additional amount to the Administrative Agent, Issuing Bank or Lender (as the case may be)) so that after making such deduction or withholding for Indemnified Taxes (including such deductions and withholdings for Indemnified Taxes applicable to additional sums payable under this Section) the Administrative Agent, Issuing Bank or Lender (as the case may be) receives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 amount equal to the sum it would have received had no such deduction or withholding for Indemnified Taxes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In addition, the Loan Parties shall timely pay any Other Taxes to the relevant Governmental Authority in accordance with applicable law, or at the option of the Administrative Agent timely reimburse it for the payment of, any Other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Loan Parties shall jointly and severally indemnify the Administrative Agent, each Issuing Bank and each Lender, within 10 Business Days after demand therefor, for the full amount of any Indemnified Taxes paid by the Administrative Agent, such Issuing Bank or such Lender, as the case may be, or required to be withheld or deducted from any payment to such recipient by or on account of any obligation of any Borrower hereunder (including Indemnified Taxes imposed or asserted on or attributable to amounts payable under this Section) and reasonable expenses arising therefrom or with respect thereto, whether or not such Indemnified Taxes were correctly or legally imposed or asserted by the relevant Governmental Authority. A certificate as to the amount of such payment or liability delivered to the Borrowers by an Issuing Bank or a Lender (with a copy to the Administrative Agent), or by the Administrative Agent on its own behalf or on behalf of an Issuing Bank or a Lender, 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Each Lender shall severally indemnify the Administrative Agent, within 10 days after demand therefor, for (i) any Indemnified Taxes attributable to such Lender (but only to the extent that the Loan Parties have not already indemnified the Administrative Agent for such Indemnified Taxes and without limiting the obligation of any Borrower to do so), (ii) any Taxes attributable to such Lender’s failure to comply with the provisions of </w:t>
      </w:r>
      <w:r>
        <w:rPr>
          <w:rFonts w:ascii="Times New Roman;Times;serif" w:hAnsi="Times New Roman;Times;serif"/>
          <w:sz w:val="24"/>
          <w:u w:val="single"/>
        </w:rPr>
        <w:t>Section 10.04</w:t>
      </w:r>
      <w:r>
        <w:rPr>
          <w:rFonts w:ascii="Times New Roman;Times;serif" w:hAnsi="Times New Roman;Times;serif"/>
          <w:sz w:val="20"/>
        </w:rPr>
        <w:t xml:space="preserve"> </w:t>
      </w:r>
      <w:r>
        <w:rPr>
          <w:rFonts w:ascii="Times New Roman;Times;serif" w:hAnsi="Times New Roman;Times;serif"/>
          <w:sz w:val="24"/>
        </w:rPr>
        <w:t>relating to the maintenance of a Participant Register and (iii) any Excluded Taxes attributable to such Lender, in each case, that are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As soon as practicable after any payment of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Any Lender that is entitled to an exemption from or reduction of withholding Tax with respect to payments made under any Loan Document shall, to the extent legally entitled to do so, deliver to the Borrowers, at the time or times reasonably requested by the Borrowers, such properly completed and executed documentation reasonably requested by the Borrowers as will permit such payments to be made without withholding or at a reduced rate of withholding. In addition, any Lender, if reasonably requested by the Borrowers, shall, to the extent legally entitled to do so, deliver such other documentation prescribed by applicable law or reasonably requested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by the Borrowers as will enable the Borrowers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2.14(g)(i)-(iv))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Without limiting the generality of the foregoing, in the event that any Borrower is a U.S. Loan Party, any Foreign Lender, if it is legally entitled to do so, shall deliver to the Borrowers and the Administrative Agent (in such number of copies as shall be required by law or requested by the recipient) on or prior to the date on which such Foreign Lender becomes a Lender under this Agreement (and from time to time thereafter as required by law or upon the reasonable request of the Borrowers or the Administrative Agent, but only if such Foreign Lender is legally entitled to do so), whichever of the following is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executed originals of IRS Form W-8ECI;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in the case of a Foreign Lender claiming the benefits of the exemption for portfolio interest under Section 881(c) of the Code, (x) a certificate to the effect that such Foreign Lender is not (A) a “bank” within the meaning of Section 881(c)(3)(A) of the Code, (B) a “10 percent shareholder” of any Borrower within the meaning of Section 881(c)(3)(B) of the Code, or (C) a “controlled foreign corporation” described in Section 881(c)(3)(C) of the Code and (y) executed originals of IRS Form W-8BEN or IRS Form W-8BEN-E,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 xml:space="preserve">to the extent a Foreign Lender is not the beneficial owner, executed originals of IRS Form W-8IMY, accompanied by IRS Form W-8ECI, IRS Form W-8BEN, IRS Form W-8BEN-E, a portfolio interest certificate in compliance with </w:t>
      </w:r>
      <w:r>
        <w:rPr>
          <w:rFonts w:ascii="Times New Roman;Times;serif" w:hAnsi="Times New Roman;Times;serif"/>
          <w:sz w:val="24"/>
          <w:u w:val="single"/>
        </w:rPr>
        <w:t>Section 2.14(g)(iii)</w:t>
      </w:r>
      <w:r>
        <w:rPr>
          <w:rFonts w:ascii="Times New Roman;Times;serif" w:hAnsi="Times New Roman;Times;serif"/>
          <w:sz w:val="24"/>
        </w:rPr>
        <w:t xml:space="preserve">, IRS Form W-9, and/or other certification documents from each beneficial owner, as applicable;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the Foreign Lender is a partnership and one or more direct or indirect partners of such Foreign Lender are claiming the portfolio interest exemption, such Foreign Lender may provide a certificate in compliance with </w:t>
      </w:r>
      <w:r>
        <w:rPr>
          <w:rFonts w:ascii="Times New Roman;Times;serif" w:hAnsi="Times New Roman;Times;serif"/>
          <w:sz w:val="24"/>
          <w:u w:val="single"/>
        </w:rPr>
        <w:t>Section 2.14(g)(iii)</w:t>
      </w:r>
      <w:r>
        <w:rPr>
          <w:rFonts w:ascii="Times New Roman;Times;serif" w:hAnsi="Times New Roman;Times;serif"/>
          <w:sz w:val="20"/>
        </w:rPr>
        <w:t xml:space="preserve"> </w:t>
      </w:r>
      <w:r>
        <w:rPr>
          <w:rFonts w:ascii="Times New Roman;Times;serif" w:hAnsi="Times New Roman;Times;serif"/>
          <w:sz w:val="24"/>
        </w:rPr>
        <w:t>on behalf of such direct or indirect partner or partners;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other form prescribed by applicable law as a basis for claiming exemption from or a reduction in U.S. federal withholding tax or in withholding tax of any other jurisdiction duly completed together with such supplementary documentation as may be reasonably requested by the Parent Borrower or prescribed by applicable law to permit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Borrowers to determine the withholding or deduction required to be made unless, in the Foreign Lender’s reasonable determination, such completion would subject such Foreign Lender to any material cost or expense or would materially prejudice the legal or commercial position of such Foreign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In addition, any Lender that is a U.S. Person shall deliver to the Borrowers and the Administrative Agent on or prior to the date on which such Lender becomes a Lender under this Agreement (and from time to time thereafter as required by law or upon the reasonable request of the Borrowers or the Administrative Agent), executed originals of IRS Form W-9 certifying that such Lender is exempt from U.S. federal backup withholding. In addition, each Lender shall deliver such forms (including those forms required pursuant to </w:t>
      </w:r>
      <w:r>
        <w:rPr>
          <w:rFonts w:ascii="Times New Roman;Times;serif" w:hAnsi="Times New Roman;Times;serif"/>
          <w:sz w:val="24"/>
          <w:u w:val="single"/>
        </w:rPr>
        <w:t>Section 2.14(h)</w:t>
      </w:r>
      <w:r>
        <w:rPr>
          <w:rFonts w:ascii="Times New Roman;Times;serif" w:hAnsi="Times New Roman;Times;serif"/>
          <w:sz w:val="24"/>
        </w:rPr>
        <w:t>) promptly upon the obsolescence or invalidity of any form previously delivered by such Lender or promptly notify the Borrowers and the Administrative Agent in writing of its legal inability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If a payment made to a Lender under any Loan Document would be subject to U.S. federal withholding Tax imposed by FATCA if such Lender failed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other documentation reasonably requested by the Borrowers and the Administrative Agent sufficient for the Administrative Agent and the Borrowers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sz w:val="24"/>
          <w:u w:val="single"/>
        </w:rPr>
        <w:t>Section 2.14(h)</w:t>
      </w:r>
      <w:r>
        <w:rPr>
          <w:rFonts w:ascii="Times New Roman;Times;serif" w:hAnsi="Times New Roman;Times;serif"/>
          <w:sz w:val="24"/>
        </w:rPr>
        <w:t>, “FATCA” shall include any amendments made to FATCA after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The Administrative Agent shall deliver to the Borrowers on or prior to the date on which the Administrative Agent becomes the Administrative Agent under this Agreement (and from time to time thereafter as required by law or upon the reasonable request of the Borrowers), an executed, properly completed copy (together with all required attachments thereto) of: (i) IRS Form W-9 or any successor thereto, or (ii) (A) IRS Form W-8ECI or any successor thereto, and (B) with respect to payments received on account of any Lender, a U.S. branch withholding certificate on IRS Form W-8IMY or any successor thereto evidencing its agreement with the Borrowers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Indirect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All payments to be made by a Loan Party under or in connection with any Loan Document have been calculated without regard to Indirect Tax. If all or part of any such payment is the consideration for a taxable supply or chargeable without Indirect Tax then, when the Loan Party makes the payment: (A) it must pay to the Administrative Agent, Issuing Bank or Lender (as the case may be) an additional amount equal to that payment (or part) multiplied by the appropriate rate of Indirect Tax; and (B) the Administrative Agent, Issuing Bank or Lender (as the case may be) will promptly provide to the Loan Party a tax invoice complying with the relevant law relating to that Indirect Tax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 case of German Loan Party, such invoice shall comply with sections 14, 14a of the German Value-Added Tax Act (</w:t>
      </w:r>
      <w:r>
        <w:rPr>
          <w:rFonts w:ascii="Times New Roman;Times;serif" w:hAnsi="Times New Roman;Times;serif"/>
          <w:i/>
          <w:sz w:val="24"/>
        </w:rPr>
        <w:t>Umsatzsteuergesetz</w:t>
      </w:r>
      <w:r>
        <w:rPr>
          <w:rFonts w:ascii="Times New Roman;Times;serif" w:hAnsi="Times New Roman;Times;serif"/>
          <w:sz w:val="24"/>
        </w:rPr>
        <w:t>) for the refund as input value-added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Where a Loan Document requires a Loan Party to reimburse or indemnify the Administrative Agent, an Issuing Bank or a Lender (as the case may be) for any costs or expenses, that Loan Party shall also at the same time pay and indemnify that Administrative Agent, Issuing Bank or Lender against all Indirect Tax incurred by that Administrative Agent, Issuing Bank or Lender in respect of the costs or expenses save to the extent that that Administrative Agent, Issuing Bank or Lender is entitled to repayment or credit in respect of the Indirect Tax. The Administrative Agent, Issuing Bank or Lender (as the case may be) will promptly provide to the Loan Party a tax invoice complying with the relevant law relating to that Indirect Tax(</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 case of German Loan Party, such invoice shall comply with sections 14, 14a of the German Value-Added Tax Act (</w:t>
      </w:r>
      <w:r>
        <w:rPr>
          <w:rFonts w:ascii="Times New Roman;Times;serif" w:hAnsi="Times New Roman;Times;serif"/>
          <w:i/>
          <w:sz w:val="24"/>
        </w:rPr>
        <w:t>Umsatzsteuergesetz</w:t>
      </w:r>
      <w:r>
        <w:rPr>
          <w:rFonts w:ascii="Times New Roman;Times;serif" w:hAnsi="Times New Roman;Times;serif"/>
          <w:sz w:val="24"/>
        </w:rPr>
        <w:t>) for the refund as input value-added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 xml:space="preserve">Each party’s obligations under this </w:t>
      </w:r>
      <w:r>
        <w:rPr>
          <w:rFonts w:ascii="Times New Roman;Times;serif" w:hAnsi="Times New Roman;Times;serif"/>
          <w:sz w:val="24"/>
          <w:u w:val="single"/>
        </w:rPr>
        <w:t>Section 2.14</w:t>
      </w:r>
      <w:r>
        <w:rPr>
          <w:rFonts w:ascii="Times New Roman;Times;serif" w:hAnsi="Times New Roman;Times;serif"/>
          <w:sz w:val="20"/>
        </w:rPr>
        <w:t xml:space="preserve"> </w:t>
      </w:r>
      <w:r>
        <w:rPr>
          <w:rFonts w:ascii="Times New Roman;Times;serif" w:hAnsi="Times New Roman;Times;serif"/>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For purposes of this Section, the term “Lender” includes any Issuing Bank and the term applicable law includes FATCA.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2.15</w:t>
      </w:r>
      <w:r>
        <w:rPr>
          <w:rFonts w:ascii="Times New Roman;Times;serif" w:hAnsi="Times New Roman;Times;serif"/>
          <w:sz w:val="24"/>
          <w:u w:val="single"/>
        </w:rPr>
        <w:t>Payments Generally; Pro Rata Treatment; Sharing of Set-offs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 Except with respect to principal of and interest on Loans denominated in an Alternative Currency, each Borrower shall make each payment required to be made by it hereunder (whether of principal, interest, fees or reimbursement of LC Disbursements, or of amounts payable under </w:t>
      </w:r>
      <w:r>
        <w:rPr>
          <w:rFonts w:ascii="Times New Roman;Times;serif" w:hAnsi="Times New Roman;Times;serif"/>
          <w:sz w:val="24"/>
          <w:u w:val="single"/>
        </w:rPr>
        <w:t>Sections 2.12</w:t>
      </w:r>
      <w:r>
        <w:rPr>
          <w:rFonts w:ascii="Times New Roman;Times;serif" w:hAnsi="Times New Roman;Times;serif"/>
          <w:sz w:val="24"/>
        </w:rPr>
        <w:t xml:space="preserve">, </w:t>
      </w:r>
      <w:r>
        <w:rPr>
          <w:rFonts w:ascii="Times New Roman;Times;serif" w:hAnsi="Times New Roman;Times;serif"/>
          <w:sz w:val="24"/>
          <w:u w:val="single"/>
        </w:rPr>
        <w:t>2.13</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2.14</w:t>
      </w:r>
      <w:r>
        <w:rPr>
          <w:rFonts w:ascii="Times New Roman;Times;serif" w:hAnsi="Times New Roman;Times;serif"/>
          <w:sz w:val="24"/>
        </w:rPr>
        <w:t xml:space="preserve">, or otherwise) in Dollars prior to 12:00 noon, Local Time, on the date when due and (ii) all payments with respect to principal and interest on Loans denominated in an Alternative Currency shall be made in such Alternative Currency not later than the Local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(i) in the case of payments denominated in Dollars, at its Principal Office and (ii) in the case of payments denominated in an Alternative Currency, at its Alternative Currency Payment Office for such Alternative Currency;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payments pursuant to </w:t>
      </w:r>
      <w:r>
        <w:rPr>
          <w:rFonts w:ascii="Times New Roman;Times;serif" w:hAnsi="Times New Roman;Times;serif"/>
          <w:sz w:val="24"/>
          <w:u w:val="single"/>
        </w:rPr>
        <w:t>Sections 2.12</w:t>
      </w:r>
      <w:r>
        <w:rPr>
          <w:rFonts w:ascii="Times New Roman;Times;serif" w:hAnsi="Times New Roman;Times;serif"/>
          <w:sz w:val="24"/>
        </w:rPr>
        <w:t xml:space="preserve">, </w:t>
      </w:r>
      <w:r>
        <w:rPr>
          <w:rFonts w:ascii="Times New Roman;Times;serif" w:hAnsi="Times New Roman;Times;serif"/>
          <w:sz w:val="24"/>
          <w:u w:val="single"/>
        </w:rPr>
        <w:t>2.13</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2.14</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10.03</w:t>
      </w:r>
      <w:r>
        <w:rPr>
          <w:rFonts w:ascii="Times New Roman;Times;serif" w:hAnsi="Times New Roman;Times;serif"/>
          <w:sz w:val="20"/>
        </w:rPr>
        <w:t xml:space="preserve"> </w:t>
      </w:r>
      <w:r>
        <w:rPr>
          <w:rFonts w:ascii="Times New Roman;Times;serif" w:hAnsi="Times New Roman;Times;serif"/>
          <w:sz w:val="24"/>
        </w:rPr>
        <w:t>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and all other payments hereunder and under each other Loan Document shall be made in Dollars. Notwithstanding the foregoing provisions of this Section, if, after the making of any Loan or LC Disbursement in any Alternative Currency, currency control or exchange regulations are imposed in the country which issues such Alternative Currency with the result that such Alternative Currency no longer exists or the Borrowers are not able to make payment to the Administrative Agent for the account of the Lenders in such Alternative Currency, then all payments to be made by any Borrower hereunder in such Alternative Currency shall instead be made when due in a currency that replaced such Alternative Currency or, if no such replacement currency exists, in Dollars in an amount equal to the Dollar Equivalent (as of the date of repayment) of such payment due, it being the intention of the parties hereto that the Borrowers take all risks of the imposition of any such currency control or exchange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If at any time insufficient funds are received by and available to the Administrative Agent to pay fully all amounts of principal, unreimbursed LC Disbursements, interest and fees then due hereunder, such funds shall (subject to the provisions of </w:t>
      </w:r>
      <w:r>
        <w:rPr>
          <w:rFonts w:ascii="Times New Roman;Times;serif" w:hAnsi="Times New Roman;Times;serif"/>
          <w:sz w:val="24"/>
          <w:u w:val="single"/>
        </w:rPr>
        <w:t>Section 10.21</w:t>
      </w:r>
      <w:r>
        <w:rPr>
          <w:rFonts w:ascii="Times New Roman;Times;serif" w:hAnsi="Times New Roman;Times;serif"/>
          <w:sz w:val="24"/>
        </w:rPr>
        <w:t>)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Subject to the provisions of </w:t>
      </w:r>
      <w:r>
        <w:rPr>
          <w:rFonts w:ascii="Times New Roman;Times;serif" w:hAnsi="Times New Roman;Times;serif"/>
          <w:sz w:val="24"/>
          <w:u w:val="single"/>
        </w:rPr>
        <w:t>Section 10.21</w:t>
      </w:r>
      <w:r>
        <w:rPr>
          <w:rFonts w:ascii="Times New Roman;Times;serif" w:hAnsi="Times New Roman;Times;serif"/>
          <w:sz w:val="24"/>
        </w:rPr>
        <w:t>, if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(including the application of funds arising from the existence of a Defaulting Lender) or any payment obtained by a Lender as consideration for the assignment of or sale of a participation in any of its Loans or participations in LC Disbursements to any assignee or participant, other than to any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Unless the Administrative Agent shall have received notice from the Borrowers prior to the date on which any payment is due to the Administrative Agent for the account of the Lenders or the applicable Issuing Bank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If any Lender shall fail to make any payment required to be made by it pursuant to </w:t>
      </w:r>
      <w:r>
        <w:rPr>
          <w:rFonts w:ascii="Times New Roman;Times;serif" w:hAnsi="Times New Roman;Times;serif"/>
          <w:sz w:val="24"/>
          <w:u w:val="single"/>
        </w:rPr>
        <w:t>Section 2.04(b)</w:t>
      </w:r>
      <w:r>
        <w:rPr>
          <w:rFonts w:ascii="Times New Roman;Times;serif" w:hAnsi="Times New Roman;Times;serif"/>
          <w:sz w:val="24"/>
        </w:rPr>
        <w:t xml:space="preserve">, paragraph (d) or (e) of </w:t>
      </w:r>
      <w:r>
        <w:rPr>
          <w:rFonts w:ascii="Times New Roman;Times;serif" w:hAnsi="Times New Roman;Times;serif"/>
          <w:sz w:val="24"/>
          <w:u w:val="single"/>
        </w:rPr>
        <w:t>Section 2.19</w:t>
      </w:r>
      <w:r>
        <w:rPr>
          <w:rFonts w:ascii="Times New Roman;Times;serif" w:hAnsi="Times New Roman;Times;serif"/>
          <w:sz w:val="24"/>
        </w:rPr>
        <w:t>,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2.16</w:t>
      </w:r>
      <w:r>
        <w:rPr>
          <w:rFonts w:ascii="Times New Roman;Times;serif" w:hAnsi="Times New Roman;Times;serif"/>
          <w:sz w:val="24"/>
          <w:u w:val="single"/>
        </w:rPr>
        <w:t>Mitigation Obligations; Replacement of Lenders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If any Lender requests compensation under </w:t>
      </w:r>
      <w:r>
        <w:rPr>
          <w:rFonts w:ascii="Times New Roman;Times;serif" w:hAnsi="Times New Roman;Times;serif"/>
          <w:sz w:val="24"/>
          <w:u w:val="single"/>
        </w:rPr>
        <w:t>Section 2.12</w:t>
      </w:r>
      <w:r>
        <w:rPr>
          <w:rFonts w:ascii="Times New Roman;Times;serif" w:hAnsi="Times New Roman;Times;serif"/>
          <w:sz w:val="24"/>
        </w:rPr>
        <w:t xml:space="preserve">, or if any Borrower is required to pay any additional amount to any Lender or any Governmental Authority for the account of any Lender pursuant to </w:t>
      </w:r>
      <w:r>
        <w:rPr>
          <w:rFonts w:ascii="Times New Roman;Times;serif" w:hAnsi="Times New Roman;Times;serif"/>
          <w:sz w:val="24"/>
          <w:u w:val="single"/>
        </w:rPr>
        <w:t>Section 2.14</w:t>
      </w:r>
      <w:r>
        <w:rPr>
          <w:rFonts w:ascii="Times New Roman;Times;serif" w:hAnsi="Times New Roman;Times;serif"/>
          <w:sz w:val="24"/>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pursuant to </w:t>
      </w:r>
      <w:r>
        <w:rPr>
          <w:rFonts w:ascii="Times New Roman;Times;serif" w:hAnsi="Times New Roman;Times;serif"/>
          <w:sz w:val="24"/>
          <w:u w:val="single"/>
        </w:rPr>
        <w:t>Section 2.12</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2.14</w:t>
      </w:r>
      <w:r>
        <w:rPr>
          <w:rFonts w:ascii="Times New Roman;Times;serif" w:hAnsi="Times New Roman;Times;serif"/>
          <w:sz w:val="24"/>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If (i) any Lender requests compensation under </w:t>
      </w:r>
      <w:r>
        <w:rPr>
          <w:rFonts w:ascii="Times New Roman;Times;serif" w:hAnsi="Times New Roman;Times;serif"/>
          <w:sz w:val="24"/>
          <w:u w:val="single"/>
        </w:rPr>
        <w:t>Section 2.12</w:t>
      </w:r>
      <w:r>
        <w:rPr>
          <w:rFonts w:ascii="Times New Roman;Times;serif" w:hAnsi="Times New Roman;Times;serif"/>
          <w:sz w:val="24"/>
        </w:rPr>
        <w:t xml:space="preserve">, (ii) any Borrower is required to pay any additional amount to any Lender or any Governmental Authority for the account of any Lender pursuant to </w:t>
      </w:r>
      <w:r>
        <w:rPr>
          <w:rFonts w:ascii="Times New Roman;Times;serif" w:hAnsi="Times New Roman;Times;serif"/>
          <w:sz w:val="24"/>
          <w:u w:val="single"/>
        </w:rPr>
        <w:t>Section 2.14</w:t>
      </w:r>
      <w:r>
        <w:rPr>
          <w:rFonts w:ascii="Times New Roman;Times;serif" w:hAnsi="Times New Roman;Times;serif"/>
          <w:sz w:val="20"/>
        </w:rPr>
        <w:t xml:space="preserve"> </w:t>
      </w:r>
      <w:r>
        <w:rPr>
          <w:rFonts w:ascii="Times New Roman;Times;serif" w:hAnsi="Times New Roman;Times;serif"/>
          <w:sz w:val="24"/>
        </w:rPr>
        <w:t xml:space="preserve">or (iii) any Lender is a Defaulting Lender or a Non-Consenting Lender, then the Borrowers may, at their sole expense and effort, upon notice by the Borrowers to such Lender and the Administrative Agent, require such Lender to assign and delegate, without recourse (in accordance with and subject to the restrictions contained in </w:t>
      </w:r>
      <w:r>
        <w:rPr>
          <w:rFonts w:ascii="Times New Roman;Times;serif" w:hAnsi="Times New Roman;Times;serif"/>
          <w:sz w:val="24"/>
          <w:u w:val="single"/>
        </w:rPr>
        <w:t>Section 10.04</w:t>
      </w:r>
      <w:r>
        <w:rPr>
          <w:rFonts w:ascii="Times New Roman;Times;serif" w:hAnsi="Times New Roman;Times;serif"/>
          <w:sz w:val="24"/>
        </w:rPr>
        <w:t xml:space="preserve">), all its interests, rights and obligations under this Agreement and the other Loan Documents to an assignee that shall assume such obligations (which assignee may be another Lender, if a Lender accepts such assignment);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the Borrowers shall have received the prior written consent of the Administrative Agent (and if a Commitment is being assigned, the Issuing Banks), which consent shall not unreasonably be withheld, (ii) such Lender shall have received payment of an amount equal to the outstanding principal of its Loans and participations in LC Disbursements, accrued interest thereon, accrued fees and all other amounts payable to it hereunder and under the other Loan Documents, from the assignee (to the extent of such outstanding principal and accrued interest and fees so assigned) or the Borrowers (in the case of all other amounts so assigned), (iii) in the case of any such assignment resulting from a claim for compensation under </w:t>
      </w:r>
      <w:r>
        <w:rPr>
          <w:rFonts w:ascii="Times New Roman;Times;serif" w:hAnsi="Times New Roman;Times;serif"/>
          <w:sz w:val="24"/>
          <w:u w:val="single"/>
        </w:rPr>
        <w:t>Section 2.12</w:t>
      </w:r>
      <w:r>
        <w:rPr>
          <w:rFonts w:ascii="Times New Roman;Times;serif" w:hAnsi="Times New Roman;Times;serif"/>
          <w:sz w:val="20"/>
        </w:rPr>
        <w:t xml:space="preserve"> </w:t>
      </w:r>
      <w:r>
        <w:rPr>
          <w:rFonts w:ascii="Times New Roman;Times;serif" w:hAnsi="Times New Roman;Times;serif"/>
          <w:sz w:val="24"/>
        </w:rPr>
        <w:t xml:space="preserve">or payments required to be made pursuant to </w:t>
      </w:r>
      <w:r>
        <w:rPr>
          <w:rFonts w:ascii="Times New Roman;Times;serif" w:hAnsi="Times New Roman;Times;serif"/>
          <w:sz w:val="24"/>
          <w:u w:val="single"/>
        </w:rPr>
        <w:t>Section 2.14</w:t>
      </w:r>
      <w:r>
        <w:rPr>
          <w:rFonts w:ascii="Times New Roman;Times;serif" w:hAnsi="Times New Roman;Times;serif"/>
          <w:sz w:val="24"/>
        </w:rPr>
        <w:t xml:space="preserve">,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Borrowers exercises their rights pursuant to this clause (b) with respect to all Non-Consenting Lenders relating to the applicable amendment, waiver or consent;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xml:space="preserve">, that in the event such Lender shall have received payment of the amount referred to in clause (ii) above, such Lender shall be deemed to have so assigned and delegated all its interests, rights and obligations under this Agreement and the other Loan Documents pursuant to the terms set forth in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hereto. 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2.17</w:t>
      </w:r>
      <w:r>
        <w:rPr>
          <w:rFonts w:ascii="Times New Roman;Times;serif" w:hAnsi="Times New Roman;Times;serif"/>
          <w:sz w:val="24"/>
          <w:u w:val="single"/>
        </w:rPr>
        <w:t>Defaulting Lenders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Such Defaulting Lender’s right to approve or disapprove any amendment, waiver or consent with respect to this Agreement shall be restricted as set forth in the definition of Required Lenders and in </w:t>
      </w:r>
      <w:r>
        <w:rPr>
          <w:rFonts w:ascii="Times New Roman;Times;serif" w:hAnsi="Times New Roman;Times;serif"/>
          <w:sz w:val="24"/>
          <w:u w:val="single"/>
        </w:rPr>
        <w:t>Section 10.02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Any payment of principal, interest, fees or other amounts received by the Administrative Agent for the account of such Defaulting Lender (whether voluntary or mandatory,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at maturity, pursuant to </w:t>
      </w:r>
      <w:r>
        <w:rPr>
          <w:rFonts w:ascii="Times New Roman;Times;serif" w:hAnsi="Times New Roman;Times;serif"/>
          <w:sz w:val="24"/>
          <w:u w:val="single"/>
        </w:rPr>
        <w:t>Article 7</w:t>
      </w:r>
      <w:r>
        <w:rPr>
          <w:rFonts w:ascii="Times New Roman;Times;serif" w:hAnsi="Times New Roman;Times;serif"/>
          <w:sz w:val="20"/>
        </w:rPr>
        <w:t xml:space="preserve"> </w:t>
      </w:r>
      <w:r>
        <w:rPr>
          <w:rFonts w:ascii="Times New Roman;Times;serif" w:hAnsi="Times New Roman;Times;serif"/>
          <w:sz w:val="24"/>
        </w:rPr>
        <w:t xml:space="preserve">or otherwise) or received by the Administrative Agent from a Defaulting Lender pursuant to </w:t>
      </w:r>
      <w:r>
        <w:rPr>
          <w:rFonts w:ascii="Times New Roman;Times;serif" w:hAnsi="Times New Roman;Times;serif"/>
          <w:sz w:val="24"/>
          <w:u w:val="single"/>
        </w:rPr>
        <w:t>Section 10.08</w:t>
      </w:r>
      <w:r>
        <w:rPr>
          <w:rFonts w:ascii="Times New Roman;Times;serif" w:hAnsi="Times New Roman;Times;serif"/>
          <w:sz w:val="20"/>
        </w:rPr>
        <w:t xml:space="preserve"> </w:t>
      </w:r>
      <w:r>
        <w:rPr>
          <w:rFonts w:ascii="Times New Roman;Times;serif" w:hAnsi="Times New Roman;Times;serif"/>
          <w:sz w:val="24"/>
        </w:rPr>
        <w:t xml:space="preserve">shall be applied at such time or times as may be determined by the Administrative Agent as follows: </w:t>
      </w:r>
      <w:r>
        <w:rPr>
          <w:rFonts w:ascii="Times New Roman;Times;serif" w:hAnsi="Times New Roman;Times;serif"/>
          <w:i/>
          <w:sz w:val="24"/>
        </w:rPr>
        <w:t>first</w:t>
      </w:r>
      <w:r>
        <w:rPr>
          <w:rFonts w:ascii="Times New Roman;Times;serif" w:hAnsi="Times New Roman;Times;serif"/>
          <w:sz w:val="24"/>
        </w:rPr>
        <w:t xml:space="preserve">, to the payment of any amounts owing by such Defaulting Lender to the Administrative Agent hereunder; </w:t>
      </w:r>
      <w:r>
        <w:rPr>
          <w:rFonts w:ascii="Times New Roman;Times;serif" w:hAnsi="Times New Roman;Times;serif"/>
          <w:i/>
          <w:sz w:val="24"/>
        </w:rPr>
        <w:t>second</w:t>
      </w:r>
      <w:r>
        <w:rPr>
          <w:rFonts w:ascii="Times New Roman;Times;serif" w:hAnsi="Times New Roman;Times;serif"/>
          <w:sz w:val="24"/>
        </w:rPr>
        <w:t xml:space="preserve">, to prepay such Defaulting Lender’s Protective Advance Exposure; </w:t>
      </w:r>
      <w:r>
        <w:rPr>
          <w:rFonts w:ascii="Times New Roman;Times;serif" w:hAnsi="Times New Roman;Times;serif"/>
          <w:i/>
          <w:sz w:val="24"/>
        </w:rPr>
        <w:t>third</w:t>
      </w:r>
      <w:r>
        <w:rPr>
          <w:rFonts w:ascii="Times New Roman;Times;serif" w:hAnsi="Times New Roman;Times;serif"/>
          <w:sz w:val="24"/>
        </w:rPr>
        <w:t xml:space="preserve">, to the payment on a pro rata basis of any amounts owing by such Defaulting Lender to the Issuing Banks hereunder; </w:t>
      </w:r>
      <w:r>
        <w:rPr>
          <w:rFonts w:ascii="Times New Roman;Times;serif" w:hAnsi="Times New Roman;Times;serif"/>
          <w:i/>
          <w:sz w:val="24"/>
        </w:rPr>
        <w:t>fourth</w:t>
      </w:r>
      <w:r>
        <w:rPr>
          <w:rFonts w:ascii="Times New Roman;Times;serif" w:hAnsi="Times New Roman;Times;serif"/>
          <w:sz w:val="24"/>
        </w:rPr>
        <w:t xml:space="preserve">, to Cash Collateralize each Issuing Bank’s Fronting Exposure with respect to such Defaulting Lender in accordance with </w:t>
      </w:r>
      <w:r>
        <w:rPr>
          <w:rFonts w:ascii="Times New Roman;Times;serif" w:hAnsi="Times New Roman;Times;serif"/>
          <w:sz w:val="24"/>
          <w:u w:val="single"/>
        </w:rPr>
        <w:t>Section 2.17(d)</w:t>
      </w:r>
      <w:r>
        <w:rPr>
          <w:rFonts w:ascii="Times New Roman;Times;serif" w:hAnsi="Times New Roman;Times;serif"/>
          <w:sz w:val="24"/>
        </w:rPr>
        <w:t xml:space="preserve">; </w:t>
      </w:r>
      <w:r>
        <w:rPr>
          <w:rFonts w:ascii="Times New Roman;Times;serif" w:hAnsi="Times New Roman;Times;serif"/>
          <w:i/>
          <w:sz w:val="24"/>
        </w:rPr>
        <w:t>fifth</w:t>
      </w:r>
      <w:r>
        <w:rPr>
          <w:rFonts w:ascii="Times New Roman;Times;serif" w:hAnsi="Times New Roman;Times;serif"/>
          <w:sz w:val="24"/>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i/>
          <w:sz w:val="24"/>
        </w:rPr>
        <w:t>sixth</w:t>
      </w:r>
      <w:r>
        <w:rPr>
          <w:rFonts w:ascii="Times New Roman;Times;serif" w:hAnsi="Times New Roman;Times;serif"/>
          <w:sz w:val="24"/>
        </w:rPr>
        <w:t xml:space="preserve">, if so determined by the Administrative Agent and the Borrowers, to be held in a non-interest bearing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accordance with </w:t>
      </w:r>
      <w:r>
        <w:rPr>
          <w:rFonts w:ascii="Times New Roman;Times;serif" w:hAnsi="Times New Roman;Times;serif"/>
          <w:sz w:val="24"/>
          <w:u w:val="single"/>
        </w:rPr>
        <w:t>Section 2.17(d)</w:t>
      </w:r>
      <w:r>
        <w:rPr>
          <w:rFonts w:ascii="Times New Roman;Times;serif" w:hAnsi="Times New Roman;Times;serif"/>
          <w:sz w:val="24"/>
        </w:rPr>
        <w:t xml:space="preserve">; </w:t>
      </w:r>
      <w:r>
        <w:rPr>
          <w:rFonts w:ascii="Times New Roman;Times;serif" w:hAnsi="Times New Roman;Times;serif"/>
          <w:i/>
          <w:sz w:val="24"/>
        </w:rPr>
        <w:t>seventh</w:t>
      </w:r>
      <w:r>
        <w:rPr>
          <w:rFonts w:ascii="Times New Roman;Times;serif" w:hAnsi="Times New Roman;Times;serif"/>
          <w:sz w:val="24"/>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Times;serif" w:hAnsi="Times New Roman;Times;serif"/>
          <w:i/>
          <w:sz w:val="24"/>
        </w:rPr>
        <w:t>eighth</w:t>
      </w:r>
      <w:r>
        <w:rPr>
          <w:rFonts w:ascii="Times New Roman;Times;serif" w:hAnsi="Times New Roman;Times;serif"/>
          <w:sz w:val="24"/>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Times;serif" w:hAnsi="Times New Roman;Times;serif"/>
          <w:i/>
          <w:sz w:val="24"/>
        </w:rPr>
        <w:t>ninth</w:t>
      </w:r>
      <w:r>
        <w:rPr>
          <w:rFonts w:ascii="Times New Roman;Times;serif" w:hAnsi="Times New Roman;Times;serif"/>
          <w:sz w:val="24"/>
        </w:rPr>
        <w:t xml:space="preserve">, to such Defaulting Lender or as otherwise directed by a court of competent jurisdiction;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sz w:val="24"/>
          <w:u w:val="single"/>
        </w:rPr>
        <w:t>Section 4.02</w:t>
      </w:r>
      <w:r>
        <w:rPr>
          <w:rFonts w:ascii="Times New Roman;Times;serif" w:hAnsi="Times New Roman;Times;serif"/>
          <w:sz w:val="20"/>
        </w:rPr>
        <w:t xml:space="preserve"> </w:t>
      </w:r>
      <w:r>
        <w:rPr>
          <w:rFonts w:ascii="Times New Roman;Times;serif" w:hAnsi="Times New Roman;Times;serif"/>
          <w:sz w:val="24"/>
        </w:rPr>
        <w:t xml:space="preserve">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Letters of Credit are held by the Lenders pro rata in accordance with the Commitments without giving effect to </w:t>
      </w:r>
      <w:r>
        <w:rPr>
          <w:rFonts w:ascii="Times New Roman;Times;serif" w:hAnsi="Times New Roman;Times;serif"/>
          <w:sz w:val="24"/>
          <w:u w:val="single"/>
        </w:rPr>
        <w:t>Section 2.17(a)(iv)</w:t>
      </w:r>
      <w:r>
        <w:rPr>
          <w:rFonts w:ascii="Times New Roman;Times;serif" w:hAnsi="Times New Roman;Times;serif"/>
          <w:sz w:val="24"/>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sz w:val="24"/>
          <w:u w:val="single"/>
        </w:rPr>
        <w:t>Section 2.17(a)(ii)</w:t>
      </w:r>
      <w:r>
        <w:rPr>
          <w:rFonts w:ascii="Times New Roman;Times;serif" w:hAnsi="Times New Roman;Times;serif"/>
          <w:sz w:val="20"/>
        </w:rPr>
        <w:t xml:space="preserve"> </w:t>
      </w:r>
      <w:r>
        <w:rPr>
          <w:rFonts w:ascii="Times New Roman;Times;serif" w:hAnsi="Times New Roman;Times;serif"/>
          <w:sz w:val="24"/>
        </w:rPr>
        <w:t>shall be deemed paid to and redirected by such Defaulting Lender, and each Lender irrevocably consents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 xml:space="preserve">(A) No Defaulting Lender shall be entitled to receive any commitment fee pursuant to </w:t>
      </w:r>
      <w:r>
        <w:rPr>
          <w:rFonts w:ascii="Times New Roman;Times;serif" w:hAnsi="Times New Roman;Times;serif"/>
          <w:sz w:val="24"/>
          <w:u w:val="single"/>
        </w:rPr>
        <w:t>Section 2.09(a)</w:t>
      </w:r>
      <w:r>
        <w:rPr>
          <w:rFonts w:ascii="Times New Roman;Times;serif" w:hAnsi="Times New Roman;Times;serif"/>
          <w:sz w:val="20"/>
        </w:rPr>
        <w:t xml:space="preserve"> </w:t>
      </w:r>
      <w:r>
        <w:rPr>
          <w:rFonts w:ascii="Times New Roman;Times;serif" w:hAnsi="Times New Roman;Times;serif"/>
          <w:sz w:val="24"/>
        </w:rPr>
        <w:t xml:space="preserve">or participation fees pursuant to </w:t>
      </w:r>
      <w:r>
        <w:rPr>
          <w:rFonts w:ascii="Times New Roman;Times;serif" w:hAnsi="Times New Roman;Times;serif"/>
          <w:sz w:val="24"/>
          <w:u w:val="single"/>
        </w:rPr>
        <w:t>Section 2.09(b)(i)</w:t>
      </w:r>
      <w:r>
        <w:rPr>
          <w:rFonts w:ascii="Times New Roman;Times;serif" w:hAnsi="Times New Roman;Times;serif"/>
          <w:sz w:val="20"/>
        </w:rPr>
        <w:t xml:space="preserve"> </w:t>
      </w:r>
      <w:r>
        <w:rPr>
          <w:rFonts w:ascii="Times New Roman;Times;serif" w:hAnsi="Times New Roman;Times;serif"/>
          <w:sz w:val="24"/>
        </w:rPr>
        <w:t xml:space="preserve">for any period during which that Lender is a Defaulting Lender (and the Borrowers shall not be required to pay any such fee that otherwise would have been required to have been paid to that Defaulting Lender);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Defaulting Lender shall be entitled to receive participation fees pursuant to </w:t>
      </w:r>
      <w:r>
        <w:rPr>
          <w:rFonts w:ascii="Times New Roman;Times;serif" w:hAnsi="Times New Roman;Times;serif"/>
          <w:sz w:val="24"/>
          <w:u w:val="single"/>
        </w:rPr>
        <w:t>Section 2.09(b)(i)</w:t>
      </w:r>
      <w:r>
        <w:rPr>
          <w:rFonts w:ascii="Times New Roman;Times;serif" w:hAnsi="Times New Roman;Times;serif"/>
          <w:sz w:val="20"/>
        </w:rPr>
        <w:t xml:space="preserve"> </w:t>
      </w:r>
      <w:r>
        <w:rPr>
          <w:rFonts w:ascii="Times New Roman;Times;serif" w:hAnsi="Times New Roman;Times;serif"/>
          <w:sz w:val="24"/>
        </w:rPr>
        <w:t xml:space="preserve">for any period during which that Lender is a Defaulting Lender only to extent allocable to its Applicable Percentage of the available balance of Letters of Credit for which it has provided Cash Collateral pursuant to </w:t>
      </w:r>
      <w:r>
        <w:rPr>
          <w:rFonts w:ascii="Times New Roman;Times;serif" w:hAnsi="Times New Roman;Times;serif"/>
          <w:sz w:val="24"/>
          <w:u w:val="single"/>
        </w:rPr>
        <w:t>Section 2.17(d)</w:t>
      </w:r>
      <w:r>
        <w:rPr>
          <w:rFonts w:ascii="Times New Roman;Times;serif" w:hAnsi="Times New Roman;Times;serif"/>
          <w:sz w:val="24"/>
        </w:rPr>
        <w:t>; and (B) with respect to any fees not required to be paid to any Defaulting Lender pursuant to clause (A) above, the Borrowers shall (x) pay to each Non-Defaulting Lender that portion of any such fee otherwise payable to such Defaulting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 xml:space="preserve">So long as no Event of Default shall have occurred and be continuing, all or any part of such Defaulting Lender’s Protective Advance Exposure and participation in Letters of Credit shall be reallocated among the Non-Defaulting Lenders in accordance with their respective Applicable Percentages (calculated without regard to such Defaulting Lender’s Commitment) but only to the extent that such reallocation does not cause the Revolving Credit Exposure of any Non-Defaulting Lender to exceed such Non-Defaulting Lender’s Commitment. Subject to </w:t>
      </w:r>
      <w:r>
        <w:rPr>
          <w:rFonts w:ascii="Times New Roman;Times;serif" w:hAnsi="Times New Roman;Times;serif"/>
          <w:sz w:val="24"/>
          <w:u w:val="single"/>
        </w:rPr>
        <w:t>Section 10.19</w:t>
      </w:r>
      <w:r>
        <w:rPr>
          <w:rFonts w:ascii="Times New Roman;Times;serif" w:hAnsi="Times New Roman;Times;serif"/>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If the reallocation described in clause (iv) above cannot, or can only partially, be effected, the Borrowers shall, without prejudice to any right or remedy available to them hereunder or under law, Cash Collateralize each Issuing Bank’s Fronting Exposure in accordance with the procedures set forth in </w:t>
      </w:r>
      <w:r>
        <w:rPr>
          <w:rFonts w:ascii="Times New Roman;Times;serif" w:hAnsi="Times New Roman;Times;serif"/>
          <w:sz w:val="24"/>
          <w:u w:val="single"/>
        </w:rPr>
        <w:t>Section 2.17(d)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If the Borrowers,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on a pro rata basis by the Lenders in accordance with their respective Applicable Percentages (without giving effect to </w:t>
      </w:r>
      <w:r>
        <w:rPr>
          <w:rFonts w:ascii="Times New Roman;Times;serif" w:hAnsi="Times New Roman;Times;serif"/>
          <w:sz w:val="24"/>
          <w:u w:val="single"/>
        </w:rPr>
        <w:t>Section 2.17(a)(iv)</w:t>
      </w:r>
      <w:r>
        <w:rPr>
          <w:rFonts w:ascii="Times New Roman;Times;serif" w:hAnsi="Times New Roman;Times;serif"/>
          <w:sz w:val="24"/>
        </w:rPr>
        <w:t xml:space="preserve">), whereupon such Lender will cease to be a Defaulting Lender;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 adjustments will be made retroactively with respect to fees accrued or payments made by or on behalf of the Borrowers while that Lender was a Defaulting Lender;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So long as any Lender is a Defaulting Lender, each Issuing Bank shall not be required to issue, extend, renew or increase any Letter of Credit unless it is satisfied that the related exposure and the participations in any then existing Letters of Credit as well as the new, extended, renewed or increased Letter of Credit has been or will be fully allocated among the Non-Defaulting Lenders in a manner consistent with clause (a)(iv) above and such Defaulting Lender shall not participate therein except to the extent such Defaulting Lender’s participation has been or will be fully Cash Collateralized in accordance with </w:t>
      </w:r>
      <w:r>
        <w:rPr>
          <w:rFonts w:ascii="Times New Roman;Times;serif" w:hAnsi="Times New Roman;Times;serif"/>
          <w:sz w:val="24"/>
          <w:u w:val="single"/>
        </w:rPr>
        <w:t>Section 2.17(d)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At any time that there shall exist a Defaulting Lender, within one Business Day following the written request of the Administrative Agent or any Issuing Bank (with a copy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Administrative Agent), the Borrowers shall Cash Collateralize such Issuing Bank’s Fronting Exposure with respect to such Defaulting Lender (determined after giving effect to </w:t>
      </w:r>
      <w:r>
        <w:rPr>
          <w:rFonts w:ascii="Times New Roman;Times;serif" w:hAnsi="Times New Roman;Times;serif"/>
          <w:sz w:val="24"/>
          <w:u w:val="single"/>
        </w:rPr>
        <w:t>Section 2.17(a)(iv)</w:t>
      </w:r>
      <w:r>
        <w:rPr>
          <w:rFonts w:ascii="Times New Roman;Times;serif" w:hAnsi="Times New Roman;Times;serif"/>
          <w:sz w:val="20"/>
        </w:rPr>
        <w:t xml:space="preserve"> </w:t>
      </w:r>
      <w:r>
        <w:rPr>
          <w:rFonts w:ascii="Times New Roman;Times;serif" w:hAnsi="Times New Roman;Times;serif"/>
          <w:sz w:val="24"/>
        </w:rPr>
        <w:t>and any Cash Collateral provided by such Defaulting Lender) in an amount not less than the Minimum Collateral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Each Borrower, and to the extent provided by any Defaulting Lender, such Defaulting Lender, hereby grants to the Administrative Agent, for the benefit of the Issuing Banks,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Cash Collateral is subject to any right or claim of any Person other than the Administrative Agent and the Issuing Banks as herein provided, or that the total amount of such Cash Collateral is less than the Minimum Collateral Amount, 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Notwithstanding anything to the contrary contained in this Agreement, Cash Collateral provided under this </w:t>
      </w:r>
      <w:r>
        <w:rPr>
          <w:rFonts w:ascii="Times New Roman;Times;serif" w:hAnsi="Times New Roman;Times;serif"/>
          <w:sz w:val="24"/>
          <w:u w:val="single"/>
        </w:rPr>
        <w:t>Section 2.17</w:t>
      </w:r>
      <w:r>
        <w:rPr>
          <w:rFonts w:ascii="Times New Roman;Times;serif" w:hAnsi="Times New Roman;Times;serif"/>
          <w:sz w:val="20"/>
        </w:rPr>
        <w:t xml:space="preserve"> </w:t>
      </w:r>
      <w:r>
        <w:rPr>
          <w:rFonts w:ascii="Times New Roman;Times;serif" w:hAnsi="Times New Roman;Times;serif"/>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 xml:space="preserve">Cash Collateral (or the appropriate portion thereof) provided to reduce each Issuing Bank’s Fronting Exposure shall no longer be required to be held as Cash Collateral pursuant to this </w:t>
      </w:r>
      <w:r>
        <w:rPr>
          <w:rFonts w:ascii="Times New Roman;Times;serif" w:hAnsi="Times New Roman;Times;serif"/>
          <w:sz w:val="24"/>
          <w:u w:val="single"/>
        </w:rPr>
        <w:t>Section 2.17</w:t>
      </w:r>
      <w:r>
        <w:rPr>
          <w:rFonts w:ascii="Times New Roman;Times;serif" w:hAnsi="Times New Roman;Times;serif"/>
          <w:sz w:val="20"/>
        </w:rPr>
        <w:t xml:space="preserve"> </w:t>
      </w:r>
      <w:r>
        <w:rPr>
          <w:rFonts w:ascii="Times New Roman;Times;serif" w:hAnsi="Times New Roman;Times;serif"/>
          <w:sz w:val="24"/>
        </w:rPr>
        <w:t xml:space="preserve">following (i) the elimination of the applicable Fronting Exposure (including by the termination of Defaulting Lender status of the applicable Lender) or (ii) the determination by the Administrative Agent and such Issuing Bank that there exists excess Cash Collateral;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subject to the other provisions of this </w:t>
      </w:r>
      <w:r>
        <w:rPr>
          <w:rFonts w:ascii="Times New Roman;Times;serif" w:hAnsi="Times New Roman;Times;serif"/>
          <w:sz w:val="24"/>
          <w:u w:val="single"/>
        </w:rPr>
        <w:t>Section 2.17</w:t>
      </w:r>
      <w:r>
        <w:rPr>
          <w:rFonts w:ascii="Times New Roman;Times;serif" w:hAnsi="Times New Roman;Times;serif"/>
          <w:sz w:val="24"/>
        </w:rPr>
        <w:t>, the Person providing Cash Collateral and such Issuing Bank may agree that Cash Collateral shall be held to support future anticipated Fronting Exposure or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2.18</w:t>
      </w:r>
      <w:r>
        <w:rPr>
          <w:rFonts w:ascii="Times New Roman;Times;serif" w:hAnsi="Times New Roman;Times;serif"/>
          <w:sz w:val="24"/>
          <w:u w:val="single"/>
        </w:rPr>
        <w:t>Incremental Facility</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Borrowers may by written notice to the Administrative Agent elect to request prior to the Maturity Date, one or more increases to the existing Commitments (any such increase, the “</w:t>
      </w:r>
      <w:r>
        <w:rPr>
          <w:rFonts w:ascii="Times New Roman;Times;serif" w:hAnsi="Times New Roman;Times;serif"/>
          <w:b/>
          <w:sz w:val="24"/>
        </w:rPr>
        <w:t>New Commitments</w:t>
      </w:r>
      <w:r>
        <w:rPr>
          <w:rFonts w:ascii="Times New Roman;Times;serif" w:hAnsi="Times New Roman;Times;serif"/>
          <w:sz w:val="20"/>
        </w:rPr>
        <w:t>”</w:t>
      </w:r>
      <w:r>
        <w:rPr>
          <w:rFonts w:ascii="Times New Roman;Times;serif" w:hAnsi="Times New Roman;Times;serif"/>
          <w:sz w:val="24"/>
        </w:rPr>
        <w:t>), in Dollars, by an amount not in excess of the Incremental Amount in the aggregate and not less than $5,000,000 individually (or such lesser amount which shall be approved by the Administrative Agent or such lesser amount that shall constitute the difference between the Incremental Amount and all such New Commitments obtained prior to such date), and integral multiples of $1,000,000 in excess of that amount. Each such notice shall specify (A) the date (each, an “</w:t>
      </w:r>
      <w:r>
        <w:rPr>
          <w:rFonts w:ascii="Times New Roman;Times;serif" w:hAnsi="Times New Roman;Times;serif"/>
          <w:b/>
          <w:sz w:val="24"/>
        </w:rPr>
        <w:t>Increased Amount Date</w:t>
      </w:r>
      <w:r>
        <w:rPr>
          <w:rFonts w:ascii="Times New Roman;Times;serif" w:hAnsi="Times New Roman;Times;serif"/>
          <w:sz w:val="20"/>
        </w:rPr>
        <w:t>”</w:t>
      </w:r>
      <w:r>
        <w:rPr>
          <w:rFonts w:ascii="Times New Roman;Times;serif" w:hAnsi="Times New Roman;Times;serif"/>
          <w:sz w:val="24"/>
        </w:rPr>
        <w:t xml:space="preserve">) on which the Borrowers propose that the New Commitments shall be effective, which shall be a date not less than 5 Business Days after the date on which such notice is delivered to the Administrative Agent (unless otherwise agreed by the Administrative Agent in its sole discretion), (B) the requested amount of the New Commitment, and (C) the identity of each Lender or other Person that is an eligible assignee under </w:t>
      </w:r>
      <w:r>
        <w:rPr>
          <w:rFonts w:ascii="Times New Roman;Times;serif" w:hAnsi="Times New Roman;Times;serif"/>
          <w:sz w:val="24"/>
          <w:u w:val="single"/>
        </w:rPr>
        <w:t>Section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u w:val="single"/>
        </w:rPr>
        <w:t>10.04(b)</w:t>
      </w:r>
      <w:r>
        <w:rPr>
          <w:rFonts w:ascii="Times New Roman;Times;serif" w:hAnsi="Times New Roman;Times;serif"/>
          <w:sz w:val="24"/>
        </w:rPr>
        <w:t>, subject to approval thereof by the Administrative Agent in the case of a Person that is not a Lender (such approval not to be unreasonably withheld or delayed) (each, a “</w:t>
      </w:r>
      <w:r>
        <w:rPr>
          <w:rFonts w:ascii="Times New Roman;Times;serif" w:hAnsi="Times New Roman;Times;serif"/>
          <w:b/>
          <w:sz w:val="24"/>
        </w:rPr>
        <w:t>New Lender</w:t>
      </w:r>
      <w:r>
        <w:rPr>
          <w:rFonts w:ascii="Times New Roman;Times;serif" w:hAnsi="Times New Roman;Times;serif"/>
          <w:sz w:val="20"/>
        </w:rPr>
        <w:t>”</w:t>
      </w:r>
      <w:r>
        <w:rPr>
          <w:rFonts w:ascii="Times New Roman;Times;serif" w:hAnsi="Times New Roman;Times;serif"/>
          <w:sz w:val="24"/>
        </w:rPr>
        <w:t xml:space="preserve">), to whom the Borrowers propose any portion of such New Commitments be allocated and the amounts of such allocations;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any Lender approached to provide all or a portion of the New Commitments may elect or decline, in its sole discretion, to provide a New Commitment; and </w:t>
      </w:r>
      <w:r>
        <w:rPr>
          <w:rFonts w:ascii="Times New Roman;Times;serif" w:hAnsi="Times New Roman;Times;serif"/>
          <w:sz w:val="24"/>
          <w:u w:val="single"/>
        </w:rPr>
        <w:t>provided</w:t>
      </w:r>
      <w:r>
        <w:rPr>
          <w:rFonts w:ascii="Times New Roman;Times;serif" w:hAnsi="Times New Roman;Times;serif"/>
          <w:sz w:val="24"/>
        </w:rPr>
        <w:t xml:space="preserve">, further that any Lender approached to provide all or a portion of the New Commitments and that does not respond in writing within 5 Business Days of receipt of such offer shall be deemed to have declined. Such New Commitments shall become effective as of such Increased Amount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(1) on such Increased Amount Date before or after giving effect to such New Commitments, each of the conditions set forth in </w:t>
      </w:r>
      <w:r>
        <w:rPr>
          <w:rFonts w:ascii="Times New Roman;Times;serif" w:hAnsi="Times New Roman;Times;serif"/>
          <w:sz w:val="24"/>
          <w:u w:val="single"/>
        </w:rPr>
        <w:t>Section 4.02</w:t>
      </w:r>
      <w:r>
        <w:rPr>
          <w:rFonts w:ascii="Times New Roman;Times;serif" w:hAnsi="Times New Roman;Times;serif"/>
          <w:sz w:val="20"/>
        </w:rPr>
        <w:t xml:space="preserve"> </w:t>
      </w:r>
      <w:r>
        <w:rPr>
          <w:rFonts w:ascii="Times New Roman;Times;serif" w:hAnsi="Times New Roman;Times;serif"/>
          <w:sz w:val="24"/>
        </w:rPr>
        <w:t xml:space="preserve">shall be satisfied; (2) the Loan Parties shall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 xml:space="preserve">on a Pro Forma Basis after giving effect to such New Commitments, (3) the New Commitments shall be effected pursuant to one or more Lender Joinder Agreements executed and delivered by the Borrowers, the New Lenders and the Administrative Agent, and each of which shall be recorded in the Register and each New Lender shall be subject to the requirements set forth in </w:t>
      </w:r>
      <w:r>
        <w:rPr>
          <w:rFonts w:ascii="Times New Roman;Times;serif" w:hAnsi="Times New Roman;Times;serif"/>
          <w:sz w:val="24"/>
          <w:u w:val="single"/>
        </w:rPr>
        <w:t>Section 2.14</w:t>
      </w:r>
      <w:r>
        <w:rPr>
          <w:rFonts w:ascii="Times New Roman;Times;serif" w:hAnsi="Times New Roman;Times;serif"/>
          <w:sz w:val="24"/>
        </w:rPr>
        <w:t xml:space="preserve">; (3) the Borrowers shall make any payments required pursuant to </w:t>
      </w:r>
      <w:r>
        <w:rPr>
          <w:rFonts w:ascii="Times New Roman;Times;serif" w:hAnsi="Times New Roman;Times;serif"/>
          <w:sz w:val="24"/>
          <w:u w:val="single"/>
        </w:rPr>
        <w:t>Sections 2.12</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2.13</w:t>
      </w:r>
      <w:r>
        <w:rPr>
          <w:rFonts w:ascii="Times New Roman;Times;serif" w:hAnsi="Times New Roman;Times;serif"/>
          <w:sz w:val="20"/>
        </w:rPr>
        <w:t xml:space="preserve"> </w:t>
      </w:r>
      <w:r>
        <w:rPr>
          <w:rFonts w:ascii="Times New Roman;Times;serif" w:hAnsi="Times New Roman;Times;serif"/>
          <w:sz w:val="24"/>
        </w:rPr>
        <w:t>in connection with the New Commitments; and (5) the Borrowers shall deliver or cause to be delivered any legal opinions or other documents reasonably requested by the Administrative Agent in connection with any such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On any Increased Amount Date on which New Commitments are effected, subject to the satisfaction (or waiver by the Required Lenders) of the foregoing terms and conditions, (i) each of the Lenders shall assign to each of the New Lenders, and each of the New Lenders shall purchase from each of the Lenders, at the principal amount thereof (together with accrued interest), such interests in the Loans, and participations in the Letters of Credit, in each case outstanding on such Increased Amount Date as shall be necessary in order that, after giving effect to all such assignments and purchases, such Loans and participations in such Protective Advances and Letters of Credit will be held by existing Lenders and New Lenders ratably in accordance with their Commitments after giving effect to the addition of such New Commitments to the Commitments, (ii) each New Commitment shall be deemed for all purposes a Commitment (and the terms and provisions (including pricing and Agreed Currency) of the New Commitments shall be identical to the existing Commitments), and each Loan made thereunder (a “</w:t>
      </w:r>
      <w:r>
        <w:rPr>
          <w:rFonts w:ascii="Times New Roman;Times;serif" w:hAnsi="Times New Roman;Times;serif"/>
          <w:b/>
          <w:sz w:val="24"/>
        </w:rPr>
        <w:t>New Loan</w:t>
      </w:r>
      <w:r>
        <w:rPr>
          <w:rFonts w:ascii="Times New Roman;Times;serif" w:hAnsi="Times New Roman;Times;serif"/>
          <w:sz w:val="20"/>
        </w:rPr>
        <w:t>”</w:t>
      </w:r>
      <w:r>
        <w:rPr>
          <w:rFonts w:ascii="Times New Roman;Times;serif" w:hAnsi="Times New Roman;Times;serif"/>
          <w:sz w:val="24"/>
        </w:rPr>
        <w:t>) shall be deemed, for all purposes, a Loan and (iii) each New Lender shall become a Lender for all purposes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Administrative Agent shall notify Lenders promptly upon receipt of the Borrower’s notice of each Increased Amount Date and in respect thereof (i) the New Commitments and the New Lenders, and (ii) the respective interests in such Lender’s Loans, in each case subject to the assignments contemplated by this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The terms and provisions (including pricing and Agreed Currency) of the New Loans shall be identical to the existing Loans. Notwithstanding anything in </w:t>
      </w:r>
      <w:r>
        <w:rPr>
          <w:rFonts w:ascii="Times New Roman;Times;serif" w:hAnsi="Times New Roman;Times;serif"/>
          <w:sz w:val="24"/>
          <w:u w:val="single"/>
        </w:rPr>
        <w:t>Section 10.02</w:t>
      </w:r>
      <w:r>
        <w:rPr>
          <w:rFonts w:ascii="Times New Roman;Times;serif" w:hAnsi="Times New Roman;Times;serif"/>
          <w:sz w:val="20"/>
        </w:rPr>
        <w:t xml:space="preserve"> </w:t>
      </w:r>
      <w:r>
        <w:rPr>
          <w:rFonts w:ascii="Times New Roman;Times;serif" w:hAnsi="Times New Roman;Times;serif"/>
          <w:sz w:val="24"/>
        </w:rPr>
        <w:t xml:space="preserve">to the contrary, each Lender Joinder Agreement may, without the consent of any other Lenders, effect such amendments to this Agreement and the other Loan Documents as may be necessary or appropriate in the opinion of the Administrative Agent to effect the provision of this </w:t>
      </w:r>
      <w:r>
        <w:rPr>
          <w:rFonts w:ascii="Times New Roman;Times;serif" w:hAnsi="Times New Roman;Times;serif"/>
          <w:sz w:val="24"/>
          <w:u w:val="single"/>
        </w:rPr>
        <w:t>Section 2.18</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2.19</w:t>
      </w:r>
      <w:r>
        <w:rPr>
          <w:rFonts w:ascii="Times New Roman;Times;serif" w:hAnsi="Times New Roman;Times;serif"/>
          <w:sz w:val="24"/>
          <w:u w:val="single"/>
        </w:rPr>
        <w:t>Letters of Credit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General</w:t>
      </w:r>
      <w:r>
        <w:rPr>
          <w:rFonts w:ascii="Times New Roman;Times;serif" w:hAnsi="Times New Roman;Times;serif"/>
          <w:sz w:val="24"/>
        </w:rPr>
        <w:t xml:space="preserve">. Subject to the terms and conditions set forth herein, each Borrower may request the issuance of (and subject to the terms of this </w:t>
      </w:r>
      <w:r>
        <w:rPr>
          <w:rFonts w:ascii="Times New Roman;Times;serif" w:hAnsi="Times New Roman;Times;serif"/>
          <w:sz w:val="24"/>
          <w:u w:val="single"/>
        </w:rPr>
        <w:t>Section 2.19</w:t>
      </w:r>
      <w:r>
        <w:rPr>
          <w:rFonts w:ascii="Times New Roman;Times;serif" w:hAnsi="Times New Roman;Times;serif"/>
          <w:sz w:val="24"/>
        </w:rPr>
        <w:t xml:space="preserve">, each Issuing Bank shall issue) Letters of Credit as the 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 Notwithstanding anything herein to the contrary, (i) no Borrower shall request, and no Issuing Bank shall issue, any Letter of Credit the proceeds of which would be made to any Person (A) to fund any activity or business of or with any Sanctioned Person, or in any country, region or territory, that at the time of such funding is a Sanctioned Country or (B) in any manner that would result in a violation of any Sanctions by any party to this Agreement, (ii) no Issuing Bank shall have any obligation hereunder to issue any Letter of Credit if the issuance of such Letter of Credit would violate one or more policies of such Issuing Bank now or hereafter in effect applicable to letters of credit generally, (iii) no Issuing Bank shall have any obligation hereunder to issue any Letter of Credit if 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Amendment No. 3 Effective Date, or shall impose upon such Issuing Bank any unreimbursed loss, cost or expense that was not applicable on the Amendment No. 3 Effective Date and that such Issuing Bank in good faith deems material to it, (iv) no Issuing Bank shall have any obligation hereunder to issue any Letter of Credit (1) if the aggregate LC Exposure with respect to all Letters of Credit issued by such Issuing Bank would exceed such Issuing Bank’s LC Commitment, (2) denominated in a currency other than Dollars or with respect to each Issuing Bank, any applicable Alternative Currency set forth adjacent to its name on </w:t>
      </w:r>
      <w:r>
        <w:rPr>
          <w:rFonts w:ascii="Times New Roman;Times;serif" w:hAnsi="Times New Roman;Times;serif"/>
          <w:sz w:val="24"/>
          <w:u w:val="single"/>
        </w:rPr>
        <w:t>Schedule 2.01</w:t>
      </w:r>
      <w:r>
        <w:rPr>
          <w:rFonts w:ascii="Times New Roman;Times;serif" w:hAnsi="Times New Roman;Times;serif"/>
          <w:sz w:val="24"/>
        </w:rPr>
        <w:t>, or otherwise consented to by such Issuing Bank, or (3) unless it is a Standby Letter of Credit (or, with the consent of such Issuing Bank (in its sole discretion), a Commercial Letter of Credit), and (v) no Borrower shall request, and no Issuing Bank shall issue, any Letter of Credit if after giving effect to such issuance of a Letter of Credit, (1) any Lender’s Revolving Credit Exposure would exceed such Lender’s Commitment or (2) the Total Revolving Extensions of Credit would exceed the total Commitments or any of the Borrowing Limits would be exceeded.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Notice of Issuance, Amendment, Renewal, Extension; Certain Conditions</w:t>
      </w:r>
      <w:r>
        <w:rPr>
          <w:rFonts w:ascii="Times New Roman;Times;serif" w:hAnsi="Times New Roman;Times;serif"/>
          <w:sz w:val="24"/>
        </w:rPr>
        <w:t>. To request the issuance of a Letter of Credit (or the amendment, renewal or extension of an outstanding Letter of Credit), the applicable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in connection with a Letter of Credit denominated in Dollars and four Business Days in connection with a Letter of Credit denominated in a currency other than Dollars)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 written Letter of Credit Request in substantially the form of </w:t>
      </w:r>
      <w:r>
        <w:rPr>
          <w:rFonts w:ascii="Times New Roman;Times;serif" w:hAnsi="Times New Roman;Times;serif"/>
          <w:sz w:val="24"/>
          <w:u w:val="single"/>
        </w:rPr>
        <w:t>Exhibit B-2</w:t>
      </w:r>
      <w:r>
        <w:rPr>
          <w:rFonts w:ascii="Times New Roman;Times;serif" w:hAnsi="Times New Roman;Times;serif"/>
          <w:sz w:val="20"/>
        </w:rPr>
        <w:t xml:space="preserve"> </w:t>
      </w:r>
      <w:r>
        <w:rPr>
          <w:rFonts w:ascii="Times New Roman;Times;serif" w:hAnsi="Times New Roman;Times;serif"/>
          <w:sz w:val="24"/>
        </w:rPr>
        <w:t>attached hereto and signed by the applicable Borrower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Dollar Equivalent of the LC Exposure shall not exceed the LC Sublimit, (ii) the Total Revolving Extensions of Credit shall not exceed the total Commitments and none of the Borrowing Limits shall be exceeded, (iii) the Dollar Equivalent of the LC Exposure of the applicable Issuing Bank shall not exceed the LC Sublimit applicable to such Issuing Bank and (iv) the Revolving Credit Exposure of the applicable Issuing Bank shall not exceed the Commitment of such Issuing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Currency; Expiration Date</w:t>
      </w:r>
      <w:r>
        <w:rPr>
          <w:rFonts w:ascii="Times New Roman;Times;serif" w:hAnsi="Times New Roman;Times;serif"/>
          <w:sz w:val="24"/>
        </w:rPr>
        <w:t xml:space="preserve">. Each Letter of Credit shall be denominated in Dollars or any Alternative Currency to the extent provided in </w:t>
      </w:r>
      <w:r>
        <w:rPr>
          <w:rFonts w:ascii="Times New Roman;Times;serif" w:hAnsi="Times New Roman;Times;serif"/>
          <w:sz w:val="24"/>
          <w:u w:val="single"/>
        </w:rPr>
        <w:t>Section 2.19(a)</w:t>
      </w:r>
      <w:r>
        <w:rPr>
          <w:rFonts w:ascii="Times New Roman;Times;serif" w:hAnsi="Times New Roman;Times;serif"/>
          <w:sz w:val="20"/>
        </w:rPr>
        <w:t xml:space="preserve"> </w:t>
      </w:r>
      <w:r>
        <w:rPr>
          <w:rFonts w:ascii="Times New Roman;Times;serif" w:hAnsi="Times New Roman;Times;serif"/>
          <w:sz w:val="24"/>
        </w:rPr>
        <w:t xml:space="preserve">above. Each Letter of Credit shall expire (or be subject to termination by notice from the applicable Issuing Bank to the beneficiary thereof) at or prior to the close of business on the earlier of (i) the date one year after the date of the issuance of such Letter of Credit unless otherwise consented to by the applicable Issuing Bank (or, in the case of any renewal or extension thereof, one year after such renewal or extension) and (ii) the date that is five Business Days prior to the Maturity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notwithstanding anything to the contrary in this paragraph (c), a Letter of Credit may expire on a date following the Maturity Date if the Borrowers provide Cash Collateral for, “backstops” or replaces such Letter of Credit, in each case, at the time of issuance of any such Letter of Credit in an amount equal to 103% of the applicable Issuing Bank’s LC Exposure attributable to such Letter of Credit (105% for any LC Exposure with respect to Letters of Credit denominated in a currency other than Dollars) plus any accrued and unpaid interest thereon and pursuant to arrangements (and with “backstop” letter of credit issuers) reasonably acceptable to the applicable Issuing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Participations</w:t>
      </w:r>
      <w:r>
        <w:rPr>
          <w:rFonts w:ascii="Times New Roman;Times;serif" w:hAnsi="Times New Roman;Times;serif"/>
          <w:sz w:val="24"/>
        </w:rPr>
        <w:t xml:space="preserve">. By the issuance of a Letter of Credit (or an amendment to a Letter of Credit increasing the amount thereof) and without any further action on the part of any Issuing Bank or the Lenders, the applicable Issuing Bank hereby grants to each Lender, and each Lender hereby acquires from the applicable Issuing Bank, a participation in such Letter of Credit equal to such Lender’s Applicable Percentage of the aggregate amount available to be drawn under such Letter of Credit;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Lenders’ participations in a Letter of Credit shall terminate upon giving effect to any Deemed LC Termination in respect of such Letter of Credit. In consideration and in furtherance of the foregoing, each Lender hereby absolutely, unconditionally and irrevocably agrees to pay to the Administrative Agent, for the account of such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respect of Letters of Credit is absolute, unconditional and irrevocable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Reimbursement</w:t>
      </w:r>
      <w:r>
        <w:rPr>
          <w:rFonts w:ascii="Times New Roman;Times;serif" w:hAnsi="Times New Roman;Times;serif"/>
          <w:sz w:val="24"/>
        </w:rPr>
        <w:t xml:space="preserve">. If any Issuing Bank shall make any LC Disbursement in respect of a Letter of Credit, the Borrowers shall reimburse such LC Disbursement by paying to the Administrative Agent an amount equal to such LC Disbursement in the applicable Agreed Currency within one (1) Business Day after the Borrowers shall have received notice of such LC Disbursement;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the Borrowers may, subject to the conditions to borrowing set forth herein and so long as none of the Borrowing Limits shall be exceeded, request in accordance with </w:t>
      </w:r>
      <w:r>
        <w:rPr>
          <w:rFonts w:ascii="Times New Roman;Times;serif" w:hAnsi="Times New Roman;Times;serif"/>
          <w:sz w:val="24"/>
          <w:u w:val="single"/>
        </w:rPr>
        <w:t>Section 2.03</w:t>
      </w:r>
      <w:r>
        <w:rPr>
          <w:rFonts w:ascii="Times New Roman;Times;serif" w:hAnsi="Times New Roman;Times;serif"/>
          <w:sz w:val="20"/>
        </w:rPr>
        <w:t xml:space="preserve"> </w:t>
      </w:r>
      <w:r>
        <w:rPr>
          <w:rFonts w:ascii="Times New Roman;Times;serif" w:hAnsi="Times New Roman;Times;serif"/>
          <w:sz w:val="24"/>
        </w:rPr>
        <w:t xml:space="preserve">that such payment be financed with an ABR Borrowing in an amount equal to the Dollar Equivalent of such LC Disbursement and, to the extent so financed, the Borrowers’ obligation to make such payment shall be discharged and replaced by the resulting ABR Borrowing. If the Borrowers fail to make such payment when due, (x) any LC Disbursement denominated in an Alternative Currency shall automatically be converted to an LC Disbursement denominated in Dollars in an amount equal to the Dollar Equivalent of such LC Disbursement at such time and (y) the Administrative Agent shall notify each Lender of the applicable LC Disbursement, the payment then due from the Borrowers in respect thereof and such Lender’s Applicable Percentage thereof. Promptly following receipt of such notice, each Lender shall pay to the Administrative Agent its Applicable Percentage of the payment then due from the Borrowers, in the same manner as provided in </w:t>
      </w:r>
      <w:r>
        <w:rPr>
          <w:rFonts w:ascii="Times New Roman;Times;serif" w:hAnsi="Times New Roman;Times;serif"/>
          <w:sz w:val="24"/>
          <w:u w:val="single"/>
        </w:rPr>
        <w:t>Section 2.04</w:t>
      </w:r>
      <w:r>
        <w:rPr>
          <w:rFonts w:ascii="Times New Roman;Times;serif" w:hAnsi="Times New Roman;Times;serif"/>
          <w:sz w:val="20"/>
        </w:rPr>
        <w:t xml:space="preserve"> </w:t>
      </w:r>
      <w:r>
        <w:rPr>
          <w:rFonts w:ascii="Times New Roman;Times;serif" w:hAnsi="Times New Roman;Times;serif"/>
          <w:sz w:val="24"/>
        </w:rPr>
        <w:t xml:space="preserve">with respect to Loans made by such Lender (and </w:t>
      </w:r>
      <w:r>
        <w:rPr>
          <w:rFonts w:ascii="Times New Roman;Times;serif" w:hAnsi="Times New Roman;Times;serif"/>
          <w:sz w:val="24"/>
          <w:u w:val="single"/>
        </w:rPr>
        <w:t>Section 2.04</w:t>
      </w:r>
      <w:r>
        <w:rPr>
          <w:rFonts w:ascii="Times New Roman;Times;serif" w:hAnsi="Times New Roman;Times;serif"/>
          <w:sz w:val="20"/>
        </w:rPr>
        <w:t xml:space="preserve"> </w:t>
      </w:r>
      <w:r>
        <w:rPr>
          <w:rFonts w:ascii="Times New Roman;Times;serif" w:hAnsi="Times New Roman;Times;serif"/>
          <w:sz w:val="24"/>
        </w:rPr>
        <w:t xml:space="preserve">shall apply, </w:t>
      </w:r>
      <w:r>
        <w:rPr>
          <w:rFonts w:ascii="Times New Roman;Times;serif" w:hAnsi="Times New Roman;Times;serif"/>
          <w:i/>
          <w:sz w:val="24"/>
        </w:rPr>
        <w:t>mutatis mutandis</w:t>
      </w:r>
      <w:r>
        <w:rPr>
          <w:rFonts w:ascii="Times New Roman;Times;serif" w:hAnsi="Times New Roman;Times;serif"/>
          <w:sz w:val="24"/>
        </w:rPr>
        <w:t>, to the payment obligations of the Lenders), and the Administrative Agent shall promptly pay to the applicable Issuing Bank the amounts so received by it from the Lenders. Promptly following receipt by the Administrative Agent of any payment from the Borrowers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Any payment made by a Lender pursuant to this paragraph to reimburse any Issuing Bank for any LC Disbursement (other than the funding of ABR Loans as contemplated above) shall not constitute a Loan and shall not relieve any Borrower of its obligation to reimburse such LC Disbursement. If the Borrowers’ reimbursement of, or obligation to reimburse, any amounts in any Alternative Currency would subject the Administrative Agent, any Issuing Bank or any Lender to any stamp duty, ad valorem charge or similar tax that would not be payable if such reimbursement were made or required to be made in Dollars, the Borrowers shall, at their option, either (x) pay the amount of any such tax requested by the Administrative Agent, such Issuing Bank or such Lender or (y) reimburse each LC Disbursement made in such Alternative Currency in Dollars, in an amount equal to the Dollar Equivalent of such LC Disbursement on the date such LC Disbursement is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Obligations Absolute</w:t>
      </w:r>
      <w:r>
        <w:rPr>
          <w:rFonts w:ascii="Times New Roman;Times;serif" w:hAnsi="Times New Roman;Times;serif"/>
          <w:sz w:val="24"/>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foregoing shall not be construed to excuse any Issuing Bank from liability to the Borrowers to the extent of any direct damages (as opposed to special, indirect, consequential or punitive damages, claims in respect of which are hereby waived by each Borrower to the extent permitted by applicable law) suffered by the Borrowers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Disbursement Procedures</w:t>
      </w:r>
      <w:r>
        <w:rPr>
          <w:rFonts w:ascii="Times New Roman;Times;serif" w:hAnsi="Times New Roman;Times;serif"/>
          <w:sz w:val="24"/>
        </w:rPr>
        <w:t xml:space="preserve">. Each Issuing Bank shall, within the time allowed by applicable laws or the specific terms of the Letter of Credit following its receipt thereof, examine all documents purporting to represent a demand for payment under a Letter of Credit. Such Issuing Bank shall promptly after such examination notify the Administrative Agent by telephone (confirmed by telecopy) of such demand for payment and whether such Issuing Bank has made or will make an LC Disbursement thereunder and, upon receipt of such notice, the Administrative Agent shall promptly notify the Borrowers by telephone (confirmed by telecopy) of the same;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any failure to give or delay by the Issuing Bank or the Administrative Agent in giving such notice shall not relieve any Borrower of its obligation to reimburse such Issuing Bank and the Lenders with respect to any such LC Disbursement.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Interim Interest</w:t>
      </w:r>
      <w:r>
        <w:rPr>
          <w:rFonts w:ascii="Times New Roman;Times;serif" w:hAnsi="Times New Roman;Times;serif"/>
          <w:sz w:val="24"/>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w:t>
      </w:r>
      <w:r>
        <w:rPr>
          <w:rFonts w:ascii="Times New Roman;Times;serif" w:hAnsi="Times New Roman;Times;serif"/>
          <w:i/>
          <w:sz w:val="24"/>
        </w:rPr>
        <w:t>per annum</w:t>
      </w:r>
      <w:r>
        <w:rPr>
          <w:rFonts w:ascii="Times New Roman;Times;serif" w:hAnsi="Times New Roman;Times;serif"/>
          <w:sz w:val="20"/>
        </w:rPr>
        <w:t xml:space="preserve"> </w:t>
      </w:r>
      <w:r>
        <w:rPr>
          <w:rFonts w:ascii="Times New Roman;Times;serif" w:hAnsi="Times New Roman;Times;serif"/>
          <w:sz w:val="24"/>
        </w:rPr>
        <w:t xml:space="preserve">then applicable to ABR Loans;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the Borrowers fail to reimburse such LC Disbursement when due pursuant to paragraph (e) of this Section, then </w:t>
      </w:r>
      <w:r>
        <w:rPr>
          <w:rFonts w:ascii="Times New Roman;Times;serif" w:hAnsi="Times New Roman;Times;serif"/>
          <w:sz w:val="24"/>
          <w:u w:val="single"/>
        </w:rPr>
        <w:t>Section 2.10(c)</w:t>
      </w:r>
      <w:r>
        <w:rPr>
          <w:rFonts w:ascii="Times New Roman;Times;serif" w:hAnsi="Times New Roman;Times;serif"/>
          <w:sz w:val="20"/>
        </w:rPr>
        <w:t xml:space="preserve"> </w:t>
      </w:r>
      <w:r>
        <w:rPr>
          <w:rFonts w:ascii="Times New Roman;Times;serif" w:hAnsi="Times New Roman;Times;serif"/>
          <w:sz w:val="24"/>
        </w:rPr>
        <w:t>shall apply. Interest accrued pursuant to this paragraph shall be for the account of such Issuing Bank, except that interest accrued on and after the date of payment by any Lender pursuant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paragraph (e) of this Section to reimburse such Issuing Bank shall be for the account of such Lender to the extent of such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Cash Collateralization</w:t>
      </w:r>
      <w:r>
        <w:rPr>
          <w:rFonts w:ascii="Times New Roman;Times;serif" w:hAnsi="Times New Roman;Times;serif"/>
          <w:sz w:val="24"/>
        </w:rPr>
        <w:t>. If any Specified Event of Default shall occur and be continuing</w:t>
      </w:r>
      <w:r>
        <w:rPr>
          <w:rFonts w:ascii="Times New Roman;Times;serif" w:hAnsi="Times New Roman;Times;serif"/>
          <w:color w:val="0000FF"/>
          <w:sz w:val="20"/>
        </w:rPr>
        <w:t xml:space="preserve"> </w:t>
      </w:r>
      <w:r>
        <w:rPr>
          <w:rFonts w:ascii="Times New Roman;Times;serif" w:hAnsi="Times New Roman;Times;serif"/>
          <w:b/>
          <w:color w:val="0000FF"/>
          <w:sz w:val="24"/>
        </w:rPr>
        <w:t>or if required pursuant to Section 2.08(d)</w:t>
      </w:r>
      <w:r>
        <w:rPr>
          <w:rFonts w:ascii="Times New Roman;Times;serif" w:hAnsi="Times New Roman;Times;serif"/>
          <w:sz w:val="24"/>
        </w:rPr>
        <w:t xml:space="preserve">, on the Business Day that the Borrowers receive notice from the Administrative Agent, any Issuing Bank or the Required Lenders (or, if the maturity of the Loans has been accelerated, Lenders with LC Exposure representing greater than 50.0% of the total LC Exposure) demanding the deposit of Cash Collateral pursuant to this paragraph, the Borrowers shall provide Cash Collateral in an amount equal to 103% of the LC Exposure (105% for any LC Exposure with respect to Letters of Credit denominated in a currency other than Dollars) as of such date plus any accrued and unpaid interest thereon;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obligation to deposit such Cash Collateral shall become effective immediately, and such deposit shall become immediately due and payable, without demand or other notice of any kind, upon the occurrence of any Event of Default with respect to any Loan Party described in Section 7.01(h) or Section 7.01(i). Such Cash Collateral shall be held by the Administrative Agent as collateral for the payment and performance of the obligations of the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each Issuing Bank),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u w:val="single"/>
        </w:rPr>
        <w:t>Replacement of an Issuing Bank</w:t>
      </w:r>
      <w:r>
        <w:rPr>
          <w:rFonts w:ascii="Times New Roman;Times;serif" w:hAnsi="Times New Roman;Times;serif"/>
          <w:sz w:val="24"/>
        </w:rPr>
        <w:t xml:space="preserve">. Any Issuing Bank may be replaced at any time by written agreement among the Borrowers, the Administrative Agent, the replaced Issuing Bank and the successor Issuing Bank. The Administrative Agent shall notify the Lenders of any such replacement of any Issuing Bank. At the time any such replacement shall become effective, the Borrowers shall pay all unpaid fees accrued for the account of the replaced Issuing Bank pursuant to </w:t>
      </w:r>
      <w:r>
        <w:rPr>
          <w:rFonts w:ascii="Times New Roman;Times;serif" w:hAnsi="Times New Roman;Times;serif"/>
          <w:sz w:val="24"/>
          <w:u w:val="single"/>
        </w:rPr>
        <w:t>Section 2.09(b)</w:t>
      </w:r>
      <w:r>
        <w:rPr>
          <w:rFonts w:ascii="Times New Roman;Times;serif" w:hAnsi="Times New Roman;Times;serif"/>
          <w:sz w:val="24"/>
        </w:rPr>
        <w:t>. From and after the effective date of any such replacement, (i) the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u w:val="single"/>
        </w:rPr>
        <w:t>Resignation of an Issuing Bank</w:t>
      </w:r>
      <w:r>
        <w:rPr>
          <w:rFonts w:ascii="Times New Roman;Times;serif" w:hAnsi="Times New Roman;Times;serif"/>
          <w:sz w:val="24"/>
        </w:rPr>
        <w:t>. Any Issuing Bank may resign at any time that such Issuing Bank (or its applicable Affiliate) ceases to hold a Commitment hereunder.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Administrative Agent shall notify the Lenders of any such resignation of any Issuing Bank. After the resignation of an Issuing Bank hereunder, the resigning Issuing Bank shall remain a party hereto and shall continue to have all the rights and obligations of an Issuing Bank under this Agreement with respect to Letters of Credit issued by it prior to such resignation, but shall not be required to issue additional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u w:val="single"/>
        </w:rPr>
        <w:t>Deemed Letter of Credit Requests</w:t>
      </w:r>
      <w:r>
        <w:rPr>
          <w:rFonts w:ascii="Times New Roman;Times;serif" w:hAnsi="Times New Roman;Times;serif"/>
          <w:sz w:val="24"/>
        </w:rPr>
        <w:t>. The Borrowers may, from time to time, request (a “</w:t>
      </w:r>
      <w:r>
        <w:rPr>
          <w:rFonts w:ascii="Times New Roman;Times;serif" w:hAnsi="Times New Roman;Times;serif"/>
          <w:b/>
          <w:sz w:val="24"/>
        </w:rPr>
        <w:t>Deemed LC Request</w:t>
      </w:r>
      <w:r>
        <w:rPr>
          <w:rFonts w:ascii="Times New Roman;Times;serif" w:hAnsi="Times New Roman;Times;serif"/>
          <w:sz w:val="20"/>
        </w:rPr>
        <w:t>”</w:t>
      </w:r>
      <w:r>
        <w:rPr>
          <w:rFonts w:ascii="Times New Roman;Times;serif" w:hAnsi="Times New Roman;Times;serif"/>
          <w:sz w:val="24"/>
        </w:rPr>
        <w:t>) that (i) any undrawn Letter of Credit issued hereunder be deemed to be terminated and issued under a separate letter of credit facility with the applicable Issuing Bank (a “</w:t>
      </w:r>
      <w:r>
        <w:rPr>
          <w:rFonts w:ascii="Times New Roman;Times;serif" w:hAnsi="Times New Roman;Times;serif"/>
          <w:b/>
          <w:sz w:val="24"/>
        </w:rPr>
        <w:t>Deemed LC Termination</w:t>
      </w:r>
      <w:r>
        <w:rPr>
          <w:rFonts w:ascii="Times New Roman;Times;serif" w:hAnsi="Times New Roman;Times;serif"/>
          <w:sz w:val="20"/>
        </w:rPr>
        <w:t>”</w:t>
      </w:r>
      <w:r>
        <w:rPr>
          <w:rFonts w:ascii="Times New Roman;Times;serif" w:hAnsi="Times New Roman;Times;serif"/>
          <w:sz w:val="24"/>
        </w:rPr>
        <w:t>) or (ii) any undrawn letter of credit issued under a separate letter of credit facility with an Issuing Bank be deemed a Letter of Credit issued hereunder (a “</w:t>
      </w:r>
      <w:r>
        <w:rPr>
          <w:rFonts w:ascii="Times New Roman;Times;serif" w:hAnsi="Times New Roman;Times;serif"/>
          <w:b/>
          <w:sz w:val="24"/>
        </w:rPr>
        <w:t>Deemed LC Issuance</w:t>
      </w:r>
      <w:r>
        <w:rPr>
          <w:rFonts w:ascii="Times New Roman;Times;serif" w:hAnsi="Times New Roman;Times;serif"/>
          <w:sz w:val="20"/>
        </w:rPr>
        <w:t>”</w:t>
      </w:r>
      <w:r>
        <w:rPr>
          <w:rFonts w:ascii="Times New Roman;Times;serif" w:hAnsi="Times New Roman;Times;serif"/>
          <w:sz w:val="24"/>
        </w:rPr>
        <w:t xml:space="preserve">). Any such Deemed LC Request shall identify the applicable Letter of Credit, and the Deemed LC Termination or Deemed LC Issuance specified therein shall, subject to the prior written consent of each of the Administrative Agent and the applicable Issuing Bank (which consent may be withheld in its sole discretion) and, in the case of any Deemed LC Issuance, the satisfaction of the conditions set forth in </w:t>
      </w:r>
      <w:r>
        <w:rPr>
          <w:rFonts w:ascii="Times New Roman;Times;serif" w:hAnsi="Times New Roman;Times;serif"/>
          <w:sz w:val="24"/>
          <w:u w:val="single"/>
        </w:rPr>
        <w:t>Section 4.02</w:t>
      </w:r>
      <w:r>
        <w:rPr>
          <w:rFonts w:ascii="Times New Roman;Times;serif" w:hAnsi="Times New Roman;Times;serif"/>
          <w:sz w:val="24"/>
        </w:rPr>
        <w:t>, be effective upon receipt of such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u w:val="single"/>
        </w:rPr>
        <w:t>Existing Letters of Credit</w:t>
      </w:r>
      <w:r>
        <w:rPr>
          <w:rFonts w:ascii="Times New Roman;Times;serif" w:hAnsi="Times New Roman;Times;serif"/>
          <w:sz w:val="24"/>
        </w:rPr>
        <w:t>. As of the Amendment No. 3 Effective Date, each of the Existing Letters of Credit shall constitute, for all purposes of this Agreement and the other Loan Documents, a Letter of Credit issued and outstanding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2.20</w:t>
      </w:r>
      <w:r>
        <w:rPr>
          <w:rFonts w:ascii="Times New Roman;Times;serif" w:hAnsi="Times New Roman;Times;serif"/>
          <w:sz w:val="24"/>
          <w:u w:val="single"/>
        </w:rPr>
        <w:t>Judgment Currency</w:t>
      </w:r>
      <w:r>
        <w:rPr>
          <w:rFonts w:ascii="Times New Roman;Times;serif" w:hAnsi="Times New Roman;Times;serif"/>
          <w:sz w:val="24"/>
        </w:rPr>
        <w:t>. If, for the purposes of obtaining judgment in any court, it is necessary to convert a sum due hereunder in the currency expressed to be payable herein (the “</w:t>
      </w:r>
      <w:r>
        <w:rPr>
          <w:rFonts w:ascii="Times New Roman;Times;serif" w:hAnsi="Times New Roman;Times;serif"/>
          <w:b/>
          <w:sz w:val="24"/>
        </w:rPr>
        <w:t>specified currency</w:t>
      </w:r>
      <w:r>
        <w:rPr>
          <w:rFonts w:ascii="Times New Roman;Times;serif" w:hAnsi="Times New Roman;Times;serif"/>
          <w:sz w:val="20"/>
        </w:rPr>
        <w:t>”</w:t>
      </w:r>
      <w:r>
        <w:rPr>
          <w:rFonts w:ascii="Times New Roman;Times;serif" w:hAnsi="Times New Roman;Times;serif"/>
          <w:sz w:val="24"/>
        </w:rPr>
        <w:t xml:space="preserve">) into another currency, the parties hereto agree, to the fullest extent that they may effectively do so, that the rate of exchange used shall be that at which the Administrative Agent could, in accordance with normal banking procedures applicable to arm’s length transactions, purchase the specified currency with such other currency at the Administrative Agent’s Principal Office on the Business Day immediately preceding that on which final, non-appealable judgment is given. The obligations of each Loan Party in respect of any sum due to the Administrative Agent, any Issuing Bank or any Lender hereunder shall, notwithstanding any judgment in a currency other than the specified currency, be discharged only to the extent that on the Business Day following receipt by the Administrative Agent, such Issuing Bank or such Lender of any sum adjudged to be so due in such other currency, the Administrative Agent, such Issuing Bank or such Lender may in accordance with normal, reasonable banking procedures purchase the specified currency with such other currency. If the amount of the specified currency so purchased is less than the sum originally due to the Administrative Agent, such Issuing Bank or such Lender in the specified currency, each Loan Party agrees, to the fullest extent that it may effectively do so, as a separate obligation and notwithstanding any such judgment, to indemnify the Administrative Agent, such Issuing Bank or such Lender against such loss, and if the amount of the specified currency so purchased exceeds (a) the sum originally due to the Administrative Agent, such Issuing Bank or such Lender in the specified currency and (b) any amounts shared with other Lenders as a result of allocations of such excess as a disproportionate payment to such Lender under </w:t>
      </w:r>
      <w:r>
        <w:rPr>
          <w:rFonts w:ascii="Times New Roman;Times;serif" w:hAnsi="Times New Roman;Times;serif"/>
          <w:sz w:val="24"/>
          <w:u w:val="single"/>
        </w:rPr>
        <w:t>Section 2.15(c)</w:t>
      </w:r>
      <w:r>
        <w:rPr>
          <w:rFonts w:ascii="Times New Roman;Times;serif" w:hAnsi="Times New Roman;Times;serif"/>
          <w:sz w:val="24"/>
        </w:rPr>
        <w:t>, the Administrative Agent, such Issuing Bank or such Lender agrees to remit such excess to the Loan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2.21</w:t>
      </w:r>
      <w:r>
        <w:rPr>
          <w:rFonts w:ascii="Times New Roman;Times;serif" w:hAnsi="Times New Roman;Times;serif"/>
          <w:sz w:val="24"/>
          <w:u w:val="single"/>
        </w:rPr>
        <w:t>Swap Agreements</w:t>
      </w:r>
      <w:r>
        <w:rPr>
          <w:rFonts w:ascii="Times New Roman;Times;serif" w:hAnsi="Times New Roman;Times;serif"/>
          <w:sz w:val="24"/>
        </w:rPr>
        <w:t>. Each counterparty to a Specified Swap Agreement shall deliver to the Administrative Agent, from time to time upon the Administrative Agent’s reasonable request therefor, a summary of the amounts due or to become due in respect of such Swap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2.22</w:t>
      </w:r>
      <w:r>
        <w:rPr>
          <w:rFonts w:ascii="Times New Roman;Times;serif" w:hAnsi="Times New Roman;Times;serif"/>
          <w:sz w:val="24"/>
          <w:u w:val="single"/>
        </w:rPr>
        <w:t>Swiss Minimum Interest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When entering into this Agreement, the parties have assumed in bona fide that interest payments are not subject to Swiss Withholding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Notwithstanding paragraph (a) above, should any deduction or withholding be required under Swiss law on the account of Swiss Withholding Tax, and should it be unlawful for the relevant Swiss Loan Party to comply with </w:t>
      </w:r>
      <w:r>
        <w:rPr>
          <w:rFonts w:ascii="Times New Roman;Times;serif" w:hAnsi="Times New Roman;Times;serif"/>
          <w:sz w:val="24"/>
          <w:u w:val="single"/>
        </w:rPr>
        <w:t>Section 2.14</w:t>
      </w:r>
      <w:r>
        <w:rPr>
          <w:rFonts w:ascii="Times New Roman;Times;serif" w:hAnsi="Times New Roman;Times;serif"/>
          <w:sz w:val="20"/>
        </w:rPr>
        <w:t xml:space="preserve"> </w:t>
      </w:r>
      <w:r>
        <w:rPr>
          <w:rFonts w:ascii="Times New Roman;Times;serif" w:hAnsi="Times New Roman;Times;serif"/>
          <w:sz w:val="24"/>
        </w:rPr>
        <w:t>for any reason, then the applicable interest rate in relation to that interest payment shall calculated as set out below:</w:t>
      </w:r>
    </w:p>
    <w:p>
      <w:pPr>
        <w:pStyle w:val="TextBody"/>
        <w:bidi w:val="0"/>
        <w:spacing w:before="0" w:after="240"/>
        <w:ind w:left="0" w:right="0" w:firstLine="720"/>
        <w:jc w:val="both"/>
        <w:rPr/>
      </w:pPr>
      <w:r>
        <w:rPr/>
        <w:drawing>
          <wp:inline distT="0" distB="0" distL="0" distR="0">
            <wp:extent cx="971550" cy="342900"/>
            <wp:effectExtent l="0" t="0" r="0" b="0"/>
            <wp:docPr id="69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1" descr=""/>
                    <pic:cNvPicPr>
                      <a:picLocks noChangeAspect="1" noChangeArrowheads="1"/>
                    </pic:cNvPicPr>
                  </pic:nvPicPr>
                  <pic:blipFill>
                    <a:blip r:embed="rId7"/>
                    <a:stretch>
                      <a:fillRect/>
                    </a:stretch>
                  </pic:blipFill>
                  <pic:spPr bwMode="auto">
                    <a:xfrm>
                      <a:off x="0" y="0"/>
                      <a:ext cx="971550" cy="342900"/>
                    </a:xfrm>
                    <a:prstGeom prst="rect">
                      <a:avLst/>
                    </a:prstGeom>
                  </pic:spPr>
                </pic:pic>
              </a:graphicData>
            </a:graphic>
          </wp:inline>
        </w:drawing>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w:t>
      </w:r>
    </w:p>
    <w:p>
      <w:pPr>
        <w:pStyle w:val="TextBody"/>
        <w:bidi w:val="0"/>
        <w:spacing w:before="0" w:after="240"/>
        <w:ind w:left="0" w:right="0" w:firstLine="720"/>
        <w:jc w:val="both"/>
        <w:rPr/>
      </w:pPr>
      <w:r>
        <w:rPr/>
        <w:t>“</w:t>
      </w:r>
      <w:r>
        <w:rPr>
          <w:rFonts w:ascii="Times New Roman;Times;serif" w:hAnsi="Times New Roman;Times;serif"/>
          <w:b/>
          <w:sz w:val="24"/>
        </w:rPr>
        <w:t>NormalRate </w:t>
      </w:r>
      <w:r>
        <w:rPr>
          <w:rFonts w:ascii="Times New Roman;Times;serif" w:hAnsi="Times New Roman;Times;serif"/>
          <w:b/>
          <w:sz w:val="18"/>
        </w:rPr>
        <w:t>IP</w:t>
      </w:r>
      <w:r>
        <w:rPr>
          <w:rFonts w:ascii="Times New Roman;Times;serif" w:hAnsi="Times New Roman;Times;serif"/>
          <w:sz w:val="20"/>
        </w:rPr>
        <w:t xml:space="preserve">” </w:t>
      </w:r>
      <w:r>
        <w:rPr>
          <w:rFonts w:ascii="Times New Roman;Times;serif" w:hAnsi="Times New Roman;Times;serif"/>
          <w:sz w:val="24"/>
        </w:rPr>
        <w:t xml:space="preserve">means the interest rate which would have applied to that interest payment as provided for in </w:t>
      </w:r>
      <w:r>
        <w:rPr>
          <w:rFonts w:ascii="Times New Roman;Times;serif" w:hAnsi="Times New Roman;Times;serif"/>
          <w:sz w:val="24"/>
          <w:u w:val="single"/>
        </w:rPr>
        <w:t>Section 2.10</w:t>
      </w:r>
      <w:r>
        <w:rPr>
          <w:rFonts w:ascii="Times New Roman;Times;serif" w:hAnsi="Times New Roman;Times;serif"/>
          <w:sz w:val="20"/>
        </w:rPr>
        <w:t xml:space="preserve"> </w:t>
      </w:r>
      <w:r>
        <w:rPr>
          <w:rFonts w:ascii="Times New Roman;Times;serif" w:hAnsi="Times New Roman;Times;serif"/>
          <w:sz w:val="24"/>
        </w:rPr>
        <w:t xml:space="preserve">in the absence of this </w:t>
      </w:r>
      <w:r>
        <w:rPr>
          <w:rFonts w:ascii="Times New Roman;Times;serif" w:hAnsi="Times New Roman;Times;serif"/>
          <w:sz w:val="24"/>
          <w:u w:val="single"/>
        </w:rPr>
        <w:t>Section 2.22</w:t>
      </w:r>
      <w:r>
        <w:rPr>
          <w:rFonts w:ascii="Times New Roman;Times;serif" w:hAnsi="Times New Roman;Times;serif"/>
          <w:sz w:val="24"/>
        </w:rPr>
        <w:t>; and</w:t>
      </w:r>
    </w:p>
    <w:p>
      <w:pPr>
        <w:pStyle w:val="TextBody"/>
        <w:bidi w:val="0"/>
        <w:spacing w:before="0" w:after="240"/>
        <w:ind w:left="0" w:right="0" w:firstLine="720"/>
        <w:jc w:val="both"/>
        <w:rPr/>
      </w:pPr>
      <w:r>
        <w:rPr/>
        <w:t>“</w:t>
      </w:r>
      <w:r>
        <w:rPr>
          <w:rFonts w:ascii="Times New Roman;Times;serif" w:hAnsi="Times New Roman;Times;serif"/>
          <w:b/>
          <w:sz w:val="24"/>
        </w:rPr>
        <w:t>WTR</w:t>
      </w:r>
      <w:r>
        <w:rPr>
          <w:rFonts w:ascii="Times New Roman;Times;serif" w:hAnsi="Times New Roman;Times;serif"/>
          <w:sz w:val="20"/>
        </w:rPr>
        <w:t xml:space="preserve">” </w:t>
      </w:r>
      <w:r>
        <w:rPr>
          <w:rFonts w:ascii="Times New Roman;Times;serif" w:hAnsi="Times New Roman;Times;serif"/>
          <w:sz w:val="24"/>
        </w:rPr>
        <w:t>means the rate at which the relevant deduction or withholding of Swiss Withholding Tax is required to be made under Swiss domestic tax law and/or applicable double taxation treaties, and that Swiss Loan Party shall: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pay the relevant interest at the adjusted rate in accordance with this </w:t>
      </w:r>
      <w:r>
        <w:rPr>
          <w:rFonts w:ascii="Times New Roman;Times;serif" w:hAnsi="Times New Roman;Times;serif"/>
          <w:sz w:val="24"/>
          <w:u w:val="single"/>
        </w:rPr>
        <w:t>Section 2.22</w:t>
      </w:r>
      <w:r>
        <w:rPr>
          <w:rFonts w:ascii="Times New Roman;Times;serif" w:hAnsi="Times New Roman;Times;serif"/>
          <w:sz w:val="24"/>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(ii) </w:t>
      </w:r>
      <w:r>
        <w:rPr>
          <w:rFonts w:ascii="Times New Roman;Times;serif" w:hAnsi="Times New Roman;Times;serif"/>
          <w:sz w:val="24"/>
        </w:rPr>
        <w:t>make the deduction or withholding of Swiss Withholding Tax on the interest so recalculated,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all references to an interest rate in this Agreement shall be construed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To the extent that any amount payable by a Swiss Loan Party under this Agreement becomes subject to Swiss Withholding Tax, each relevant Lender and each relevant Swiss Loan Party shall promptly cooperate by completing any procedural formalities (including submitting forms and documents required by the appropriate tax authority) to the extent possible and necessary: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(i) </w:t>
      </w:r>
      <w:r>
        <w:rPr>
          <w:rFonts w:ascii="Times New Roman;Times;serif" w:hAnsi="Times New Roman;Times;serif"/>
          <w:sz w:val="24"/>
        </w:rPr>
        <w:t>for the relevant Swiss Loan Party to obtain authorization to make interest payments without them being subject to Swiss Withholding Tax (or, as the case may be, at a treaty rate lower than the domestic tax rate);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(ii) </w:t>
      </w:r>
      <w:r>
        <w:rPr>
          <w:rFonts w:ascii="Times New Roman;Times;serif" w:hAnsi="Times New Roman;Times;serif"/>
          <w:sz w:val="24"/>
        </w:rPr>
        <w:t>to ensure that any person which is entitled to a full or partial refund under any applicable double taxation treaty is so refunded.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relevant Swiss Loan Party shall provide the Lenders with such documents and information required for applying for a refund of such Swiss Withholding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In the event Swiss Withholding Tax is refunded by the Swiss Federal Tax Administration to a Lender, the relevant Lender shall forward promptly, after deduction of costs, such amount to the relevant Swiss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(f) Nothing in this </w:t>
      </w:r>
      <w:r>
        <w:rPr>
          <w:rFonts w:ascii="Times New Roman;Times;serif" w:hAnsi="Times New Roman;Times;serif"/>
          <w:sz w:val="24"/>
          <w:u w:val="single"/>
        </w:rPr>
        <w:t>Section 2.22</w:t>
      </w:r>
      <w:r>
        <w:rPr>
          <w:rFonts w:ascii="Times New Roman;Times;serif" w:hAnsi="Times New Roman;Times;serif"/>
          <w:sz w:val="20"/>
        </w:rPr>
        <w:t xml:space="preserve"> </w:t>
      </w:r>
      <w:r>
        <w:rPr>
          <w:rFonts w:ascii="Times New Roman;Times;serif" w:hAnsi="Times New Roman;Times;serif"/>
          <w:sz w:val="24"/>
        </w:rPr>
        <w:t>shall interfere with each Lender’s right to arrange its tax affairs in whatever manner it thinks fit and, without limiting the foregoing, no Lender shall be under any obligation to claim any Swiss Withholding Tax refund in priority to any other claims, reliefs, credits or deductions available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2.23</w:t>
      </w:r>
      <w:r>
        <w:rPr>
          <w:rFonts w:ascii="Times New Roman;Times;serif" w:hAnsi="Times New Roman;Times;serif"/>
          <w:sz w:val="24"/>
          <w:u w:val="single"/>
        </w:rPr>
        <w:t>Joint and Several Liability of Borrowers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Borrower is accepting joint and several liability hereunder and under the other Loan Documents in consideration of the financial accommodations to be provided by the Lenders and Issuing Banks under this Agreement, for the mutual benefit, directly and indirectly, of each Borrower and in consideration of the undertakings of the other Borrowers to accept joint and several liability for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Times;serif" w:hAnsi="Times New Roman;Times;serif"/>
          <w:sz w:val="24"/>
          <w:u w:val="single"/>
        </w:rPr>
        <w:t>Section 2.23</w:t>
      </w:r>
      <w:r>
        <w:rPr>
          <w:rFonts w:ascii="Times New Roman;Times;serif" w:hAnsi="Times New Roman;Times;serif"/>
          <w:sz w:val="24"/>
        </w:rPr>
        <w:t>),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The Obligations of each Borrower under the provisions of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 xml:space="preserve">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Times;serif" w:hAnsi="Times New Roman;Times;serif"/>
          <w:sz w:val="24"/>
          <w:u w:val="single"/>
        </w:rPr>
        <w:t>Section 2.23(d)</w:t>
      </w:r>
      <w:r>
        <w:rPr>
          <w:rFonts w:ascii="Times New Roman;Times;serif" w:hAnsi="Times New Roman;Times;serif"/>
          <w:sz w:val="24"/>
        </w:rPr>
        <w:t>) or any other circumstances whatsoever.</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Without limiting the generality of the foregoing and except as otherwise expressly provided in this Agreement, each Borrower hereby waives presentments, demands for performance, protests and notices, including notices of acceptance of its joint and several liability, notice of any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the Administrative Agent or Lenders or Issuing Banks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4"/>
        </w:rPr>
        <w:t xml:space="preserve">against any other Borrower, any other Person, or any collateral, to pursue any other remedy in the Administrative Agent’s, any Lender’s or any Issuing Bank’s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the Administrative Agent, any Lender or any Issuing Bank any defense (legal or equitable), set-off, counterclaim, or claim which each Borrower may now or at any time hereafter have against any other Borrower or any other party liable to the Administrative Agent, any Lender or any Issuing Bank,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the Administrative Agent, any Lender or any Issuing Bank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or Issuing Banks at any time or times in respect of any default by any Borrower in the performance or satisfaction of any term, covenant, condition or provision of this Agreement, any and all other indulgences whatsoever by the Administrative Agent or Lenders or Issuing Banks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any Lender or any Issuing Bank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 xml:space="preserve">afford grounds for terminating, discharging or relieving any Borrower, in whole or in part, from any of its Obligations under this </w:t>
      </w:r>
      <w:r>
        <w:rPr>
          <w:rFonts w:ascii="Times New Roman;Times;serif" w:hAnsi="Times New Roman;Times;serif"/>
          <w:sz w:val="24"/>
          <w:u w:val="single"/>
        </w:rPr>
        <w:t>Section 2.23</w:t>
      </w:r>
      <w:r>
        <w:rPr>
          <w:rFonts w:ascii="Times New Roman;Times;serif" w:hAnsi="Times New Roman;Times;serif"/>
          <w:sz w:val="24"/>
        </w:rPr>
        <w:t xml:space="preserve">, it being the intention of each Borrower that, so long as any of the Obligations hereunder remain unsatisfied, the Obligations of each Borrower under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 xml:space="preserve">shall not be discharged except by performance and then only to the extent of such performance. The Obligations of each Borrower under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shall not be diminished or rendered unenforceable by any winding up, reorganization, arrangement, liquidation, reconstruction or similar proceeding with respect to any other Borrower or the Administrative Agent, any Lender or any Issuing Bank.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The Administrative Agent may, at the election of the Required Lenders, foreclose upon any Collateral held by the Administrative Agent by one or more judicial or non-judicial sales or other dispositions, whether or not every aspect of any such sale is commercially reasonable or otherwise fails to comply with applicable law or may exercise any other right or remedy the Administrative Agent, any Lender or any Issuing Bank may have against any Borrower or any other Person, or any security, in each case, without affecting or impairing in any way the liability of any of the Borrowers hereunder except to the extent the Obligations have been paid.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Each Borrower represents and warrants to the Administrative Agent, Lenders and Issuing Banks that such Borrower is currently informed of the financial condition of Borrowers and of all</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other circumstances which a diligent inquiry would reveal and which bear upon the risk of nonpayment of the Obligations. Each Borrower further represents and warrants to the Administrative Agent and Lenders and Issuing Banks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The provisions of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 xml:space="preserve">are made for the benefit of the Administrative Agent, each Lender and each Issuing Bank, and their respective successors and assigns, and may be enforced by it or them from time to time against any or all Borrowers as often as occasion therefor may arise and without requirement on the part of the Administrative Agent, any Lender, any Issuing Bank,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 xml:space="preserve">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or any Issuing Bank upon the insolvency, bankruptcy or reorganization of any Borrower, or otherwise, the provisions of this </w:t>
      </w:r>
      <w:r>
        <w:rPr>
          <w:rFonts w:ascii="Times New Roman;Times;serif" w:hAnsi="Times New Roman;Times;serif"/>
          <w:sz w:val="24"/>
          <w:u w:val="single"/>
        </w:rPr>
        <w:t>Section 2.23</w:t>
      </w:r>
      <w:r>
        <w:rPr>
          <w:rFonts w:ascii="Times New Roman;Times;serif" w:hAnsi="Times New Roman;Times;serif"/>
          <w:sz w:val="20"/>
        </w:rPr>
        <w:t xml:space="preserve"> </w:t>
      </w:r>
      <w:r>
        <w:rPr>
          <w:rFonts w:ascii="Times New Roman;Times;serif" w:hAnsi="Times New Roman;Times;serif"/>
          <w:sz w:val="24"/>
        </w:rPr>
        <w:t>will forthwith be reinstated in effect, as though such payment had not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Each Borrower hereby agrees that it will not enforce any of its rights that arise from the existence, payment, performance or enforcement of the provisions of this </w:t>
      </w:r>
      <w:r>
        <w:rPr>
          <w:rFonts w:ascii="Times New Roman;Times;serif" w:hAnsi="Times New Roman;Times;serif"/>
          <w:sz w:val="24"/>
          <w:u w:val="single"/>
        </w:rPr>
        <w:t>Section 2.23</w:t>
      </w:r>
      <w:r>
        <w:rPr>
          <w:rFonts w:ascii="Times New Roman;Times;serif" w:hAnsi="Times New Roman;Times;serif"/>
          <w:sz w:val="24"/>
        </w:rPr>
        <w:t>, including rights of subrogation, reimbursement, exoneration, contribution or indemnification and any right to participate in any claim or remedy of the Administrative Agent, any Lender, or any Issuing Bank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the Administrative Agent, any Lender or any Issuing Bank hereunder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the Administrative Agent, for the benefit of the Secured Parties, and shall forthwith be paid to the Administrative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Times;serif" w:hAnsi="Times New Roman;Times;serif"/>
          <w:b/>
          <w:sz w:val="24"/>
        </w:rPr>
        <w:t>Foreclosed Borrower</w:t>
      </w:r>
      <w:r>
        <w:rPr>
          <w:rFonts w:ascii="Times New Roman;Times;serif" w:hAnsi="Times New Roman;Times;serif"/>
          <w:sz w:val="20"/>
        </w:rPr>
        <w:t>”</w:t>
      </w:r>
      <w:r>
        <w:rPr>
          <w:rFonts w:ascii="Times New Roman;Times;serif" w:hAnsi="Times New Roman;Times;serif"/>
          <w:sz w:val="24"/>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3</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REPRESENTATIONS AND WARRANTIES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Loan Party represents and warrants to the Administrative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3.01</w:t>
      </w:r>
      <w:r>
        <w:rPr>
          <w:rFonts w:ascii="Times New Roman;Times;serif" w:hAnsi="Times New Roman;Times;serif"/>
          <w:sz w:val="24"/>
          <w:u w:val="single"/>
        </w:rPr>
        <w:t>Organization; Powers</w:t>
      </w:r>
      <w:r>
        <w:rPr>
          <w:rFonts w:ascii="Times New Roman;Times;serif" w:hAnsi="Times New Roman;Times;serif"/>
          <w:sz w:val="24"/>
        </w:rPr>
        <w:t>. Each of the Parent and its Subsidiaries is duly organized, incorporated or formed, validly existing and in good standing (or such other analogous status, if any)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(or such other analogous status, if any) in, every jurisdiction where such qualification is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3.02</w:t>
      </w:r>
      <w:r>
        <w:rPr>
          <w:rFonts w:ascii="Times New Roman;Times;serif" w:hAnsi="Times New Roman;Times;serif"/>
          <w:sz w:val="24"/>
          <w:u w:val="single"/>
        </w:rPr>
        <w:t>Authorization; Enforceability</w:t>
      </w:r>
      <w:r>
        <w:rPr>
          <w:rFonts w:ascii="Times New Roman;Times;serif" w:hAnsi="Times New Roman;Times;serif"/>
          <w:sz w:val="24"/>
        </w:rPr>
        <w:t>. The Transactions are within each Borrower’s and each Guarantor’s corporate or other organizational powers and have been duly authorized by all necessary corporate or other organizational and, if required, equity holder action. Each of the Borrowers and the Guarantors has duly executed and delivered each of the Loan Documents to which it is party, and each of such Loan Documents constitute its legal, valid and binding obligations, enforceable in accordance with its terms, subject to applicable bankruptcy, insolvency, judicial management, reorganization, moratorium or other laws affecting creditors’ rights generally and subject to general principles of equity, regardless of whether considered in a proceeding in equity or at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3.03</w:t>
      </w:r>
      <w:r>
        <w:rPr>
          <w:rFonts w:ascii="Times New Roman;Times;serif" w:hAnsi="Times New Roman;Times;serif"/>
          <w:sz w:val="24"/>
          <w:u w:val="single"/>
        </w:rPr>
        <w:t>Governmental Approvals; No Conflicts</w:t>
      </w:r>
      <w:r>
        <w:rPr>
          <w:rFonts w:ascii="Times New Roman;Times;serif" w:hAnsi="Times New Roman;Times;serif"/>
          <w:sz w:val="24"/>
        </w:rPr>
        <w:t xml:space="preserve">. The Transactions (a) do not require any consent or approval of, registration or filing with, or any other action by, any Governmental Authority, except (i) such as have been obtained or made and are in full force and effect, (ii) for the registration of the Australian Security Documents on the Australian Personal Property and Security Register and any other relevant security registers, (iii) registration of particulars of each of the Security Documents to which any Singapore Loan Party is a party to at the Accounting and Corporate Regulatory Authority of Singapore under Section 131 of the Companies Act 1967 of Singapore, (iv) the registration of the Philippine Security Documents with the PPSR or the CMR, as applicable, in accordance with paragraph (g)(i)(B) of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(v) for the registration of the relevant Dutch Security Documents with the competent Dutch tax authorities in relation with the granting of an undisclosed right of pledge and (vi) those approvals, consents, registrations, filings or other actions, the failure of which to obtain or make would not reasonably be expected to have a Material Adverse Effect, (b) except as would not reasonably be expected to have a Material Adverse Effect, will not violate any applicable law or regulation or any order of any Governmental Authority, (c) will not violate any charter, by-laws or other organizational document of the Parent or any of its Subsidiaries, (d) except as would not reasonably be expected to have a Material Adverse Effect, will not violate or result in a default under any indenture, agreement or other instrument (other than the agreements and instruments referred to in clause (c)) binding upon the Parent or any of its Subsidiaries or its assets, or give rise to a right thereunder to require any payment to be made by the Parent or any of its Subsidiaries, and (e) will not result in the creation or imposition of any Lien on any asset of the Parent or any of its Subsidiaries (other than Liens arising pursuant to the Security Documents or permitted under </w:t>
      </w:r>
      <w:r>
        <w:rPr>
          <w:rFonts w:ascii="Times New Roman;Times;serif" w:hAnsi="Times New Roman;Times;serif"/>
          <w:sz w:val="24"/>
          <w:u w:val="single"/>
        </w:rPr>
        <w:t>Section 6.02</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3.04</w:t>
      </w:r>
      <w:r>
        <w:rPr>
          <w:rFonts w:ascii="Times New Roman;Times;serif" w:hAnsi="Times New Roman;Times;serif"/>
          <w:sz w:val="24"/>
          <w:u w:val="single"/>
        </w:rPr>
        <w:t>Financial Condition; No Material Adverse Change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audited consolidated balance sheets of the Parent and its Subsidiaries and related consolidated statements of operations and comprehensive loss, consolidated statements of changes in stockholders’ (deficit) equity, and consolidated statements of cash flows as of and for the fiscal year ended September 30, 2023, reported on by Ernst &amp; Young LLP, independent public accountants present fairly, in all material respects, the consolidated financial position and results of operations and cash flows of the Parent and its Subsidiaries as of such date and for such period.  The consolidated balance sheets the Parent and its Subsidiaries and related consolidated statements of operations and comprehensive loss, consolidated statements of changes in stockholders’ (deficit) equity, and consolidated statements of cash flows as of the end of and for the fiscal quarters ended December 31, 2023 and March 31, 2024 and the then elapsed portion of the fiscal year present fairly, in all material respects, the financial position and results of operations and cash flows of the Parent and its Subsidiaries as of such dates and for such periods (subject to normal year-end audit adjustments). All such financial statements, including the related schedules and notes thereto, have been prepared in accordance with GAAP applied consistently throughout the periods involved.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Since March 31, 2024, no event, development or circumstance exists or has occurred that has had or would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3.05</w:t>
      </w:r>
      <w:r>
        <w:rPr>
          <w:rFonts w:ascii="Times New Roman;Times;serif" w:hAnsi="Times New Roman;Times;serif"/>
          <w:sz w:val="24"/>
          <w:u w:val="single"/>
        </w:rPr>
        <w:t>Properties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of the Parent and its Subsidiaries has good title to, or valid leasehold interests in or rights to use, all real and tangible personal property material to its business, other than those Liens permitted by Section 6.02, except in each case where failure to do so could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Each of the Parent and its Subsidiaries owns, or has the valid right to use, all Intellectual Property material to its business as currently conducted, free and clear of all Liens other than Liens permitted by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except to the extent such failure to own or have the right to use, individually or in the aggregate, would not reasonably be expected to result in a Material Adverse Effect, and the operation of such business or the use of such Intellectual Property by the Parent and its Subsidiaries does not infringe upon, misappropriate, or otherwise violate the rights of any other Person, except for any such infringements, misappropriations, or violations that, individually or in the aggregate,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3.06</w:t>
      </w:r>
      <w:r>
        <w:rPr>
          <w:rFonts w:ascii="Times New Roman;Times;serif" w:hAnsi="Times New Roman;Times;serif"/>
          <w:sz w:val="24"/>
          <w:u w:val="single"/>
        </w:rPr>
        <w:t>Litigation and Environmental Matters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Except as set forth on </w:t>
      </w:r>
      <w:r>
        <w:rPr>
          <w:rFonts w:ascii="Times New Roman;Times;serif" w:hAnsi="Times New Roman;Times;serif"/>
          <w:sz w:val="24"/>
          <w:u w:val="single"/>
        </w:rPr>
        <w:t>Schedule 3.06</w:t>
      </w:r>
      <w:r>
        <w:rPr>
          <w:rFonts w:ascii="Times New Roman;Times;serif" w:hAnsi="Times New Roman;Times;serif"/>
          <w:sz w:val="24"/>
        </w:rPr>
        <w:t>, there are no actions, suits or proceedings by or before any arbitrator or Governmental Authority pending against or, to the knowledge of any Loan Party, threatened in writing (including “cease and desist” letters and invitations to take a patent license) against or affecting the Parent or any of its Subsidiaries (i) that would reasonably be expected, individually or in the aggregate, to result in a Material Adverse Effect or (ii) that involve this Agreement, any other Loan Document or the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Except with respect to any matter that, individually or in the aggregate, would not reasonably be expected to result in a Material Adverse Effect, neither the Parent nor any of its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3.07</w:t>
      </w:r>
      <w:r>
        <w:rPr>
          <w:rFonts w:ascii="Times New Roman;Times;serif" w:hAnsi="Times New Roman;Times;serif"/>
          <w:sz w:val="24"/>
          <w:u w:val="single"/>
        </w:rPr>
        <w:t>Compliance with Laws and Agreements; No Default</w:t>
      </w:r>
      <w:r>
        <w:rPr>
          <w:rFonts w:ascii="Times New Roman;Times;serif" w:hAnsi="Times New Roman;Times;serif"/>
          <w:sz w:val="24"/>
        </w:rPr>
        <w:t>. Each of the Parent and its Subsidiaries is in compliance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No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3.08</w:t>
      </w:r>
      <w:r>
        <w:rPr>
          <w:rFonts w:ascii="Times New Roman;Times;serif" w:hAnsi="Times New Roman;Times;serif"/>
          <w:sz w:val="24"/>
          <w:u w:val="single"/>
        </w:rPr>
        <w:t>Investment Company Status</w:t>
      </w:r>
      <w:r>
        <w:rPr>
          <w:rFonts w:ascii="Times New Roman;Times;serif" w:hAnsi="Times New Roman;Times;serif"/>
          <w:sz w:val="24"/>
        </w:rPr>
        <w:t>. None of the Parent or any of its Subsidiaries is or is required to be registered as an “investment company” under the Investment Company Act of 1940.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3.09</w:t>
      </w:r>
      <w:r>
        <w:rPr>
          <w:rFonts w:ascii="Times New Roman;Times;serif" w:hAnsi="Times New Roman;Times;serif"/>
          <w:sz w:val="24"/>
          <w:u w:val="single"/>
        </w:rPr>
        <w:t>Margin Stock</w:t>
      </w:r>
      <w:r>
        <w:rPr>
          <w:rFonts w:ascii="Times New Roman;Times;serif" w:hAnsi="Times New Roman;Times;serif"/>
          <w:sz w:val="24"/>
        </w:rPr>
        <w:t>. None of the Parent or any of its Subsidiaries is engaged, principally or as one of its important activities, in the business of extending credit for the purpose of purchasing or carrying margin stock (within the meaning of Regulation U and Regulation X issued by the Board).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3.10</w:t>
      </w:r>
      <w:r>
        <w:rPr>
          <w:rFonts w:ascii="Times New Roman;Times;serif" w:hAnsi="Times New Roman;Times;serif"/>
          <w:sz w:val="24"/>
          <w:u w:val="single"/>
        </w:rPr>
        <w:t>Taxes</w:t>
      </w:r>
      <w:r>
        <w:rPr>
          <w:rFonts w:ascii="Times New Roman;Times;serif" w:hAnsi="Times New Roman;Times;serif"/>
          <w:sz w:val="24"/>
        </w:rPr>
        <w:t>. Except as would not reasonably be expected to result in a Material Adverse Effect, (i) each of the Parent and its Subsidiaries has timely filed or caused to be filed all Tax returns and reports required to have been filed with respect to income, properties or operations of the Parent and its Subsidiaries, (ii) such returns accurately reflect in all material respects all liability for Taxes of the Parent and its Subsidiaries as a whole for the periods covered thereby and (iii) each of the Parent and its Subsidiaries has paid or caused to be paid all Taxes required to have been paid by it, except Taxes that are being contested in good faith by appropriate proceedings and, to the extent required by GAAP, for which the Parent or such Subsidiary, as applicable, has set aside on its books adequate reserves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3.11</w:t>
      </w:r>
      <w:r>
        <w:rPr>
          <w:rFonts w:ascii="Times New Roman;Times;serif" w:hAnsi="Times New Roman;Times;serif"/>
          <w:sz w:val="24"/>
          <w:u w:val="single"/>
        </w:rPr>
        <w:t>ERISA; Canadian Pension Plans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Plan is in compliance in form and operation with its terms and with ERISA and the Code (including without limitation the Code provisions compliance with which is necessary for any intended favorable tax treatment) and all other applicable laws and regulations, except where any failure to comply would not, individually or in the aggregate, reasonably be expected to result in any Material Adverse Effect. Each Plan (and each related trust, if any) which is intended to be qualified under Section 401(a) of the Code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 in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case, except as would not, individually or in the aggregate, reasonably be expected to result in any Material Adverse Effect. No ERISA Event has occurred, or is reasonably expected to occur, other than as would not, individually or in the aggregate,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There exists no Unfunded Pension Liability with respect to any Plan, except as would not, individually or in the aggregate,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None of the Parent, any Subsidiary thereof or any ERISA Affiliate is making or accruing an obligation to make contributions, or has within any of the five calendar years immediately preceding the date this assurance is given or deemed given, made or accrued an obligation to make contributions to any Multiemployer Plan, except as would not, individually or in the aggregate,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There are no actions, suits or claims pending against or involving a Plan (other than routine claims for benefits) or, to the knowledge of the Parent, any Subsidiary thereof or any ERISA Affiliate, threatened, which would reasonably be expected to be asserted successfully against any Plan and, if so asserted successfully, would reasonably be expected either singly or in the aggregate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The Parent, its Subsidiaries and its ERISA Affiliates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would not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Except as would not, individually or in the aggregate, reasonably be expected to result in any Material Adverse Effect: (i) no Plan which is subject to Section 412 of the Code or Section 302 of ERISA has applied for or received an extension of any amortization period, within the meaning of Section 412 of the Code or Section 302 or 304 of ERISA and (ii) the Parent, any Subsidiary thereof, and any ERISA Affiliate have not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Parent, any Subsidiary thereof or any ERISA Affiliate have incurred or reasonably expect to incur any liability to PBGC except as would not, individually or in the aggregate, reasonably be expected to result in a Material Adverse Effect, save for any liability for premiums due in the ordinary course or other liability which would not, individually or in the aggregate, reasonably be expected to result in a Material Adverse Effect, and no lien imposed under the Code or ERISA on the assets of the Parent or any Subsidiary thereof or, to the knowledge of the Parent or any Subsidiary, any ERISA Affiliate exists or, to the knowledge of the Parent or any Subsidiary thereof, is likely to arise on account of any Plan. None of the Parent, any Subsidiary thereof or any ERISA Affiliate has engaged in a transaction that would reasonably be expected to be subject to Section 4069 or 4212(c) of ERISA, except as would not, individually or in the aggregate, reasonably be expected to result in any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Each Non-U.S. Plan has been maintained in compliance with its terms and with the requirements of any and all applicable laws, statutes, rules, regulations and orders and has been maintained, where required, in good standing with applicable regulatory authorities, except as would not, individually or in the aggregate, reasonably be expected to result in a Material Adverse Effect. All contributions required to be made with respect to a Non-U.S. Plan have been timely made, except as would not, individually or in the aggregate, reasonably be expected to result in a Material Adverse Effect. Neither the Parent nor any of its Subsidiaries has incurred any obligation in connection with the termination of, or withdrawal from, any Non-U.S. Plan, except as would not reasonably be expected to result in a Material Adverse Effect. The present value of the accrued benefit liabilities (whether or not vested) under each Non-U.S. Plan, determined as of the end of the Parent’s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Each Canadian Pension Plan is in compliance in form and operation with its terms and with the Canadian Tax Act and all other applicable laws and regulations, except where any failure to comply would not, individually or in the aggregate, reasonably be expected to result in any Material Adverse Effect. No Canadian Pension Event has occurred, or is reasonably expected to occur, other than as would not, individually or in the aggregate, reasonably be expected to result in any Material Adverse Effect. Each Canadian Pension Plan is duly registered under the Canadian Tax Act and any other applicable laws which require registration, and, to the knowledge of the Parent or any Subsidiary, no event has occurred which could cause the loss of such registered status. No Lien has arisen, choate or inchoate, in connection with any Canadian Pension Plan (save for contribution amounts not yet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There are no actions, suits or claims pending against or involving a Canadian Pension Plan (other than routine claims for benefits) or, to the knowledge of the Parent or any Subsidiary, threatened, which would reasonably be expected to be asserted successfully against any Canadian Pension Plan and, if so asserted successfully, would reasonably be expected either singly or in the aggregate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The Parent and its Subsidiaries have made all contributions to or under each Canadian Pension Plan required by law within the applicable time limits prescribed thereby, the terms of such Canadian Pension Plan or any contract or agreement requiring contributions to a Canadian Pension Plan save where any failure to comply, individually or in the aggregate, would not reasonably be expected to result in any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3.12</w:t>
      </w:r>
      <w:r>
        <w:rPr>
          <w:rFonts w:ascii="Times New Roman;Times;serif" w:hAnsi="Times New Roman;Times;serif"/>
          <w:sz w:val="24"/>
          <w:u w:val="single"/>
        </w:rPr>
        <w:t>Disclosure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All written information provided by any Responsible Officer of any Loan Party (other than any projected financial information, estimates, budgets, forward looking statements and other than information of a general economic or industry specific nature) to the Administrative Agent or any Lender in connection with this Agreement or delivered hereunder, as modified or supplemented by other information so furnished and when taken as a whole together with any information disclosed in the Parent’s public filings with the SEC, does not contain any material misstatement of fact or omit to state any material fact necessary to make the statements therein,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light of the circumstances under which they were made, not materially misleading;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with respect to any projected financial information, the Loan Parties represent only that such information was prepared in good faith based upon assumptions believed to be reasonable at the time furnished (it being understood that such projected financial information and all information concerning future proposed and intended activities are forward-looking statements by their nature and are subject to significant uncertainties and contingencies, any of which are beyond the Loan Parties’ control, that no 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As of the Amendment No. 3 Effective Date, to the best knowledge of the Loan Parties, the information included in the Beneficial Ownership Certification provided on or prior to the Amendment No. 3 Effective Date to any Lender in connection with this Agreement is true and correct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3.13</w:t>
      </w:r>
      <w:r>
        <w:rPr>
          <w:rFonts w:ascii="Times New Roman;Times;serif" w:hAnsi="Times New Roman;Times;serif"/>
          <w:sz w:val="24"/>
          <w:u w:val="single"/>
        </w:rPr>
        <w:t>Subsidiaries</w:t>
      </w:r>
      <w:r>
        <w:rPr>
          <w:rFonts w:ascii="Times New Roman;Times;serif" w:hAnsi="Times New Roman;Times;serif"/>
          <w:sz w:val="24"/>
        </w:rPr>
        <w:t xml:space="preserve">.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 xml:space="preserve">sets forth as of the Amendment No. 3 Effective Date a list of all Subsidiaries, together with (a) the percentage ownership (directly or indirectly) of the Parent and the Parent Borrower, as applicable, therein and (b) whether such Subsidiary is a Guarantor or an Excluded Subsidiary. Except as would not, individually or in the aggregate, reasonably be expected to result in a Material Adverse Effect, the shares of capital stock or other Equity Interests of all Subsidiaries of the Parent and the Parent Borrower, as applicable, are fully paid and non-assessable and are owned by the Parent and the Parent Borrower, as applicable, directly or indirectly, free and clear of all Liens other than Liens permitted under </w:t>
      </w:r>
      <w:r>
        <w:rPr>
          <w:rFonts w:ascii="Times New Roman;Times;serif" w:hAnsi="Times New Roman;Times;serif"/>
          <w:sz w:val="24"/>
          <w:u w:val="single"/>
        </w:rPr>
        <w:t>Section 6.02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3.14</w:t>
      </w:r>
      <w:r>
        <w:rPr>
          <w:rFonts w:ascii="Times New Roman;Times;serif" w:hAnsi="Times New Roman;Times;serif"/>
          <w:sz w:val="24"/>
          <w:u w:val="single"/>
        </w:rPr>
        <w:t>Solvency</w:t>
      </w:r>
      <w:r>
        <w:rPr>
          <w:rFonts w:ascii="Times New Roman;Times;serif" w:hAnsi="Times New Roman;Times;serif"/>
          <w:sz w:val="24"/>
        </w:rPr>
        <w:t>. On the Amendment No. 3 Effective Date, the Parent and its Subsidiaries, on a consolidated basis, are and, after giving effect to the incurrence of any Loans being incurred on such date, will be Solvent.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3.15</w:t>
      </w:r>
      <w:r>
        <w:rPr>
          <w:rFonts w:ascii="Times New Roman;Times;serif" w:hAnsi="Times New Roman;Times;serif"/>
          <w:sz w:val="24"/>
          <w:u w:val="single"/>
        </w:rPr>
        <w:t>Anti-Terrorism Law</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None of (x) the Parent, any of its Subsidiaries or any of their respective directors, officers or employees, or (y) to the knowledge of the Loan Parties, any agent or Affiliate of the Parent or any Subsidiary thereof that will act in any capacity in connection with or benefit from the credit facility established hereby, is any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 Person that is listed in the annex to, or is otherwise the target of the provisions of, Executive Order No. 13224 on Terrorist Financing effective September 24, 2001 (the “</w:t>
      </w:r>
      <w:r>
        <w:rPr>
          <w:rFonts w:ascii="Times New Roman;Times;serif" w:hAnsi="Times New Roman;Times;serif"/>
          <w:b/>
          <w:sz w:val="24"/>
        </w:rPr>
        <w:t>Executive Order</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 Person owned or (where applicable under Sanctions) controlled by, or acting for or on behalf of, any Person that is listed in the annex to, or is otherwise subject to the provisions of, the Executive Order;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 Person with which any Lender is prohibited from dealing or otherwise engaging in any transaction by any legal requirement relating to applicable laws with respect to terrorism or money laundering (collectively, “</w:t>
      </w:r>
      <w:r>
        <w:rPr>
          <w:rFonts w:ascii="Times New Roman;Times;serif" w:hAnsi="Times New Roman;Times;serif"/>
          <w:b/>
          <w:sz w:val="24"/>
        </w:rPr>
        <w:t>Anti-Terrorism Laws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a Person that commits, threatens or conspires to commit or supports “terrorism” as defined in the Executive Order;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a Sanctioned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Neither the Parent nor any of its Subsidiaries, nor, to the knowledge of the Loan Parties, any of their respective Affiliates, (i) conducts any business with, or engages in making or receiving any contribution of funds, goods or services to or for the benefit of, a Person described in </w:t>
      </w:r>
      <w:r>
        <w:rPr>
          <w:rFonts w:ascii="Times New Roman;Times;serif" w:hAnsi="Times New Roman;Times;serif"/>
          <w:sz w:val="24"/>
          <w:u w:val="single"/>
        </w:rPr>
        <w:t>Section 3.15(a)(i)-(v)</w:t>
      </w:r>
      <w:r>
        <w:rPr>
          <w:rFonts w:ascii="Times New Roman;Times;serif" w:hAnsi="Times New Roman;Times;serif"/>
          <w:sz w:val="20"/>
        </w:rPr>
        <w:t xml:space="preserve"> </w:t>
      </w:r>
      <w:r>
        <w:rPr>
          <w:rFonts w:ascii="Times New Roman;Times;serif" w:hAnsi="Times New Roman;Times;serif"/>
          <w:sz w:val="24"/>
        </w:rPr>
        <w:t>above, except as permitted under U.S. law, (ii) deals in, or otherwise engages in any transaction relating to, any property or interests in property blocked pursuant to the Executive Order, except as permitted under U.S. law, or (iii) engages in or conspires to engage in any transaction that evades or avoids, or has the purpose of evading or avoiding, or attempts to violate, any of the prohibitions set forth in any Anti-Terrorism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None of the Loan Parties will use, nor will permit any of its Subsidiaries or Affiliates to use, the proceeds of the Loans or Letters of Credit or otherwise make available such proceeds to any Person described in </w:t>
      </w:r>
      <w:r>
        <w:rPr>
          <w:rFonts w:ascii="Times New Roman;Times;serif" w:hAnsi="Times New Roman;Times;serif"/>
          <w:sz w:val="24"/>
          <w:u w:val="single"/>
        </w:rPr>
        <w:t>Section 3.15(a)(i)-(v)</w:t>
      </w:r>
      <w:r>
        <w:rPr>
          <w:rFonts w:ascii="Times New Roman;Times;serif" w:hAnsi="Times New Roman;Times;serif"/>
          <w:sz w:val="20"/>
        </w:rPr>
        <w:t xml:space="preserve"> </w:t>
      </w:r>
      <w:r>
        <w:rPr>
          <w:rFonts w:ascii="Times New Roman;Times;serif" w:hAnsi="Times New Roman;Times;serif"/>
          <w:sz w:val="24"/>
        </w:rPr>
        <w:t xml:space="preserve">above, for the purpose of financing the activities of any Person described in </w:t>
      </w:r>
      <w:r>
        <w:rPr>
          <w:rFonts w:ascii="Times New Roman;Times;serif" w:hAnsi="Times New Roman;Times;serif"/>
          <w:sz w:val="24"/>
          <w:u w:val="single"/>
        </w:rPr>
        <w:t>Section 3.15(a)(i)-(v)</w:t>
      </w:r>
      <w:r>
        <w:rPr>
          <w:rFonts w:ascii="Times New Roman;Times;serif" w:hAnsi="Times New Roman;Times;serif"/>
          <w:sz w:val="20"/>
        </w:rPr>
        <w:t xml:space="preserve"> </w:t>
      </w:r>
      <w:r>
        <w:rPr>
          <w:rFonts w:ascii="Times New Roman;Times;serif" w:hAnsi="Times New Roman;Times;serif"/>
          <w:sz w:val="24"/>
        </w:rPr>
        <w:t>above, in any Sanctioned Country or in any other manner that would violate any Anti-Terrorism Laws or Sanctions by any party 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 representations given in this </w:t>
      </w:r>
      <w:r>
        <w:rPr>
          <w:rFonts w:ascii="Times New Roman;Times;serif" w:hAnsi="Times New Roman;Times;serif"/>
          <w:sz w:val="24"/>
          <w:u w:val="single"/>
        </w:rPr>
        <w:t>Section 3.15</w:t>
      </w:r>
      <w:r>
        <w:rPr>
          <w:rFonts w:ascii="Times New Roman;Times;serif" w:hAnsi="Times New Roman;Times;serif"/>
          <w:sz w:val="20"/>
        </w:rPr>
        <w:t xml:space="preserve"> </w:t>
      </w:r>
      <w:r>
        <w:rPr>
          <w:rFonts w:ascii="Times New Roman;Times;serif" w:hAnsi="Times New Roman;Times;serif"/>
          <w:sz w:val="24"/>
        </w:rPr>
        <w:t xml:space="preserve">shall not be made by nor apply to any Canadian Loan Party or any of its Subsidiaries in so far as such representations would result in a violation of or conflict with the </w:t>
      </w:r>
      <w:r>
        <w:rPr>
          <w:rFonts w:ascii="Times New Roman;Times;serif" w:hAnsi="Times New Roman;Times;serif"/>
          <w:i/>
          <w:sz w:val="24"/>
        </w:rPr>
        <w:t>Foreign Extraterritorial Measures Act</w:t>
      </w:r>
      <w:r>
        <w:rPr>
          <w:rFonts w:ascii="Times New Roman;Times;serif" w:hAnsi="Times New Roman;Times;serif"/>
          <w:sz w:val="20"/>
        </w:rPr>
        <w:t xml:space="preserve"> </w:t>
      </w:r>
      <w:r>
        <w:rPr>
          <w:rFonts w:ascii="Times New Roman;Times;serif" w:hAnsi="Times New Roman;Times;serif"/>
          <w:sz w:val="24"/>
        </w:rPr>
        <w:t>(Canada) or any other applicable law in effect in Canada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3.16</w:t>
      </w:r>
      <w:r>
        <w:rPr>
          <w:rFonts w:ascii="Times New Roman;Times;serif" w:hAnsi="Times New Roman;Times;serif"/>
          <w:sz w:val="24"/>
          <w:u w:val="single"/>
        </w:rPr>
        <w:t>Anti-Corruption Laws and Sanctions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 part of the proceeds of the Loans or Letters of Credit will be used by the Parent, any Borrower or any of their respective Subsidiaries, or, to the knowledge of the Parent and the Borrowers, any of their respective Affiliates,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United Kingdom Bribery Act of 2010, as amended, or any other applicable Anti-Corruption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Parent has implemented and maintains in effect policies and procedures designed to promote compliance by the Parent, the Borrowers, their respective Subsidiaries and their respective directors, officers, employees, Affiliates, advisors and agents with Anti-Corruption Laws and applicable Sanctions, and the Parent, the Borrower, their respective Subsidiaries and their respective directors, officers and employees, and, to the knowledge of the Parent and the Borrowers, their respective Affiliates, advisors and agents, are in compliance with Anti-Corruption Laws and applicable Sanctions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3.17</w:t>
      </w:r>
      <w:r>
        <w:rPr>
          <w:rFonts w:ascii="Times New Roman;Times;serif" w:hAnsi="Times New Roman;Times;serif"/>
          <w:sz w:val="24"/>
          <w:u w:val="single"/>
        </w:rPr>
        <w:t>Security Documents</w:t>
      </w:r>
      <w:r>
        <w:rPr>
          <w:rFonts w:ascii="Times New Roman;Times;serif" w:hAnsi="Times New Roman;Times;serif"/>
          <w:sz w:val="24"/>
        </w:rPr>
        <w:t xml:space="preserve">. The Security Documents (other than the Australian Security Documents which are covered under </w:t>
      </w:r>
      <w:r>
        <w:rPr>
          <w:rFonts w:ascii="Times New Roman;Times;serif" w:hAnsi="Times New Roman;Times;serif"/>
          <w:sz w:val="24"/>
          <w:u w:val="single"/>
        </w:rPr>
        <w:t>Section 3.18</w:t>
      </w:r>
      <w:r>
        <w:rPr>
          <w:rFonts w:ascii="Times New Roman;Times;serif" w:hAnsi="Times New Roman;Times;serif"/>
          <w:sz w:val="20"/>
        </w:rPr>
        <w:t xml:space="preserve"> </w:t>
      </w:r>
      <w:r>
        <w:rPr>
          <w:rFonts w:ascii="Times New Roman;Times;serif" w:hAnsi="Times New Roman;Times;serif"/>
          <w:sz w:val="24"/>
        </w:rPr>
        <w:t xml:space="preserve">and the Irish Security Documents which are covered under </w:t>
      </w:r>
      <w:r>
        <w:rPr>
          <w:rFonts w:ascii="Times New Roman;Times;serif" w:hAnsi="Times New Roman;Times;serif"/>
          <w:sz w:val="24"/>
          <w:u w:val="single"/>
        </w:rPr>
        <w:t>Section 3.19</w:t>
      </w:r>
      <w:r>
        <w:rPr>
          <w:rFonts w:ascii="Times New Roman;Times;serif" w:hAnsi="Times New Roman;Times;serif"/>
          <w:sz w:val="24"/>
        </w:rPr>
        <w:t>) are effective (or, upon the execution thereof, will be effective) to create in favor of the Administrative Agent, for the benefit of the Secured Parties,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legal, valid and enforceable security interest (subject to Liens permitted by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 xml:space="preserve">and to any perfection requirements under the German Security Documents) in the Collateral described therein and proceeds thereof. In the case of any Equity Interests required to be pledged under the Security Documents (other than the Australian Security Documents which are covered under </w:t>
      </w:r>
      <w:r>
        <w:rPr>
          <w:rFonts w:ascii="Times New Roman;Times;serif" w:hAnsi="Times New Roman;Times;serif"/>
          <w:sz w:val="24"/>
          <w:u w:val="single"/>
        </w:rPr>
        <w:t>Section 3.18</w:t>
      </w:r>
      <w:r>
        <w:rPr>
          <w:rFonts w:ascii="Times New Roman;Times;serif" w:hAnsi="Times New Roman;Times;serif"/>
          <w:sz w:val="20"/>
        </w:rPr>
        <w:t xml:space="preserve"> </w:t>
      </w:r>
      <w:r>
        <w:rPr>
          <w:rFonts w:ascii="Times New Roman;Times;serif" w:hAnsi="Times New Roman;Times;serif"/>
          <w:sz w:val="24"/>
        </w:rPr>
        <w:t xml:space="preserve">and the Irish Security Documents which are covered under </w:t>
      </w:r>
      <w:r>
        <w:rPr>
          <w:rFonts w:ascii="Times New Roman;Times;serif" w:hAnsi="Times New Roman;Times;serif"/>
          <w:sz w:val="24"/>
          <w:u w:val="single"/>
        </w:rPr>
        <w:t>Section 3.19</w:t>
      </w:r>
      <w:r>
        <w:rPr>
          <w:rFonts w:ascii="Times New Roman;Times;serif" w:hAnsi="Times New Roman;Times;serif"/>
          <w:sz w:val="24"/>
        </w:rPr>
        <w:t xml:space="preserve">), when stock certificates representing such Equity Interests are delivered to the Administrative Agent (together with a properly completed and signed stock power or endorsement or share transfer form(s) executed in blank), in the case of Collateral consisting of Deposit Accounts or Securities Accounts, when such Deposit Accounts or Securities Accounts located in the United States or any other applicable jurisdiction, as applicable, are, subject to the Agreed Security Principles, subject to a Control Agreement (or such notices are served on the relevant account banks in accordance with the terms of the relevant Foreign Security Agreements) and in the case of the other Collateral described in the Security Documents, when financing statements and other filings specified on Schedule 3 to the U.S. Security Agreement or the Canadian Security Documents, in appropriate form are filed in the offices specified on Schedule 3 to the U.S. Security Agreement or the Canadian Security Documents, and in the case of Collateral described in the Security Documents to which a Singapore Loan Party is a party to, registration of particulars of such Security Documents at the Accounting and Corporate Regulatory Authority of Singapore under Section 131 of the Companies Act 1967 of Singapore and the serving of notices on counterparties, as applicable, and in the case of Collateral described in the Philippine Security Documents, the registration of the Philippine Security Documents with the PPSR or the CMR, as applicable, in accordance with paragraph (g)(i)(B) of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the Liens granted under the Security Documents shall constitute fully perfected Liens on, and security interests (subject to Liens permitted by </w:t>
      </w:r>
      <w:r>
        <w:rPr>
          <w:rFonts w:ascii="Times New Roman;Times;serif" w:hAnsi="Times New Roman;Times;serif"/>
          <w:sz w:val="24"/>
          <w:u w:val="single"/>
        </w:rPr>
        <w:t>Section 6.02</w:t>
      </w:r>
      <w:r>
        <w:rPr>
          <w:rFonts w:ascii="Times New Roman;Times;serif" w:hAnsi="Times New Roman;Times;serif"/>
          <w:sz w:val="24"/>
        </w:rPr>
        <w:t xml:space="preserve">) in, all right, title and interest of the Loan Parties in such Collateral and the proceeds thereof (to the extent perfection is required pursuant to this Agreement and the Security Documents), as security for the Obligations, in each case prior and superior in right to any other Person (except for Liens permitted by </w:t>
      </w:r>
      <w:r>
        <w:rPr>
          <w:rFonts w:ascii="Times New Roman;Times;serif" w:hAnsi="Times New Roman;Times;serif"/>
          <w:sz w:val="24"/>
          <w:u w:val="single"/>
        </w:rPr>
        <w:t>Section 6.02</w:t>
      </w:r>
      <w:r>
        <w:rPr>
          <w:rFonts w:ascii="Times New Roman;Times;serif" w:hAnsi="Times New Roman;Times;serif"/>
          <w:sz w:val="24"/>
        </w:rPr>
        <w:t xml:space="preserve">), to the extent that such Liens can be perfected by (i) the filing of financing statements (and (x) registration of the particulars of the UK Security Documents at the Companies Registration Office under the Companies Act 2006 and payment of associated fees, (y) registration of the particulars of charge at the Accounting and Corporate Regulatory Authority of Singapore or (z) registration of the Philippine Security Documents with the PPSR or the CMR in accordance with paragraph (g)(i)(B) of </w:t>
      </w:r>
      <w:r>
        <w:rPr>
          <w:rFonts w:ascii="Times New Roman;Times;serif" w:hAnsi="Times New Roman;Times;serif"/>
          <w:sz w:val="24"/>
          <w:u w:val="single"/>
        </w:rPr>
        <w:t>Section 5.11</w:t>
      </w:r>
      <w:r>
        <w:rPr>
          <w:rFonts w:ascii="Times New Roman;Times;serif" w:hAnsi="Times New Roman;Times;serif"/>
          <w:sz w:val="24"/>
        </w:rPr>
        <w:t>, as applicable), (ii) the delivery to the Administrative Agent of stock certificates representing Equity Interests pledged pursuant to the Security Documents accompanied by stock power or endorsement or share transfer form(s) executed in blank, (iii) the recordation of intellectual property security agreements with the United States Patent and Trademark Office, the United States Copyright Office or the Canadian Intellectual Property Office, and (iv) entry into Control Agreements and the serving of notices on the account bank counterparties, and (v) the serving of notice on counterparties,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3.18</w:t>
      </w:r>
      <w:r>
        <w:rPr>
          <w:rFonts w:ascii="Times New Roman;Times;serif" w:hAnsi="Times New Roman;Times;serif"/>
          <w:sz w:val="24"/>
          <w:u w:val="single"/>
        </w:rPr>
        <w:t>Australian Representations</w:t>
      </w:r>
      <w:r>
        <w:rPr>
          <w:rFonts w:ascii="Times New Roman;Times;serif" w:hAnsi="Times New Roman;Times;serif"/>
          <w:sz w:val="24"/>
        </w:rPr>
        <w:t>. In respect of any Australian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Australian Security Documents</w:t>
      </w:r>
      <w:r>
        <w:rPr>
          <w:rFonts w:ascii="Times New Roman;Times;serif" w:hAnsi="Times New Roman;Times;serif"/>
          <w:sz w:val="24"/>
        </w:rPr>
        <w:t>. The security interests created under the Australian Security Documents will, upon execution thereof, create the legal, valid and enforceable security interest it is expressed to create with the ranking and priority it is expressed to have over the property to which it is expressed to apply, in each case subject to the principles of equity, stamping and registration, statute of limitations and laws affecting creditors’ rights generally.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Trustee</w:t>
      </w:r>
      <w:r>
        <w:rPr>
          <w:rFonts w:ascii="Times New Roman;Times;serif" w:hAnsi="Times New Roman;Times;serif"/>
          <w:sz w:val="24"/>
        </w:rPr>
        <w:t>. It is not the trustee of any trust or settlement other than as disclosed to the Administrative Agent in writing and accepted by, prior to the date it became a Loan Party or any trust which arises in the ordinary course of its trading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Related Party Benefit and Financial Assistance</w:t>
      </w:r>
      <w:r>
        <w:rPr>
          <w:rFonts w:ascii="Times New Roman;Times;serif" w:hAnsi="Times New Roman;Times;serif"/>
          <w:sz w:val="24"/>
        </w:rPr>
        <w:t>. It has not contravened nor will it contravene Chapter 2E or 2J.3 of the Australian Corporations Act by entering into any Loan Document to which it is a party or participating in any transaction in connection with any Loan Document to which it is a party to the extent that any contravention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Tax Consolidation</w:t>
      </w:r>
      <w:r>
        <w:rPr>
          <w:rFonts w:ascii="Times New Roman;Times;serif" w:hAnsi="Times New Roman;Times;serif"/>
          <w:sz w:val="24"/>
        </w:rPr>
        <w:t>. Neither it nor any other Subsidiary incorporated in Australia is a member of an Australian Consolidated Tax Group unless it has entered into an Australian Tax Sharing Agreement or an Australian Tax Funding Agreement in form and substance satisfactory to the Administrative Agent (acting reasonably).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Commercial Benefit</w:t>
      </w:r>
      <w:r>
        <w:rPr>
          <w:rFonts w:ascii="Times New Roman;Times;serif" w:hAnsi="Times New Roman;Times;serif"/>
          <w:sz w:val="24"/>
        </w:rPr>
        <w:t>. In relation to the Australian Loan Parties, the entry into this Agreement and each other Loan Document to which it is a party is for such Australian Loan Party’s commercial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3.19</w:t>
      </w:r>
      <w:r>
        <w:rPr>
          <w:rFonts w:ascii="Times New Roman;Times;serif" w:hAnsi="Times New Roman;Times;serif"/>
          <w:sz w:val="24"/>
          <w:u w:val="single"/>
        </w:rPr>
        <w:t>Irish Security Documents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Subject to the Legal Reservations and Section 3.19(b) below, each Security Document governed by the laws of Ireland to which that Loan Party is a party creates the security interests which that Security Document purports to create and those security interests are valid and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Under the laws of Ireland, it is not necessary that the Security Documents entered into by any Irish Loan Party be filed, recorded or enrolled with any court or other authority in Ireland or that any stamp, registration, notarial or similar Taxes or fees be paid on or in relation to such Security Documents or the transactions contemplated by such Security Documents except, where applicable in relation to each such Security Document:</w:t>
      </w:r>
    </w:p>
    <w:p>
      <w:pPr>
        <w:pStyle w:val="TextBody"/>
        <w:bidi w:val="0"/>
        <w:spacing w:before="0" w:after="240"/>
        <w:ind w:left="7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registration of particulars of each such Security Document at the Companies Registration Office of Ireland as required under Section 4 and Schedule 2, part 1 of the Irish Companies Act and payment of associated fees;</w:t>
      </w:r>
    </w:p>
    <w:p>
      <w:pPr>
        <w:pStyle w:val="TextBody"/>
        <w:bidi w:val="0"/>
        <w:spacing w:before="0" w:after="240"/>
        <w:ind w:left="7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registration of the any of such Security Documents requiring to be so registered at the Irish Registry of Deeds and/or Tailte Éireann and payment of associated fees; and</w:t>
      </w:r>
    </w:p>
    <w:p>
      <w:pPr>
        <w:pStyle w:val="TextBody"/>
        <w:bidi w:val="0"/>
        <w:spacing w:before="0" w:after="240"/>
        <w:ind w:left="709"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notification to the Revenue Commissioners of Ireland of particulars of relevant Irish Security Documents under section 1001 Taxes Consolidation Act, 1997,</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which registrations, filings, taxes and fees will be made and paid promptly after the date of the relevant Security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4</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4.01</w:t>
      </w:r>
      <w:r>
        <w:rPr>
          <w:rFonts w:ascii="Times New Roman;Times;serif" w:hAnsi="Times New Roman;Times;serif"/>
          <w:sz w:val="24"/>
          <w:u w:val="single"/>
        </w:rPr>
        <w:t>[Reserved]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4.02</w:t>
      </w:r>
      <w:r>
        <w:rPr>
          <w:rFonts w:ascii="Times New Roman;Times;serif" w:hAnsi="Times New Roman;Times;serif"/>
          <w:sz w:val="24"/>
          <w:u w:val="single"/>
        </w:rPr>
        <w:t>Each Credit Event</w:t>
      </w:r>
      <w:r>
        <w:rPr>
          <w:rFonts w:ascii="Times New Roman;Times;serif" w:hAnsi="Times New Roman;Times;serif"/>
          <w:sz w:val="24"/>
        </w:rPr>
        <w:t>. The obligation of each Lender to make a Loan on the occasion of any Borrowing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 conversion or a continuation shall not constitute a “Borrowing” for purposes of this </w:t>
      </w:r>
      <w:r>
        <w:rPr>
          <w:rFonts w:ascii="Times New Roman;Times;serif" w:hAnsi="Times New Roman;Times;serif"/>
          <w:sz w:val="24"/>
          <w:u w:val="single"/>
        </w:rPr>
        <w:t>Section 4.02</w:t>
      </w:r>
      <w:r>
        <w:rPr>
          <w:rFonts w:ascii="Times New Roman;Times;serif" w:hAnsi="Times New Roman;Times;serif"/>
          <w:sz w:val="24"/>
        </w:rPr>
        <w:t xml:space="preserve">), and of the applicable Issuing Bank to issue, renew or extend any Letter of Credit, is subject to the satisfaction (or waiver by in accordance with </w:t>
      </w:r>
      <w:r>
        <w:rPr>
          <w:rFonts w:ascii="Times New Roman;Times;serif" w:hAnsi="Times New Roman;Times;serif"/>
          <w:sz w:val="24"/>
          <w:u w:val="single"/>
        </w:rPr>
        <w:t>Section 10.02</w:t>
      </w:r>
      <w:r>
        <w:rPr>
          <w:rFonts w:ascii="Times New Roman;Times;serif" w:hAnsi="Times New Roman;Times;serif"/>
          <w:sz w:val="24"/>
        </w:rPr>
        <w:t>)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The representations and warranties of the Loan Parties set forth in this Agreement and the other Loan Documents shall be true and correct in all material respects (or in all respects if qualified by materiality) on and as of the date of such Borrowing or the date of issuance, renewal or extension of such Letter of Credit, as applicable, except that (i) for purposes of this Section, the representations and warranties contained in </w:t>
      </w:r>
      <w:r>
        <w:rPr>
          <w:rFonts w:ascii="Times New Roman;Times;serif" w:hAnsi="Times New Roman;Times;serif"/>
          <w:sz w:val="24"/>
          <w:u w:val="single"/>
        </w:rPr>
        <w:t>Section 3.04(a)</w:t>
      </w:r>
      <w:r>
        <w:rPr>
          <w:rFonts w:ascii="Times New Roman;Times;serif" w:hAnsi="Times New Roman;Times;serif"/>
          <w:sz w:val="20"/>
        </w:rPr>
        <w:t xml:space="preserve"> </w:t>
      </w:r>
      <w:r>
        <w:rPr>
          <w:rFonts w:ascii="Times New Roman;Times;serif" w:hAnsi="Times New Roman;Times;serif"/>
          <w:sz w:val="24"/>
        </w:rPr>
        <w:t xml:space="preserve">shall be deemed to refer to the most recent statements furnished pursuant to clauses (a) and (b) (subject, in the case of unaudited financial statements furnished pursuant to clause (b), to year-end audit adjustments and the absence of footnotes), respectively, of </w:t>
      </w:r>
      <w:r>
        <w:rPr>
          <w:rFonts w:ascii="Times New Roman;Times;serif" w:hAnsi="Times New Roman;Times;serif"/>
          <w:sz w:val="24"/>
          <w:u w:val="single"/>
        </w:rPr>
        <w:t>Section 5.01</w:t>
      </w:r>
      <w:r>
        <w:rPr>
          <w:rFonts w:ascii="Times New Roman;Times;serif" w:hAnsi="Times New Roman;Times;serif"/>
          <w:sz w:val="24"/>
        </w:rPr>
        <w:t>, (ii) to the extent that such representations and warranties specifically refer to an earlier date, they shall be true and correct in all material respects as of such earlier date and (iii) to the extent that such representations and warranties are already qualified or modified by materiality in the text thereof, they shall be true and correct in all respects;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At the time of and immediately after giving effect on a Pro Forma Basis to such Borrowing or the issuance, renewal or extension of such Letter of Credit, as applicable, no Default or Event of Default shall have occurred and be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At the time of and immediately after giving effect on a Pro Forma Basis to such Borrowing or the issuance of such Letter of Credit, as applicable, the Parent and the Borrowers shall be in compliance with </w:t>
      </w:r>
      <w:r>
        <w:rPr>
          <w:rFonts w:ascii="Times New Roman;Times;serif" w:hAnsi="Times New Roman;Times;serif"/>
          <w:sz w:val="24"/>
          <w:u w:val="single"/>
        </w:rPr>
        <w:t>Section 6.10(a)</w:t>
      </w:r>
      <w:r>
        <w:rPr>
          <w:rFonts w:ascii="Times New Roman;Times;serif" w:hAnsi="Times New Roman;Times;serif"/>
          <w:b/>
          <w:color w:val="FF0000"/>
          <w:sz w:val="24"/>
        </w:rPr>
        <w:t xml:space="preserve">. </w:t>
      </w:r>
      <w:r>
        <w:rPr>
          <w:rFonts w:ascii="Times New Roman;Times;serif" w:hAnsi="Times New Roman;Times;serif"/>
          <w:b/>
          <w:color w:val="0000FF"/>
          <w:sz w:val="24"/>
        </w:rPr>
        <w:t>and, if after giving effect on a Pro Forma Basis to such Borrowing or the issuance of such Letter of Credit the Total Revolving Extensions of Credit would exceed $450,000,000, Section 5.15 (it being understood that any required Specified Cash Collateral shall be required to be deposited in the Specified Cash Collateral Account prior to any such Borrowing or the issuance of any such Letter of Credit).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Borrowing and each issuance, renewal or extension of a Letter of Credit shall be deemed to constitute a representation and warranty by the Loan Parties that the conditions specified in paragraphs (a), (b) and (c) of this Section have been satisfied as of the date thereof.</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5</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AFFIRMATIVE COVENANTS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 less than the Minimum Collateral Amount or (z) been deemed reissued under another agreement reasonably acceptable to the applicable Issuing Bank, the Loan Parties covenant and agree with the Administrative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5.01</w:t>
      </w:r>
      <w:r>
        <w:rPr>
          <w:rFonts w:ascii="Times New Roman;Times;serif" w:hAnsi="Times New Roman;Times;serif"/>
          <w:sz w:val="24"/>
          <w:u w:val="single"/>
        </w:rPr>
        <w:t>Financial Statements; Ratings Change and Other Information</w:t>
      </w:r>
      <w:r>
        <w:rPr>
          <w:rFonts w:ascii="Times New Roman;Times;serif" w:hAnsi="Times New Roman;Times;serif"/>
          <w:sz w:val="24"/>
        </w:rPr>
        <w:t>. The Parent will furnish to the Administrative Agent (for distribution to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on or before the date on which such financial statements are required to be filed with the SEC after the end of each fiscal year of the Parent (or, if such financial statements are not required to be filed with the SEC, within 120 days after the end of each fiscal year of the Parent), its audited consolidated balance sheet and related consolidated statements of operations and comprehensive income (loss), changes in stockholders’ equity, and cash flows as of the end of and for such year, setting forth in each case in comparative form the figures for the previous fiscal year, all reported on by Ernst &amp; Young LLP or other independent public accountants of recognized national standing (without a “going concern” or like qualification or exception (other than a qualification related to the maturity of the Commitments and the Loans at the Maturity Date or upcoming maturity date under any other Indebtedness occurring within one year from the time such report is delivered or potential inability to satisfy a financial covenant under this Agreement or other Indebtedness) and without any qualification or exception as to the scope of such audit) to the effect that such consolidated financial statements present fairly in all material respects the financial condition and results of operations of the Parent and its Subsidiaries on a consolidated basis in accordance with GAAP consistently applied;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on or before the date on which such financial statements are required to be filed with the SEC after the end of each of the first three fiscal quarters of each fiscal year of the Parent (or, if such financial statements are not required to be filed with the SEC, within 45 days after the end of each of the first three fiscal quarters of each fiscal year of the Parent), its consolidated balance sheets and related consolidated statements of operations and comprehensive income (loss), changes in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Parent and its Subsidiaries on a consolidated basis in accordance with GAAP consistently applied, subject to normal year-end audit adjustments and the absence of footnotes;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concurrently with any delivery of financial statements under clause (a) or (b) above, a Compliance Certificate (i) certifying as to whether a Default has occurred and is continuing as of the date thereof and, if a Default has occurred and is continuing as of the date thereof, specifying the details thereof and any action taken or proposed to be taken with respect thereto, (ii) demonstrating compliance with </w:t>
      </w:r>
      <w:r>
        <w:rPr>
          <w:rFonts w:ascii="Times New Roman;Times;serif" w:hAnsi="Times New Roman;Times;serif"/>
          <w:sz w:val="24"/>
          <w:u w:val="single"/>
        </w:rPr>
        <w:t>Section 6.10</w:t>
      </w:r>
      <w:r>
        <w:rPr>
          <w:rFonts w:ascii="Times New Roman;Times;serif" w:hAnsi="Times New Roman;Times;serif"/>
          <w:sz w:val="24"/>
        </w:rPr>
        <w:t xml:space="preserve">, (iii) setting forth a reasonably detailed calculation of Consolidated EBITDA and the Consolidated Leverage Ratio for the applicable Measurement Period, (iv) setting forth a reasonably detailed calculation demonstrating compliance with the Guarantor Coverage Test, (v) if and to the extent that any change in GAAP that has occurred since the date of the audited financial statements referred to in </w:t>
      </w:r>
      <w:r>
        <w:rPr>
          <w:rFonts w:ascii="Times New Roman;Times;serif" w:hAnsi="Times New Roman;Times;serif"/>
          <w:sz w:val="24"/>
          <w:u w:val="single"/>
        </w:rPr>
        <w:t>Section 3.04</w:t>
      </w:r>
      <w:r>
        <w:rPr>
          <w:rFonts w:ascii="Times New Roman;Times;serif" w:hAnsi="Times New Roman;Times;serif"/>
          <w:sz w:val="20"/>
        </w:rPr>
        <w:t xml:space="preserve"> </w:t>
      </w:r>
      <w:r>
        <w:rPr>
          <w:rFonts w:ascii="Times New Roman;Times;serif" w:hAnsi="Times New Roman;Times;serif"/>
          <w:sz w:val="24"/>
        </w:rPr>
        <w:t>had an impact on such financial statements, specifying the effect of such change on the financial statements accompanying such certificate, and (vi) setting forth a list of any issued Patents, registered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industrial designs, registered Trademarks or registered Copyrights, and applications for any of the foregoing, acquired or filed by the Parent and its Subsidiaries since the Effective Date or the date of the most recent Compliance Certificate delivered pursuant to this </w:t>
      </w:r>
      <w:r>
        <w:rPr>
          <w:rFonts w:ascii="Times New Roman;Times;serif" w:hAnsi="Times New Roman;Times;serif"/>
          <w:sz w:val="24"/>
          <w:u w:val="single"/>
        </w:rPr>
        <w:t>Section 5.01(c)</w:t>
      </w:r>
      <w:r>
        <w:rPr>
          <w:rFonts w:ascii="Times New Roman;Times;serif" w:hAnsi="Times New Roman;Times;serif"/>
          <w:sz w:val="20"/>
        </w:rPr>
        <w:t xml:space="preserve"> </w:t>
      </w:r>
      <w:r>
        <w:rPr>
          <w:rFonts w:ascii="Times New Roman;Times;serif" w:hAnsi="Times New Roman;Times;serif"/>
          <w:sz w:val="24"/>
        </w:rPr>
        <w:t>prior to the date thereof, as applicable, which Intellectual Property (including any applications therefor) was not included in the Collateral as of the Effective Date or date of such Compliance Certificate,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as soon as available, and in any event no later than 90 days after the end of each fiscal year, a detailed consolidated budget for the following fiscal year (including a projected consolidated balance sheet of the Parent and its Subsidiaries as of the end of the following fiscal year, the related consolidated statements of projected cash flow and projected income, forecasts with respect to Total Liquidity) (collectively, the “</w:t>
      </w:r>
      <w:r>
        <w:rPr>
          <w:rFonts w:ascii="Times New Roman;Times;serif" w:hAnsi="Times New Roman;Times;serif"/>
          <w:b/>
          <w:sz w:val="24"/>
        </w:rPr>
        <w:t>Projections</w:t>
      </w:r>
      <w:r>
        <w:rPr>
          <w:rFonts w:ascii="Times New Roman;Times;serif" w:hAnsi="Times New Roman;Times;serif"/>
          <w:sz w:val="20"/>
        </w:rPr>
        <w:t>”</w:t>
      </w:r>
      <w:r>
        <w:rPr>
          <w:rFonts w:ascii="Times New Roman;Times;serif" w:hAnsi="Times New Roman;Times;serif"/>
          <w:sz w:val="24"/>
        </w:rPr>
        <w:t>), which Projections shall in each case be accompanied by a certificate of a Responsible Officer of the Parent stating that such Projections are based on reasonable estimates, information and assumptions and that such Responsible Officer has no reason to believe that such Projections are incorrect or misleading in any material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promptly after the same become publicly available, copies of all periodic and other reports, proxy statements and other materials filed by the Parent or any Subsidiary with the SEC or any Governmental Authority succeeding to any or all of the functions of said Commission under Section 13 or 15(d) of the Securities Exchange Act of 1934, as the case may be, in each case that is not otherwise required to be delivered to the Administrative Agent pursuant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promptly following any reasonable request in writing (including any electronic message) therefor, (i) such other information regarding the operations, business affairs and financial condition of the Parent or any Subsidiary, or compliance with the terms of this Agreement or any other Loan Document, as the Administrative Agent or any Lender (through the Administrative Agent) may reasonably request, (ii) information and documentation reasonably requested by the Administrative Agent or any Lender for purposes of compliance with applicable “know your customer” and anti-money laundering rules and regulations, including the USA Patriot Act, the Proceeds of Crime Act and the Beneficial Ownership Regulation, and (iii) such further information as may be required by applicable banking supervisory laws and regulations,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notwithstanding the foregoing, none of the Parent or any of its Subsidiaries shall be required to disclose any document, information or other matter that (A) constitutes non-financial trade secrets or non-financial proprietary information, (B) in respect of which disclosure to the Administrative Agent or any Lender (or their respective representatives) is prohibited by applicable law or any third party contract legally binding on the Parent or its Subsidiaries or (C) is subject to attorney, client or similar privilege or constitutes attorney work-product;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promptly with notice in writing of (i) the creation or acquisition of any new Receivables Subsidiary and (ii) the Parent or any Subsidiary thereof entering into any Factoring Transaction or Receivables Facility, together with copies of any indenture, loan agreement or similar agreement or any other agreements entered into by the Parent or any Subsidiary thereof in connection therewith;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concurrently with the delivery thereof, copies of all reports, certificates and notices provided by the Parent or any Subsidiary thereof under any Permitted Factoring Transaction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Permitted Receivables Facility, and promptly upon their becoming available, copies of any amendments, modifications, supplements, restatements or amendments and restatements of, or waivers or consents with respect to, any indenture, loan agreement or similar agreement or any other agreements entered into by the Parent or any Subsidiary thereof in connection with any Permitted Factoring Transaction or Permitted Receivables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Information required to be delivered pursuant to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5.01(b)</w:t>
      </w:r>
      <w:r>
        <w:rPr>
          <w:rFonts w:ascii="Times New Roman;Times;serif" w:hAnsi="Times New Roman;Times;serif"/>
          <w:sz w:val="20"/>
        </w:rPr>
        <w:t xml:space="preserve"> </w:t>
      </w:r>
      <w:r>
        <w:rPr>
          <w:rFonts w:ascii="Times New Roman;Times;serif" w:hAnsi="Times New Roman;Times;serif"/>
          <w:sz w:val="24"/>
        </w:rPr>
        <w:t>may be delivered electronically and if so delivered, shall be deemed to have been delivered on the date on which such information is posted on the Borrowers’ or the Parent’s behalf on an Internet or intranet website, if any, to which the Lenders and the Administrative Agent have been granted access (whether a commercial, third-party website or whether sponsored by the Administrative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Notwithstanding the foregoing, the obligations in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5.01(b)</w:t>
      </w:r>
      <w:r>
        <w:rPr>
          <w:rFonts w:ascii="Times New Roman;Times;serif" w:hAnsi="Times New Roman;Times;serif"/>
          <w:sz w:val="20"/>
        </w:rPr>
        <w:t xml:space="preserve"> </w:t>
      </w:r>
      <w:r>
        <w:rPr>
          <w:rFonts w:ascii="Times New Roman;Times;serif" w:hAnsi="Times New Roman;Times;serif"/>
          <w:sz w:val="24"/>
        </w:rPr>
        <w:t xml:space="preserve">may be satisfied by furnishing (A) the applicable financial statements or other information required by such clauses of Parent (or any other parent company) or (B) the Parent’s or the Parent Borrower’s (or any other parent company), as applicable, Form 10-K or 10-Q, as applicable, filed with the SEC or any securities exchange, in each case, within the time periods specified in such paragraphs;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with respect to each of clauses (A) and (B), upon reasonable request by the Administrative Agent, (i) to the extent such financial statements are delivered under </w:t>
      </w:r>
      <w:r>
        <w:rPr>
          <w:rFonts w:ascii="Times New Roman;Times;serif" w:hAnsi="Times New Roman;Times;serif"/>
          <w:sz w:val="24"/>
          <w:u w:val="single"/>
        </w:rPr>
        <w:t>Section 5.01(a)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5.01(b)</w:t>
      </w:r>
      <w:r>
        <w:rPr>
          <w:rFonts w:ascii="Times New Roman;Times;serif" w:hAnsi="Times New Roman;Times;serif"/>
          <w:sz w:val="20"/>
        </w:rPr>
        <w:t xml:space="preserve"> </w:t>
      </w:r>
      <w:r>
        <w:rPr>
          <w:rFonts w:ascii="Times New Roman;Times;serif" w:hAnsi="Times New Roman;Times;serif"/>
          <w:sz w:val="24"/>
        </w:rPr>
        <w:t xml:space="preserve">and relate to the Parent, such financial statements shall be accompanied by consolidating information that explains in reasonable detail the differences between the information relating to the Parent, on the one hand, and the information relating to the Borrowers and their Subsidiaries on a standalone basis, on the other hand, which consolidating information shall be certified by a Responsible Officer of the Parent as having been fairly presented and (ii) to the extent such statements are in lieu of statements required to be provided under </w:t>
      </w:r>
      <w:r>
        <w:rPr>
          <w:rFonts w:ascii="Times New Roman;Times;serif" w:hAnsi="Times New Roman;Times;serif"/>
          <w:sz w:val="24"/>
          <w:u w:val="single"/>
        </w:rPr>
        <w:t>Section 5.01(a)</w:t>
      </w:r>
      <w:r>
        <w:rPr>
          <w:rFonts w:ascii="Times New Roman;Times;serif" w:hAnsi="Times New Roman;Times;serif"/>
          <w:sz w:val="24"/>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Times New Roman;Times;serif" w:hAnsi="Times New Roman;Times;serif"/>
          <w:sz w:val="24"/>
          <w:u w:val="single"/>
        </w:rPr>
        <w:t>Section 5.01(a)</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5.02</w:t>
      </w:r>
      <w:r>
        <w:rPr>
          <w:rFonts w:ascii="Times New Roman;Times;serif" w:hAnsi="Times New Roman;Times;serif"/>
          <w:sz w:val="24"/>
          <w:u w:val="single"/>
        </w:rPr>
        <w:t>Notices of Material Events</w:t>
      </w:r>
      <w:r>
        <w:rPr>
          <w:rFonts w:ascii="Times New Roman;Times;serif" w:hAnsi="Times New Roman;Times;serif"/>
          <w:sz w:val="24"/>
        </w:rPr>
        <w:t>. The Borrowers will furnish to the Administrative Agent (for distribution to each Lender) prompt written notice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occurrence of any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filing or commencement of any action, suit or proceeding by or before any arbitrator or Governmental Authority against or affecting the Parent or any of its Subsidiary thereof that would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 any change in the Parent’s or any other U.S. Loan Party’s state of incorporation or organization, name as it appears in the state of its incorporation or other organization, type of entity, organizational identification number, or form of organization, each as applicable, or (ii) any change in any Canadian Loan Party’s legal name (including the addition by any Canadian Loan Party of a French form of name), type of organization, jurisdiction of organization, registered head office, principal place of business, chief executive office or domicile (if applicable, within the meaning of the Civil Code of Quebec) or the jurisdictions in Canada in which Collateral of a Loan Party is held or maintained (other than any such Collateral that is in transit or out for repair in the ordinary course of business or any such Collateral that is located in a jurisdiction for which 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applicable filings under the Canadian PPSA have already been made), in each case under this clause (c), at least ten (10) Business Days (or such shorter period to which the Administrative Agent may agree in its discretion) prior to the occurrence of any such change;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any other development that results in, or would reasonably be expected to result in, a Material Adverse Effect.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notice delivered under this Section shall be accompanied by a statement of a Responsible Officer or other executive officer of the Parent Borrower setting forth the details of the event or development requiring such notice and any action taken or proposed to be taken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5.03</w:t>
      </w:r>
      <w:r>
        <w:rPr>
          <w:rFonts w:ascii="Times New Roman;Times;serif" w:hAnsi="Times New Roman;Times;serif"/>
          <w:sz w:val="24"/>
          <w:u w:val="single"/>
        </w:rPr>
        <w:t>Existence; Conduct of Business</w:t>
      </w:r>
      <w:r>
        <w:rPr>
          <w:rFonts w:ascii="Times New Roman;Times;serif" w:hAnsi="Times New Roman;Times;serif"/>
          <w:sz w:val="24"/>
        </w:rPr>
        <w:t xml:space="preserve">. Each Loan Party will, and will cause each of its Subsidiaries to, do or cause to be done all things necessary to preserve, renew and keep in full force and effect its legal existence in its jurisdiction of organization and the rights, licenses, permits, privileges and franchises material to the conduct of its business;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the foregoing shall not prohibit any merger, amalgamation, consolidation, liquidation or dissolution permitted under </w:t>
      </w:r>
      <w:r>
        <w:rPr>
          <w:rFonts w:ascii="Times New Roman;Times;serif" w:hAnsi="Times New Roman;Times;serif"/>
          <w:sz w:val="24"/>
          <w:u w:val="single"/>
        </w:rPr>
        <w:t>Section 6.03</w:t>
      </w:r>
      <w:r>
        <w:rPr>
          <w:rFonts w:ascii="Times New Roman;Times;serif" w:hAnsi="Times New Roman;Times;serif"/>
          <w:sz w:val="20"/>
        </w:rPr>
        <w:t xml:space="preserve"> </w:t>
      </w:r>
      <w:r>
        <w:rPr>
          <w:rFonts w:ascii="Times New Roman;Times;serif" w:hAnsi="Times New Roman;Times;serif"/>
          <w:sz w:val="24"/>
        </w:rPr>
        <w:t>and (ii) none of the Parent or any of its Subsidiaries shall be required to preserve, renew or keep in full force and effect its rights, licenses, permits, privileges or franchises where failure to do so would not, individually or in the aggregate,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5.04</w:t>
      </w:r>
      <w:r>
        <w:rPr>
          <w:rFonts w:ascii="Times New Roman;Times;serif" w:hAnsi="Times New Roman;Times;serif"/>
          <w:sz w:val="24"/>
          <w:u w:val="single"/>
        </w:rPr>
        <w:t>Payment of Taxes</w:t>
      </w:r>
      <w:r>
        <w:rPr>
          <w:rFonts w:ascii="Times New Roman;Times;serif" w:hAnsi="Times New Roman;Times;serif"/>
          <w:sz w:val="24"/>
        </w:rPr>
        <w:t xml:space="preserve">. Each Loan Party will, and will cause each of its Subsidiaries to, pay all Tax liabilities, including all Taxes imposed upon it or upon its income or profits or upon any properties belonging to it that, if not paid, would, individually or in the aggregate, reasonably be expected to result in a Material Adverse Effect, before the same shall become delinquent or in default, and all lawful claims other than Tax liabilities that, if unpaid, would become a Lien upon any properties of the Parent or any of its Subsidiaries not otherwise permitted under </w:t>
      </w:r>
      <w:r>
        <w:rPr>
          <w:rFonts w:ascii="Times New Roman;Times;serif" w:hAnsi="Times New Roman;Times;serif"/>
          <w:sz w:val="24"/>
          <w:u w:val="single"/>
        </w:rPr>
        <w:t>Section 6.02</w:t>
      </w:r>
      <w:r>
        <w:rPr>
          <w:rFonts w:ascii="Times New Roman;Times;serif" w:hAnsi="Times New Roman;Times;serif"/>
          <w:sz w:val="24"/>
        </w:rPr>
        <w:t>, in both cases except where (a) the validity or amount thereof is being contested in good faith by appropriate proceedings and (b) to the extent required by GAAP, the Parent or such Subsidiary has set aside on its books adequate reserves with respect thereto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5.05</w:t>
      </w:r>
      <w:r>
        <w:rPr>
          <w:rFonts w:ascii="Times New Roman;Times;serif" w:hAnsi="Times New Roman;Times;serif"/>
          <w:sz w:val="24"/>
          <w:u w:val="single"/>
        </w:rPr>
        <w:t>Maintenance of Properties; Protection of Intellectual Property; Insurance</w:t>
      </w:r>
      <w:r>
        <w:rPr>
          <w:rFonts w:ascii="Times New Roman;Times;serif" w:hAnsi="Times New Roman;Times;serif"/>
          <w:sz w:val="24"/>
        </w:rPr>
        <w:t>. Each Loan Party will, and will cause each of its Subsidiaries to, (a) keep and maintain all property used in the conduct of its business in good working order and condition, ordinary wear and tear and casualty events excepted, except to the extent that failure to do so would not reasonably be expected to have a Material Adverse Effect, (b) preserve, renew and maintain in full force and effect all rights, licenses, Intellectual Property, domain names, permits, privileges, authorizations and other rights necessary for the conduct of its business, except to the extent that failure to do so would not reasonably be expected to have a Material Adverse Effect and (c) maintain insurance on commercially reasonable terms with financially sound and reputable insurance companies in such amounts and against such risks as are customarily maintained by companies engaged in the same or similar businesses or owning assets in the general areas in which the Borrowers and their Subsidiaries operate.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5.06</w:t>
      </w:r>
      <w:r>
        <w:rPr>
          <w:rFonts w:ascii="Times New Roman;Times;serif" w:hAnsi="Times New Roman;Times;serif"/>
          <w:sz w:val="24"/>
          <w:u w:val="single"/>
        </w:rPr>
        <w:t>Maintenance of Material Agreements</w:t>
      </w:r>
      <w:r>
        <w:rPr>
          <w:rFonts w:ascii="Times New Roman;Times;serif" w:hAnsi="Times New Roman;Times;serif"/>
          <w:sz w:val="24"/>
        </w:rPr>
        <w:t xml:space="preserve">. Each Loan Party will, and will cause each of its Subsidiaries to maintain in full force and effect the agreements listed on </w:t>
      </w:r>
      <w:r>
        <w:rPr>
          <w:rFonts w:ascii="Times New Roman;Times;serif" w:hAnsi="Times New Roman;Times;serif"/>
          <w:sz w:val="24"/>
          <w:u w:val="single"/>
        </w:rPr>
        <w:t>Schedule 5.06</w:t>
      </w:r>
      <w:r>
        <w:rPr>
          <w:rFonts w:ascii="Times New Roman;Times;serif" w:hAnsi="Times New Roman;Times;serif"/>
          <w:sz w:val="20"/>
        </w:rPr>
        <w:t xml:space="preserve"> </w:t>
      </w:r>
      <w:r>
        <w:rPr>
          <w:rFonts w:ascii="Times New Roman;Times;serif" w:hAnsi="Times New Roman;Times;serif"/>
          <w:sz w:val="24"/>
        </w:rPr>
        <w:t>hereto, except to the extent that (a) that such agreement terminates or expires pursuant to its terms in the ordinary course and (b) failure to do so would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5.07</w:t>
      </w:r>
      <w:r>
        <w:rPr>
          <w:rFonts w:ascii="Times New Roman;Times;serif" w:hAnsi="Times New Roman;Times;serif"/>
          <w:sz w:val="24"/>
          <w:u w:val="single"/>
        </w:rPr>
        <w:t>Books and Records; Inspection Rights</w:t>
      </w:r>
      <w:r>
        <w:rPr>
          <w:rFonts w:ascii="Times New Roman;Times;serif" w:hAnsi="Times New Roman;Times;serif"/>
          <w:sz w:val="24"/>
        </w:rPr>
        <w:t>. Each Loan Party will, and will cause each of its Subsidiaries to, keep proper books of record and account in which entries full, true and correct in all material respects are made and are sufficient to prepare financial statements in accordance with GAAP. Each Loan Party will, and will cause each of its Subsidiaries to, permit any representatives designated by the Administrative Agent or any Lender (pursuant to the request made through the Administrative Agent), upon reasonable prior notice, to visit and inspect its properties, to examine and make extracts from its books and records to the extent reasonably necessary, and to discuss its affairs, finances and condition with its officers and independent accountants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such Loan Party or such Subsidiary shall be afforded the opportunity to participate in any discussions with such independent accountants), all at such reasonable times and as often as reasonably requested (but no more than once annually if no Event of Default exists). Notwithstanding anything to the contrary in this Section, none of the Parent or any of its Subsidiaries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is prohibited by applicable law or any third party contract legally binding on the Parent or its Subsidiaries or (iii) is subject to attorney, client or similar privilege or constitutes attorney work-product.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5.08</w:t>
      </w:r>
      <w:r>
        <w:rPr>
          <w:rFonts w:ascii="Times New Roman;Times;serif" w:hAnsi="Times New Roman;Times;serif"/>
          <w:sz w:val="24"/>
          <w:u w:val="single"/>
        </w:rPr>
        <w:t>ERISA Events; Canadian Pension Events</w:t>
      </w:r>
      <w:r>
        <w:rPr>
          <w:rFonts w:ascii="Times New Roman;Times;serif" w:hAnsi="Times New Roman;Times;serif"/>
          <w:sz w:val="24"/>
        </w:rPr>
        <w:t>. The Borrowers will furnish to the Administrative Agent and each Lender prompt written notice of the occurrence of any ERISA Event or Canadian Pension Event that, alone or together with any other ERISA Events or Canadian Pension Events that have occurred, would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5.09</w:t>
      </w:r>
      <w:r>
        <w:rPr>
          <w:rFonts w:ascii="Times New Roman;Times;serif" w:hAnsi="Times New Roman;Times;serif"/>
          <w:sz w:val="24"/>
          <w:u w:val="single"/>
        </w:rPr>
        <w:t>Compliance with Laws and Agreements</w:t>
      </w:r>
      <w:r>
        <w:rPr>
          <w:rFonts w:ascii="Times New Roman;Times;serif" w:hAnsi="Times New Roman;Times;serif"/>
          <w:sz w:val="24"/>
        </w:rPr>
        <w:t>. Each Loan Party will, and will cause each of its Subsidiaries to, comply with all laws, rules, regulations and orders of any Governmental Authority applicable to it or its property and rights and all indentures, agreements, and other instruments binding upon it or its property and rights, except where the failure to do so, individually or in the aggregate, would not reasonably be expected to result in a Material Adverse Effect. Each Loan Party will maintain in effect and enforce policies and procedures designed to ensure compliance by the Loan Parties, their Subsidiaries and their respective directors, officers, employees and agents with Anti-Corruption Laws, Anti-Terrorism Laws and applicable Sanctions.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5.10</w:t>
      </w:r>
      <w:r>
        <w:rPr>
          <w:rFonts w:ascii="Times New Roman;Times;serif" w:hAnsi="Times New Roman;Times;serif"/>
          <w:sz w:val="24"/>
          <w:u w:val="single"/>
        </w:rPr>
        <w:t>Use of Proceeds</w:t>
      </w:r>
      <w:r>
        <w:rPr>
          <w:rFonts w:ascii="Times New Roman;Times;serif" w:hAnsi="Times New Roman;Times;serif"/>
          <w:sz w:val="24"/>
        </w:rPr>
        <w:t>. The proceeds of the Revolving Loans and Letters of Credit will be used only for capital expenditures, to pay transaction fees and expenses, and for working capital and general corporate purposes, including, without limitation, for stock repurchases under stock repurchase programs approved by the Borrowers and for acquisitions not prohibited hereunder. No part of the proceeds of any Loan or Letter of Credit will be used, whether directly or indirectly, to purchase or carry margin stock (within the meaning of Regulations U and X of the Board) or to extend credit to others for the purpose of purchasing or carrying margin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or to refund indebtedness originally incurred for such purpose. Without limiting the foregoing, the provisions of </w:t>
      </w:r>
      <w:r>
        <w:rPr>
          <w:rFonts w:ascii="Times New Roman;Times;serif" w:hAnsi="Times New Roman;Times;serif"/>
          <w:sz w:val="24"/>
          <w:u w:val="single"/>
        </w:rPr>
        <w:t>Section 5.10</w:t>
      </w:r>
      <w:r>
        <w:rPr>
          <w:rFonts w:ascii="Times New Roman;Times;serif" w:hAnsi="Times New Roman;Times;serif"/>
          <w:sz w:val="20"/>
        </w:rPr>
        <w:t xml:space="preserve"> </w:t>
      </w:r>
      <w:r>
        <w:rPr>
          <w:rFonts w:ascii="Times New Roman;Times;serif" w:hAnsi="Times New Roman;Times;serif"/>
          <w:sz w:val="24"/>
        </w:rPr>
        <w:t>shall not be interpreted to contravene, or require any notification to the Attorney General of Canada under, the Foreign Extraterritorial Measures (United States) Order, 1992, the Foreign Extraterritorial Measures Act (Canada) or any other applicable law in effect in Canada from time to time, by any Canadian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5.11</w:t>
      </w:r>
      <w:r>
        <w:rPr>
          <w:rFonts w:ascii="Times New Roman;Times;serif" w:hAnsi="Times New Roman;Times;serif"/>
          <w:sz w:val="24"/>
          <w:u w:val="single"/>
        </w:rPr>
        <w:t>Additional Loan Parties; Additional Collateral</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At the time any Loan Party forms any direct or indirect Subsidiary organized or incorporated under the laws of a Covered Jurisdiction (other than an Excluded Subsidiary) or acquires any direct or indirect Subsidiary organized or incorporated under the laws of a Covered Jurisdiction (other than an Excluded Subsidiary) after the Amendment No. 3 Effective Date, or any Subsidiary ceases to be an Excluded Subsidiary, or, subject to the Agreed Security Principles, any Material Foreign Subsidiary is required to join the Loan Documents as a Guarantor and a Loan Party in order to satisfy the Guarantor Coverage Test, such Loan Party shall within (x) thirty (30) days, in the case of any Domestic Subsidiary, or (y) ninety (90) days in the case of any Foreign Subsidiary (or, in each case, such later date as permitted by the Administrative Agent in its sole discretion) of such formation or acquisition or change in status or the applicable Guarantor Coverage Test Date: provide, and cause any such Subsidiary to provide, to the Administrative Agent, subject to the Agreed Security Principles,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(A) a guaranty supplement in the form of </w:t>
      </w:r>
      <w:r>
        <w:rPr>
          <w:rFonts w:ascii="Times New Roman;Times;serif" w:hAnsi="Times New Roman;Times;serif"/>
          <w:sz w:val="24"/>
          <w:u w:val="single"/>
        </w:rPr>
        <w:t>Exhibit E</w:t>
      </w:r>
      <w:r>
        <w:rPr>
          <w:rFonts w:ascii="Times New Roman;Times;serif" w:hAnsi="Times New Roman;Times;serif"/>
          <w:sz w:val="20"/>
        </w:rPr>
        <w:t xml:space="preserve"> </w:t>
      </w:r>
      <w:r>
        <w:rPr>
          <w:rFonts w:ascii="Times New Roman;Times;serif" w:hAnsi="Times New Roman;Times;serif"/>
          <w:sz w:val="24"/>
        </w:rPr>
        <w:t xml:space="preserve">hereto pursuant to which such Subsidiary will be joined as a Guarantor hereunder and (B) at least three Business Days prior to the date such additional Guarantor becomes a party hereto, all documentation and other information about the additional Guarantor reasonably requested by the Administrative Agent (including any such documentation and other information that the Administrative Agent reasonably determines is required by United States bank regulatory authorities under applicable “know your customer” and anti-money laundering rules and regulations, including the USA Patriot Act, the Proceeds of Crime Act and the Beneficial Ownership Regulation) in writing at least 10 Business Days prior to such date;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notwithstanding anything to the contrary in </w:t>
      </w:r>
      <w:r>
        <w:rPr>
          <w:rFonts w:ascii="Times New Roman;Times;serif" w:hAnsi="Times New Roman;Times;serif"/>
          <w:sz w:val="24"/>
          <w:u w:val="single"/>
        </w:rPr>
        <w:t>Section 10.02</w:t>
      </w:r>
      <w:r>
        <w:rPr>
          <w:rFonts w:ascii="Times New Roman;Times;serif" w:hAnsi="Times New Roman;Times;serif"/>
          <w:sz w:val="20"/>
        </w:rPr>
        <w:t xml:space="preserve"> </w:t>
      </w:r>
      <w:r>
        <w:rPr>
          <w:rFonts w:ascii="Times New Roman;Times;serif" w:hAnsi="Times New Roman;Times;serif"/>
          <w:sz w:val="24"/>
        </w:rPr>
        <w:t xml:space="preserve">or in any Loan Document, the Loan Documents may be amended as necessary or appropriate, in the reasonable opinion of the Administrative Agent and the Parent Borrower (and without the consent of any other parties thereto) to effect the provisions of or be consistent with this </w:t>
      </w:r>
      <w:r>
        <w:rPr>
          <w:rFonts w:ascii="Times New Roman;Times;serif" w:hAnsi="Times New Roman;Times;serif"/>
          <w:sz w:val="24"/>
          <w:u w:val="single"/>
        </w:rPr>
        <w:t>Section 5.11(a)(i)</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such security documents (or amendments to existing Security Documents), as well as appropriate UCC, Australian PPSA, Canadian PPSA financing statements or statements of particulars of charge for registration with the Accounting and Corporate Regulatory Authority of Singapore (or analogous local law filings) and filings with the United States Patent and Trademark Office and United States Copyright Office (or analogous local law filings), all in form and substance reasonably satisfactory to the Administrative Agent, sufficient to cause the Obligations to be secured by a perfected first-priority Lien on all of the assets (including all outstanding Equity Interests in any of its Subsidiaries, but excluding, for the avoidance of doubt, real property which is covered by </w:t>
      </w:r>
      <w:r>
        <w:rPr>
          <w:rFonts w:ascii="Times New Roman;Times;serif" w:hAnsi="Times New Roman;Times;serif"/>
          <w:sz w:val="24"/>
          <w:u w:val="single"/>
        </w:rPr>
        <w:t>Section 5.11(c)</w:t>
      </w:r>
      <w:r>
        <w:rPr>
          <w:rFonts w:ascii="Times New Roman;Times;serif" w:hAnsi="Times New Roman;Times;serif"/>
          <w:sz w:val="20"/>
        </w:rPr>
        <w:t xml:space="preserve"> </w:t>
      </w:r>
      <w:r>
        <w:rPr>
          <w:rFonts w:ascii="Times New Roman;Times;serif" w:hAnsi="Times New Roman;Times;serif"/>
          <w:sz w:val="24"/>
        </w:rPr>
        <w:t>and Excluded Property (other than in relation to any floating charge (or its equivalent) pursuant to a UK Security Document)) of such Subsidiary, so that the Administrative Agent, for its benefit and the benefit of the Secured Parties, shall have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legal, valid and enforceable perfected first-priority Lien on the Collateral (and subject to any limitations and exceptions consistent with those contained in any such documents or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 pledge agreement (or an addendum to an applicable existing Security Document), in form and substance reasonably satisfactory to the Administrative Agent, and appropriate certificates and powers or financing statements, pledging (to the extent not excluded or excused by the Security Documents) all of the direct or beneficial Equity Interests in such Subsidiary (for the avoidance of doubt, 100% of the Equity Interests of each Borrower and Subsidiary that is a Guarantor shall be required to be pledged under Security Documents governed by the local laws of the jurisdiction of such Borrower’s or such Subsidiary’s organization or incorporation);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all other documentation, including such proof of corporate, partnership or limited liability company action, incumbency of officers, and customary joinder and, if reasonably requested by the Administrative Agent, one or more opinions of counsel reasonably satisfactory to the Administrative Agent, which in its reasonable opinion is appropriate with respect to the execution and delivery of the applicable documentation referred to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Subject to any applicable limitations set forth in the Security Documents, with respect to any property acquired from time to time by any Loan Party (other than any property described in paragraph (c) below or Excluded Property) as to which the Administrative Agent, for the benefit of the Secured Parties, does not have a perfected Lien as required herein, the applicable Loan Party will promptly (i) execute and deliver to the Administrative Agent such amendments to the Security Documents or such other documents as the Administrative Agent deems necessary or reasonably advisable to grant to the Administrative Agent, for the benefit of the Secured Parties, a security interest in such property and (ii) take all actions necessary or reasonably advisable to grant to the Administrative Agent, for the benefit of the Secured Parties, a perfected security interest in any such property, including the filing of UCC, Australian PPSA, Canadian PPSA financing statements or statements of particulars of charge for registration with the Accounting and Corporate Regulatory Authority of Singapore (or analogous local filings) in such jurisdictions as may be required by the Security Documents or by law or as may be requested by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With respect to any fee interest in any real property at any location having a value (together with improvements thereof) of at least the Dollar Equivalent of $5,000,000 acquired after the Effective Date by any Loan Party (including a Person that owns such real property and becomes a Loan Party pursuant to </w:t>
      </w:r>
      <w:r>
        <w:rPr>
          <w:rFonts w:ascii="Times New Roman;Times;serif" w:hAnsi="Times New Roman;Times;serif"/>
          <w:sz w:val="24"/>
          <w:u w:val="single"/>
        </w:rPr>
        <w:t>Section 5.11(a)</w:t>
      </w:r>
      <w:r>
        <w:rPr>
          <w:rFonts w:ascii="Times New Roman;Times;serif" w:hAnsi="Times New Roman;Times;serif"/>
          <w:sz w:val="24"/>
        </w:rPr>
        <w:t>) (other than any Excluded Property), within sixty (60) days after the acquisition thereof (or 120 days in the case of the establishment or amendment of any Mortgage) (or such later date as the Administrative Agent shall agree to in its sole discretion), the applicable Loan Party shall (i) execute and deliver a first priority Mortgage, in favor of the Administrative Agent, for the benefit of the Secured Parties, covering such real property, (ii) if reasonably requested by the Administrative Agent, provide the Lenders with (x) title and extended coverage insurance covering such real property in an amount at least equal to the purchase price of such real property (or such other amount as shall be reasonably satisfactory to the Administrative Agent) as well as a current ALTA survey thereof, together with a surveyor’s certificate and (y) any consents or estoppels reasonably deemed necessary by the Administrative Agent in connection with such Mortgage, each of the foregoing in form and substance reasonably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satisfactory to the Administrative Agent and (iii) if reasonably requested by the Administrative Agent, deliver to the Administrative Agent legal opinions relating to the matters described above, which opinions shall be in form and substance, and from counsel, reasonably satisfactory to the Administrative Agent. Notwithstanding anything to the contrary contained in this Agreement (including this </w:t>
      </w:r>
      <w:r>
        <w:rPr>
          <w:rFonts w:ascii="Times New Roman;Times;serif" w:hAnsi="Times New Roman;Times;serif"/>
          <w:sz w:val="24"/>
          <w:u w:val="single"/>
        </w:rPr>
        <w:t>Section 5.11</w:t>
      </w:r>
      <w:r>
        <w:rPr>
          <w:rFonts w:ascii="Times New Roman;Times;serif" w:hAnsi="Times New Roman;Times;serif"/>
          <w:sz w:val="24"/>
        </w:rPr>
        <w:t>) or in any other Loan Document, the Administrative Agent shall not accept delivery of any Mortgage from any Loan Party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At the time any Loan Party forms any direct or indirect Receivables Subsidiary, such Loan Party shall within sixty (60) days (or such later date as permitted by the Administrative Agent in its sole discretion) of such formation, provide to the Administrative Agent a pledge agreement (or an addendum to an applicable existing Security Document), in form and substance reasonably satisfactory to the Administrative Agent, and appropriate certificates and powers or financing statements, pledging all of the direct or beneficial Equity Interests in such Receivables Subsidiary; provided that the security interest of the Administrative Agent in the Equity Interests of any Receivables Subsidiary shall be subordinated to any Liens on such Equity Interests granted by such Loan Party in favor of the agent, trustee, lenders or other secured parties under the Permitted Receivables Facility to which such Receivables Subsidiary is a party pursuant to an intercreditor agreement, in form and substance reasonably acceptable to the Administrative Agent, that provides for a “silent second” Lien in favor of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Subject to the terms of the Security Documents, the Parent Borrower will, and will cause each Loan Party to, execute any and all further documents, financing statements, agreements and instruments, and take all such further actions (including the filing and recording of financing statements), which may be required under any applicable law, or which the Administrative Agent may reasonably request, to effectuate the transactions contemplated by the Loan Documents or to grant, preserve, protect or perfect the Liens created or intended to be created by the Security Documents or the validity or priority of any such Lien, all at the expense of the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Notwithstanding the foregoing or anything to the contrary in this Agreement, none of the Parent or its Subsidiaries shall be required to take any action to create or perfect any security interest in the Collateral (including the registration of Intellectual Property in, and the execution of any agreement, document or other instrument governed by the law of, and the filing of any agreement, document or other instrument) in any jurisdiction other than any Covered Jurisdiction or the jurisdiction of organization or incorporation of any Foreign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(i) Subject to </w:t>
      </w:r>
      <w:r>
        <w:rPr>
          <w:rFonts w:ascii="Times New Roman;Times;serif" w:hAnsi="Times New Roman;Times;serif"/>
          <w:sz w:val="24"/>
          <w:u w:val="single"/>
        </w:rPr>
        <w:t>Section 5.16</w:t>
      </w:r>
      <w:r>
        <w:rPr>
          <w:rFonts w:ascii="Times New Roman;Times;serif" w:hAnsi="Times New Roman;Times;serif"/>
          <w:sz w:val="24"/>
        </w:rPr>
        <w:t xml:space="preserve">, the Parent Borrower agrees to cause Fluence Energy Philippines to become a Guarantor, enter into applicable Philippine Security Documents, including the Fluence Energy Philippines Guaranty, and take such other actions as required by this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and the terms of such Philippine Security Documents; </w:t>
      </w:r>
      <w:r>
        <w:rPr>
          <w:rFonts w:ascii="Times New Roman;Times;serif" w:hAnsi="Times New Roman;Times;serif"/>
          <w:sz w:val="24"/>
          <w:u w:val="single"/>
        </w:rPr>
        <w:t>provided</w:t>
      </w:r>
      <w:r>
        <w:rPr>
          <w:rFonts w:ascii="Times New Roman;Times;serif" w:hAnsi="Times New Roman;Times;serif"/>
          <w:sz w:val="24"/>
        </w:rPr>
        <w:t>, that, such Philippines Security Documents and such actions (including with respect to the perfection of the security interests granted to the Administrative Agent thereunder) shall be subject to the following: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At all times following the Amendment No. 3 Effective Date, the aggregate amount of Obligations which are secured under the applicable Philippine Security Documents on the Equity Interest owned by the Parent Borrower in Fluence Energy Philippines and the Collateral of the Philippines Guarantors (collectively, the “</w:t>
      </w:r>
      <w:r>
        <w:rPr>
          <w:rFonts w:ascii="Times New Roman;Times;serif" w:hAnsi="Times New Roman;Times;serif"/>
          <w:b/>
          <w:sz w:val="24"/>
        </w:rPr>
        <w:t>Philippines Collateral</w:t>
      </w:r>
      <w:r>
        <w:rPr>
          <w:rFonts w:ascii="Times New Roman;Times;serif" w:hAnsi="Times New Roman;Times;serif"/>
          <w:sz w:val="20"/>
        </w:rPr>
        <w:t>”</w:t>
      </w:r>
      <w:r>
        <w:rPr>
          <w:rFonts w:ascii="Times New Roman;Times;serif" w:hAnsi="Times New Roman;Times;serif"/>
          <w:sz w:val="24"/>
        </w:rPr>
        <w:t>) shall be $62,500,000 (the “</w:t>
      </w:r>
      <w:r>
        <w:rPr>
          <w:rFonts w:ascii="Times New Roman;Times;serif" w:hAnsi="Times New Roman;Times;serif"/>
          <w:b/>
          <w:sz w:val="24"/>
        </w:rPr>
        <w:t>Philippines Secured Amount</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4"/>
        </w:rPr>
        <w:t>, that if on the last day of any fiscal quarter of the Parent either the aggregate revenues of the Philippines Guarantors for the four fiscal quarter period then ended or the total assets of the Philippines Guarantors as of such date exceeds the applicable percentage set forth on the grid below of, respectively, Total Revenues (for such period) or Total Assets (as of such date), then the Parent Borrower shall, within 30 days following the end of such fiscal quarter (or such longer period as the Administrative Agent may approve), ensure that such actions are taken (including the execution of any required supplements to the applicable Philippine Security Documents and the payment of any required Philippines documentary, stamp or other tax) for the Philippines Secured Amount to be increased to the applicable amount set forth on the grid below corresponding to such percentage:</w:t>
      </w:r>
    </w:p>
    <w:p>
      <w:pPr>
        <w:pStyle w:val="TextBody"/>
        <w:bidi w:val="0"/>
        <w:spacing w:before="0" w:after="0"/>
        <w:ind w:left="0" w:right="0" w:hanging="0"/>
        <w:jc w:val="left"/>
        <w:rPr/>
      </w:pPr>
      <w:r>
        <w:rPr/>
        <w:t>​</w:t>
      </w:r>
    </w:p>
    <w:tbl>
      <w:tblPr>
        <w:tblW w:w="7307" w:type="dxa"/>
        <w:jc w:val="left"/>
        <w:tblInd w:w="0" w:type="dxa"/>
        <w:tblLayout w:type="fixed"/>
        <w:tblCellMar>
          <w:top w:w="28" w:type="dxa"/>
          <w:left w:w="28" w:type="dxa"/>
          <w:bottom w:w="28" w:type="dxa"/>
          <w:right w:w="28" w:type="dxa"/>
        </w:tblCellMar>
      </w:tblPr>
      <w:tblGrid>
        <w:gridCol w:w="4441"/>
        <w:gridCol w:w="2866"/>
      </w:tblGrid>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center"/>
              <w:rPr>
                <w:rFonts w:ascii="Times New Roman;Times;serif" w:hAnsi="Times New Roman;Times;serif"/>
                <w:sz w:val="24"/>
              </w:rPr>
            </w:pPr>
            <w:r>
              <w:rPr>
                <w:rFonts w:ascii="Times New Roman;Times;serif" w:hAnsi="Times New Roman;Times;serif"/>
                <w:sz w:val="24"/>
              </w:rPr>
              <w:t>Percentage of Total Revenues or Total Assets</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center"/>
              <w:rPr>
                <w:rFonts w:ascii="Times New Roman;Times;serif" w:hAnsi="Times New Roman;Times;serif"/>
                <w:sz w:val="24"/>
              </w:rPr>
            </w:pPr>
            <w:r>
              <w:rPr>
                <w:rFonts w:ascii="Times New Roman;Times;serif" w:hAnsi="Times New Roman;Times;serif"/>
                <w:sz w:val="24"/>
              </w:rPr>
              <w:t>Philippines Secured Amount</w:t>
            </w:r>
          </w:p>
        </w:tc>
      </w:tr>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&gt;40%</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$125,000,000</w:t>
            </w:r>
          </w:p>
        </w:tc>
      </w:tr>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&gt;50%</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$187,500,000</w:t>
            </w:r>
          </w:p>
        </w:tc>
      </w:tr>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&gt;60%</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$250,000,000</w:t>
            </w:r>
          </w:p>
        </w:tc>
      </w:tr>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&gt;70%</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$375,000,000</w:t>
            </w:r>
          </w:p>
        </w:tc>
      </w:tr>
      <w:tr>
        <w:trPr/>
        <w:tc>
          <w:tcPr>
            <w:tcW w:w="44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&gt;80%</w:t>
            </w:r>
          </w:p>
        </w:tc>
        <w:tc>
          <w:tcPr>
            <w:tcW w:w="28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60"/>
              <w:ind w:left="115" w:right="115" w:hanging="0"/>
              <w:jc w:val="both"/>
              <w:rPr>
                <w:rFonts w:ascii="Times New Roman;Times;serif" w:hAnsi="Times New Roman;Times;serif"/>
                <w:sz w:val="24"/>
              </w:rPr>
            </w:pPr>
            <w:r>
              <w:rPr>
                <w:rFonts w:ascii="Times New Roman;Times;serif" w:hAnsi="Times New Roman;Times;serif"/>
                <w:sz w:val="24"/>
              </w:rPr>
              <w:t>$500,000,000</w:t>
            </w:r>
          </w:p>
        </w:tc>
      </w:tr>
    </w:tbl>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Parent Borrower shall cause the Administrative Agent’s security interest in the Philippines Collateral pursuant to the applicable Philippine Security Documents to be perfected as follows: (1) in the case of capital stock, through providing control arrangements under the Philippine Security Documents and delivery of the duly endorsed stock certificates to the Administrative Agent; (2) in the case of bank deposit or similar accounts, through the execution of control agreements in accordance with (and at all times following the execution of) the applicable Philippine Security Documents; (3) in the case of all other property and assets constituting Philippines Collateral subject of a security interest which can be perfected by means of a control agreement or possession (other than those assets referred to in (1) and (2)), if any, through execution of control agreements in accordance with (and at all times following the execution of) the applicable Philippine Security Documents or through delivery of possession to the Administrative Agent of such property or assets, as the case may be; and (4) in the case of all other property and assets constituting Philippines Collateral subject of a security interest which cannot be perfected by means of a control agreement or possession, by the registration of such security interests (in accordance with Philippines law) with (A) the Philippines Personal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Property Security Registry (“</w:t>
      </w:r>
      <w:r>
        <w:rPr>
          <w:rFonts w:ascii="Times New Roman;Times;serif" w:hAnsi="Times New Roman;Times;serif"/>
          <w:b/>
          <w:sz w:val="24"/>
        </w:rPr>
        <w:t>PPSR</w:t>
      </w:r>
      <w:r>
        <w:rPr>
          <w:rFonts w:ascii="Times New Roman;Times;serif" w:hAnsi="Times New Roman;Times;serif"/>
          <w:sz w:val="20"/>
        </w:rPr>
        <w:t>”</w:t>
      </w:r>
      <w:r>
        <w:rPr>
          <w:rFonts w:ascii="Times New Roman;Times;serif" w:hAnsi="Times New Roman;Times;serif"/>
          <w:sz w:val="24"/>
        </w:rPr>
        <w:t>) within five business days of the PPSR becoming operational for the purpose of accepting registration of such security interests, or (B) in the event that such registration with the PPSR does not occur on or before the date that is six months after the Amendment No. 3 Effective Date (or such later date as the Administrative Agent may approve), the Chattel Mortgage Registry (“</w:t>
      </w:r>
      <w:r>
        <w:rPr>
          <w:rFonts w:ascii="Times New Roman;Times;serif" w:hAnsi="Times New Roman;Times;serif"/>
          <w:b/>
          <w:sz w:val="24"/>
        </w:rPr>
        <w:t>CMR</w:t>
      </w:r>
      <w:r>
        <w:rPr>
          <w:rFonts w:ascii="Times New Roman;Times;serif" w:hAnsi="Times New Roman;Times;serif"/>
          <w:sz w:val="20"/>
        </w:rPr>
        <w:t>”</w:t>
      </w:r>
      <w:r>
        <w:rPr>
          <w:rFonts w:ascii="Times New Roman;Times;serif" w:hAnsi="Times New Roman;Times;serif"/>
          <w:sz w:val="24"/>
        </w:rPr>
        <w:t>) (in each case, together with payment of any applicable required registration or similar fees) (it being understood that (I) such registration with the PPSR or the CMR, as the case may be, shall be limited to the applicable Philippines Secured Amount at such time; and (II) if the Philippines Secured Amount is increased in accordance with clause (g)(i)(A) above, additional registration with the PPSR or the CMR (in each case, together with payment of any additional required registration or similar fees), as the case may be, shall be made at such time as the applicable actions referred to in clause (g)(i)(A) above are made in connection with such increase);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At all times following the Amendment No. 3 Effective Date until the date on which the applicable registration of the Administrative Agent’s security interest in the Philippines Collateral is made with the PPSR or the CMR in accordance with clause (g)(i)(B) above, the Parent Borrower will ensure that (notwithstanding the provisions of Article 6) Fluence Energy Philippines shall not: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incur any Indebtedness for borrowed money or Guarantees with respect thereto, other than Indebtedness (I) under the Loan Documents, (II) owed to the Borrowers or any of their Subsidiaries, (III) in connection with credit card programs incurred in the ordinary course of business in a manner consistent with past practice or (IV) as set forth on </w:t>
      </w:r>
      <w:r>
        <w:rPr>
          <w:rFonts w:ascii="Times New Roman;Times;serif" w:hAnsi="Times New Roman;Times;serif"/>
          <w:sz w:val="24"/>
          <w:u w:val="single"/>
        </w:rPr>
        <w:t>Schedule 6.01</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create or suffer to exist any Lien on any property or asset now owned or hereafter acquired by it, other than (I) security interests created under the Security Documents, (II) Permitted Encumbrances which do not secure Indebtedness for borrowed money and (III) as set forth on </w:t>
      </w:r>
      <w:r>
        <w:rPr>
          <w:rFonts w:ascii="Times New Roman;Times;serif" w:hAnsi="Times New Roman;Times;serif"/>
          <w:sz w:val="24"/>
          <w:u w:val="single"/>
        </w:rPr>
        <w:t>Schedule 6.02</w:t>
      </w:r>
      <w:r>
        <w:rPr>
          <w:rFonts w:ascii="Times New Roman;Times;serif" w:hAnsi="Times New Roman;Times;serif"/>
          <w:sz w:val="24"/>
        </w:rPr>
        <w: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engage in any material business activity or acquire any material assets other than (I) performing its obligations under customer supply and other agreements to which it is a party on the Amendment No. 3 Effective Date, (II) performing its obligations under the Loan Documents and other Indebtedness and Liens (including the granting of Liens which are Permitted Encumbrances) permitted by this </w:t>
      </w:r>
      <w:r>
        <w:rPr>
          <w:rFonts w:ascii="Times New Roman;Times;serif" w:hAnsi="Times New Roman;Times;serif"/>
          <w:sz w:val="24"/>
          <w:u w:val="single"/>
        </w:rPr>
        <w:t>Section 5.11(g)</w:t>
      </w:r>
      <w:r>
        <w:rPr>
          <w:rFonts w:ascii="Times New Roman;Times;serif" w:hAnsi="Times New Roman;Times;serif"/>
          <w:sz w:val="24"/>
        </w:rPr>
        <w:t xml:space="preserve">; (III) paying dividends with respect to its own Equity Interests; (IV) filing tax reports and paying Taxes and other customary obligations in the ordinary course (and contesting any Taxes); (V) preparing reports to Governmental Authorities; (VI) holding director and shareholder meetings, preparing organizational records and other organizational activities required to maintain its separate organizational structure or to comply with applicable laws; (VII) holding cash and Cash Equivalents including maintaining bank deposit and securities accounts, (VIII) providing indemnification for its officers, directors, members of management, employees and advisors or consultants and other ordinary course obligations; (IX) participating in tax, accounting and other administrative matters; (X) the performance of its obligations under any document or agreement contemplated by this </w:t>
      </w:r>
      <w:r>
        <w:rPr>
          <w:rFonts w:ascii="Times New Roman;Times;serif" w:hAnsi="Times New Roman;Times;serif"/>
          <w:sz w:val="24"/>
          <w:u w:val="single"/>
        </w:rPr>
        <w:t>Section 5.11(g)</w:t>
      </w:r>
      <w:r>
        <w:rPr>
          <w:rFonts w:ascii="Times New Roman;Times;serif" w:hAnsi="Times New Roman;Times;serif"/>
          <w:sz w:val="24"/>
        </w:rPr>
        <w:t>; (XI) complying with applicable laws (including with respect to the maintenance of 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corporate existence and activities incidental thereto); (XII) the maintenance of its legal existence (including the ability to incur and pay, as applicable, fees, costs and expenses and taxes related to such maintenance); and (XIII) activities incidental or reasonably related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5.12</w:t>
      </w:r>
      <w:r>
        <w:rPr>
          <w:rFonts w:ascii="Times New Roman;Times;serif" w:hAnsi="Times New Roman;Times;serif"/>
          <w:sz w:val="24"/>
          <w:u w:val="single"/>
        </w:rPr>
        <w:t>Cash Management; Control Agreements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Subject to </w:t>
      </w:r>
      <w:r>
        <w:rPr>
          <w:rFonts w:ascii="Times New Roman;Times;serif" w:hAnsi="Times New Roman;Times;serif"/>
          <w:sz w:val="24"/>
          <w:u w:val="single"/>
        </w:rPr>
        <w:t>Section 5.16</w:t>
      </w:r>
      <w:r>
        <w:rPr>
          <w:rFonts w:ascii="Times New Roman;Times;serif" w:hAnsi="Times New Roman;Times;serif"/>
          <w:sz w:val="24"/>
        </w:rPr>
        <w:t>, each Loan Party shall (i) establish and maintain cash management arrangements relative to Deposit Accounts, Securities Accounts and other bank accounts (other than Excluded Accounts) of a type and on customary terms at one or more Lenders or Permitted Third Party Banks (each a “</w:t>
      </w:r>
      <w:r>
        <w:rPr>
          <w:rFonts w:ascii="Times New Roman;Times;serif" w:hAnsi="Times New Roman;Times;serif"/>
          <w:b/>
          <w:sz w:val="24"/>
        </w:rPr>
        <w:t>Controlled Account Bank</w:t>
      </w:r>
      <w:r>
        <w:rPr>
          <w:rFonts w:ascii="Times New Roman;Times;serif" w:hAnsi="Times New Roman;Times;serif"/>
          <w:sz w:val="20"/>
        </w:rPr>
        <w:t>”</w:t>
      </w:r>
      <w:r>
        <w:rPr>
          <w:rFonts w:ascii="Times New Roman;Times;serif" w:hAnsi="Times New Roman;Times;serif"/>
          <w:sz w:val="24"/>
        </w:rPr>
        <w:t>), and shall take commercially reasonable steps to ensure that all of its Account Debtors forward payment of the amounts owed by them directly to their respective Controlled Account at a Controlled Account Bank, and (ii) deposit or cause to be deposited promptly, and in any event no later than the second Business Day after the date of receipt thereof, all of their Collections (including those sent directly by their Account Debtors to a Loan Party) into a Deposit Account or Securities Account (in each case, other than an Excluded Account) of such Loan Party (each, a “</w:t>
      </w:r>
      <w:r>
        <w:rPr>
          <w:rFonts w:ascii="Times New Roman;Times;serif" w:hAnsi="Times New Roman;Times;serif"/>
          <w:b/>
          <w:sz w:val="24"/>
        </w:rPr>
        <w:t>Controlled Account</w:t>
      </w:r>
      <w:r>
        <w:rPr>
          <w:rFonts w:ascii="Times New Roman;Times;serif" w:hAnsi="Times New Roman;Times;serif"/>
          <w:sz w:val="20"/>
        </w:rPr>
        <w:t>”</w:t>
      </w:r>
      <w:r>
        <w:rPr>
          <w:rFonts w:ascii="Times New Roman;Times;serif" w:hAnsi="Times New Roman;Times;serif"/>
          <w:sz w:val="24"/>
        </w:rPr>
        <w:t xml:space="preserve">) at one of the Controlled Account Banks. For the avoidance of doubt, </w:t>
      </w:r>
      <w:r>
        <w:rPr>
          <w:rFonts w:ascii="Times New Roman;Times;serif" w:hAnsi="Times New Roman;Times;serif"/>
          <w:b/>
          <w:color w:val="0000FF"/>
          <w:sz w:val="24"/>
        </w:rPr>
        <w:t>(x)</w:t>
      </w:r>
      <w:r>
        <w:rPr>
          <w:rFonts w:ascii="Times New Roman;Times;serif" w:hAnsi="Times New Roman;Times;serif"/>
          <w:sz w:val="20"/>
        </w:rPr>
        <w:t xml:space="preserve"> </w:t>
      </w:r>
      <w:r>
        <w:rPr>
          <w:rFonts w:ascii="Times New Roman;Times;serif" w:hAnsi="Times New Roman;Times;serif"/>
          <w:sz w:val="24"/>
        </w:rPr>
        <w:t>the Borrowers shall maintain a separate Controlled Account into which only the Account Debtors of the Borrowers forward payments, which Controlled Account shall not also operate as a disbursement account</w:t>
      </w:r>
      <w:r>
        <w:rPr>
          <w:rFonts w:ascii="Times New Roman;Times;serif" w:hAnsi="Times New Roman;Times;serif"/>
          <w:color w:val="0000FF"/>
          <w:sz w:val="20"/>
        </w:rPr>
        <w:t xml:space="preserve"> </w:t>
      </w:r>
      <w:r>
        <w:rPr>
          <w:rFonts w:ascii="Times New Roman;Times;serif" w:hAnsi="Times New Roman;Times;serif"/>
          <w:b/>
          <w:color w:val="0000FF"/>
          <w:sz w:val="24"/>
        </w:rPr>
        <w:t>and (y) the Specified Cash Collateral Account shall be subject to the requirements of Section 5.15</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Subject to </w:t>
      </w:r>
      <w:r>
        <w:rPr>
          <w:rFonts w:ascii="Times New Roman;Times;serif" w:hAnsi="Times New Roman;Times;serif"/>
          <w:sz w:val="24"/>
          <w:u w:val="single"/>
        </w:rPr>
        <w:t>Section 5.16</w:t>
      </w:r>
      <w:r>
        <w:rPr>
          <w:rFonts w:ascii="Times New Roman;Times;serif" w:hAnsi="Times New Roman;Times;serif"/>
          <w:sz w:val="20"/>
        </w:rPr>
        <w:t xml:space="preserve"> </w:t>
      </w:r>
      <w:r>
        <w:rPr>
          <w:rFonts w:ascii="Times New Roman;Times;serif" w:hAnsi="Times New Roman;Times;serif"/>
          <w:sz w:val="24"/>
        </w:rPr>
        <w:t xml:space="preserve">(or, in the case of any Person that becomes a Loan Party after the Effective Date pursuant to </w:t>
      </w:r>
      <w:r>
        <w:rPr>
          <w:rFonts w:ascii="Times New Roman;Times;serif" w:hAnsi="Times New Roman;Times;serif"/>
          <w:sz w:val="24"/>
          <w:u w:val="single"/>
        </w:rPr>
        <w:t>Section 5.11</w:t>
      </w:r>
      <w:r>
        <w:rPr>
          <w:rFonts w:ascii="Times New Roman;Times;serif" w:hAnsi="Times New Roman;Times;serif"/>
          <w:sz w:val="24"/>
        </w:rPr>
        <w:t xml:space="preserve">, or any Deposit Account, Securities Account and other bank account that is not an Excluded Account acquired or opened after the Effective Date, within (x) 90 days for any U.S. Loan Party (or such later date as the Administrative Agent may agree in its discretion), and (y) 90 days for any Foreign Loan Party (or such later date as the Administrative Agent may agree in its discretion) of the date that such Person becomes a Loan Party or the date such Deposit Account, Securities Account or other bank account is opened or acquired, as applicable), subject, in the case of any Deposit Account, Securities Account or other bank account located outside the United States, to the Agreed Security Principles, each Loan Party shall establish and maintain Control Agreements with the Administrative Agent and the applicable Controlled Account Bank with respect to each Loan Party’s Controlled Accounts, as contemplated by the applicable Security Document (or otherwise as contemplated by this </w:t>
      </w:r>
      <w:r>
        <w:rPr>
          <w:rFonts w:ascii="Times New Roman;Times;serif" w:hAnsi="Times New Roman;Times;serif"/>
          <w:sz w:val="24"/>
          <w:u w:val="single"/>
        </w:rPr>
        <w:t>Section 5.12</w:t>
      </w:r>
      <w:r>
        <w:rPr>
          <w:rFonts w:ascii="Times New Roman;Times;serif" w:hAnsi="Times New Roman;Times;serif"/>
          <w:sz w:val="20"/>
        </w:rPr>
        <w:t xml:space="preserve"> </w:t>
      </w:r>
      <w:r>
        <w:rPr>
          <w:rFonts w:ascii="Times New Roman;Times;serif" w:hAnsi="Times New Roman;Times;serif"/>
          <w:sz w:val="24"/>
        </w:rPr>
        <w:t xml:space="preserve">if specified herein) to which such Loan Party is party or otherwise; </w:t>
      </w: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 xml:space="preserve">that, subject, in the case of any Deposit Accounts, Securities Accounts or other bank accounts located outside the United States, to the Agreed Security Principles, it is understood and agreed that the Loan Parties shall be required to satisfy all requirements under this </w:t>
      </w:r>
      <w:r>
        <w:rPr>
          <w:rFonts w:ascii="Times New Roman;Times;serif" w:hAnsi="Times New Roman;Times;serif"/>
          <w:sz w:val="24"/>
          <w:u w:val="single"/>
        </w:rPr>
        <w:t>Section 5.12</w:t>
      </w:r>
      <w:r>
        <w:rPr>
          <w:rFonts w:ascii="Times New Roman;Times;serif" w:hAnsi="Times New Roman;Times;serif"/>
          <w:sz w:val="20"/>
        </w:rPr>
        <w:t xml:space="preserve"> </w:t>
      </w:r>
      <w:r>
        <w:rPr>
          <w:rFonts w:ascii="Times New Roman;Times;serif" w:hAnsi="Times New Roman;Times;serif"/>
          <w:sz w:val="24"/>
        </w:rPr>
        <w:t xml:space="preserve">in respect of Controlled Accounts within the time periods specified therefor herein or, with respect to any Deposit Accounts, Securities Accounts or other bank accounts located outside the United States, specified in the Agreed Security Principles (including, without limitation, the giving of notices to Controlled Account Banks and the receipt of acknowledgements from Controlled Account Banks). Except as otherwise agreed by the Administrative Agent in its Permitted Discretion, each such Control Agreement </w:t>
      </w:r>
      <w:r>
        <w:rPr>
          <w:rFonts w:ascii="Times New Roman;Times;serif" w:hAnsi="Times New Roman;Times;serif"/>
          <w:b/>
          <w:color w:val="0000FF"/>
          <w:sz w:val="24"/>
        </w:rPr>
        <w:t>(other than the Control Agreement with respect to the Specified Cash Collateral Account)</w:t>
      </w:r>
      <w:r>
        <w:rPr>
          <w:rFonts w:ascii="Times New Roman;Times;serif" w:hAnsi="Times New Roman;Times;serif"/>
          <w:sz w:val="20"/>
        </w:rPr>
        <w:t xml:space="preserve"> </w:t>
      </w:r>
      <w:r>
        <w:rPr>
          <w:rFonts w:ascii="Times New Roman;Times;serif" w:hAnsi="Times New Roman;Times;serif"/>
          <w:sz w:val="24"/>
        </w:rPr>
        <w:t>shall provide, among other things, that (i) the Controlled Account Bank will comply with any instructions originated by the Administrative Agent directing the disposition of the funds in such Controlled Account without further consent by the applicable Loan Party, (ii)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Controlled Account Bank waives, subordinates, or agrees not to exercise any rights of setoff or recoupment or any other claim against the applicable Controlled Account other than for payment of its service fees and other charges directly related to the administration of such Controlled Account and for returned checks or other items of payment, and (iii) upon the instruction of the Administrative Agent (an “</w:t>
      </w:r>
      <w:r>
        <w:rPr>
          <w:rFonts w:ascii="Times New Roman;Times;serif" w:hAnsi="Times New Roman;Times;serif"/>
          <w:b/>
          <w:sz w:val="24"/>
        </w:rPr>
        <w:t>Activation Instruction</w:t>
      </w:r>
      <w:r>
        <w:rPr>
          <w:rFonts w:ascii="Times New Roman;Times;serif" w:hAnsi="Times New Roman;Times;serif"/>
          <w:sz w:val="20"/>
        </w:rPr>
        <w:t>”</w:t>
      </w:r>
      <w:r>
        <w:rPr>
          <w:rFonts w:ascii="Times New Roman;Times;serif" w:hAnsi="Times New Roman;Times;serif"/>
          <w:sz w:val="24"/>
        </w:rPr>
        <w:t>), the Controlled Account Bank will forward all amounts in the applicable Controlled Account to one or more accounts designated by and under the sole control and dominion of the Administrative Agent. The Administrative Agent agrees not to issue an Activation Instruction with respect to the Controlled Accounts unless an Event of Default has occurred and is continuing at the time when such Activation Instruction is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5.13</w:t>
      </w:r>
      <w:r>
        <w:rPr>
          <w:rFonts w:ascii="Times New Roman;Times;serif" w:hAnsi="Times New Roman;Times;serif"/>
          <w:sz w:val="24"/>
          <w:u w:val="single"/>
        </w:rPr>
        <w:t>Further Assurances</w:t>
      </w:r>
      <w:r>
        <w:rPr>
          <w:rFonts w:ascii="Times New Roman;Times;serif" w:hAnsi="Times New Roman;Times;serif"/>
          <w:sz w:val="24"/>
        </w:rPr>
        <w:t>. Promptly upon the reasonable request by the Administrative Agent, each Loan Party will (a) correct any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perfect and maintain the validity, effectiveness and priority of any of the Security Documents and any of the Liens created thereunder and (ii) assure, preserve, protect and confirm more effectively unto the Lenders, or the Administrative Agent for the benefit of the Lenders, the rights granted to the Lenders, or the Administrative Agent for the benefit of the Lenders, under any Loan Document or under any other instrument executed in connection with any Loan Document to which any Loan Party or any of its Subsidiaries is or is to be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5.14</w:t>
      </w:r>
      <w:r>
        <w:rPr>
          <w:rFonts w:ascii="Times New Roman;Times;serif" w:hAnsi="Times New Roman;Times;serif"/>
          <w:sz w:val="24"/>
          <w:u w:val="single"/>
        </w:rPr>
        <w:t>Accuracy of Information</w:t>
      </w:r>
      <w:r>
        <w:rPr>
          <w:rFonts w:ascii="Times New Roman;Times;serif" w:hAnsi="Times New Roman;Times;serif"/>
          <w:sz w:val="24"/>
        </w:rPr>
        <w:t>. Each Loan Party will ensure that any information, including financial statements or other documents, furnished to the Administrative Agent or the Lenders in connection with this Agreement or any amendment or modification hereof or waiver hereunder contains no material misstatement of fact or omits to state any material fact necessary to make the statements therein, at the time that they were made and in the light of the circumstances under which they were made, not materially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5.15</w:t>
      </w:r>
      <w:r>
        <w:rPr>
          <w:rFonts w:ascii="Times New Roman;Times;serif" w:hAnsi="Times New Roman;Times;serif"/>
          <w:b/>
          <w:color w:val="FF0000"/>
          <w:sz w:val="24"/>
        </w:rPr>
        <w:t>[Reserved]</w:t>
      </w:r>
      <w:r>
        <w:rPr>
          <w:rFonts w:ascii="Times New Roman;Times;serif" w:hAnsi="Times New Roman;Times;serif"/>
          <w:b/>
          <w:color w:val="0000FF"/>
          <w:sz w:val="24"/>
        </w:rPr>
        <w:t>Specified Cash Collateral Requirement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(a)</w:t>
      </w:r>
      <w:r>
        <w:rPr>
          <w:rFonts w:ascii="Times New Roman;Times;serif" w:hAnsi="Times New Roman;Times;serif"/>
          <w:b/>
          <w:color w:val="0000FF"/>
          <w:sz w:val="24"/>
        </w:rPr>
        <w:t>If at any time the Total Revolving Extensions of Credit (calculated, with respect to any Loans or LC Exposure denominated in an Alternative Currency, as of the most recent Revaluation Date with respect to such Loan or LC Exposure) exceed $450,000,000, the Borrowers shall deposit and maintain Cash Collateral in United States Dollars in an amount not less than the applicable Minimum Collateral Amount (such Cash Collateral, the “Specified Cash Collateral”) in a segregated restricted deposit account in the name of the Parent Borrower at Citibank, N.A. in the United States (the “Specified Cash Collateral Account”). Subject to any Specified Cash Collateral Release Trigger Event and clause (c) below, the Specified Cash Collateral shall at all times be held in the Specified Cash Collateral Account for the sole benefit of, and under the sole dominion and control of, the Administrative Agent for the benefit of the Secured Parties, and subject to a Control Agreement reasonably satisfactory to the Administrative Agent. The Administrative Agent shall have no obligation to invest all or any part of the Specified Cash Collateral. No interest on the Specified Cash Collateral shall accrue or be payable by the Administrative Agent or any other Person to any Borrower. Subject to any Specified Cash Collateral Release Trigger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color w:val="0000FF"/>
          <w:sz w:val="24"/>
        </w:rPr>
      </w:pPr>
      <w:r>
        <w:rPr>
          <w:rFonts w:ascii="Times New Roman;Times;serif" w:hAnsi="Times New Roman;Times;serif"/>
          <w:b/>
          <w:color w:val="0000FF"/>
          <w:sz w:val="24"/>
        </w:rPr>
        <w:t>Event and clause (c) below, neither of the Borrowers nor any other Person (other than the Administrative Agent or its Affiliates) shall have any control whatsoever over any part of the Specified Cash Collateral or the Specified Cash Collateral Account in which all or any part thereof is maintained. Subject to any Specified Cash Collateral Release Trigger Event and clause (c) below, the Borrowers shall not have any right of withdrawal or transfer from the Specified Cash Collateral Account or to otherwise direct the disposition of the Specified Cash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(b)</w:t>
      </w:r>
      <w:r>
        <w:rPr>
          <w:rFonts w:ascii="Times New Roman;Times;serif" w:hAnsi="Times New Roman;Times;serif"/>
          <w:b/>
          <w:color w:val="0000FF"/>
          <w:sz w:val="24"/>
        </w:rPr>
        <w:t>Each Borrower hereby acknowledges and reaffirms the first priority Lien and security interest heretofore granted by such Borrower in all of such Borrower’s right, title and interest in and to the Specified Cash Collateral and the Specified Cash Collateral Account as security for the Obligations pursuant to and in connection with the U.S. Security Agreement and the other Loan Documents. If at any time the Administrative Agent determines that the Specified Cash Collateral (or any portion thereof) or the Specified Cash Collateral Account is subject to any right or claim of any Person other than the Administrative Agent as herein provided, or that the total amount of the Specified Cash Collateral is less than the applicable Minimum Collateral Amount, the Borrowers will, promptly upon demand by the Administrative Agent, deposit additional Specified Cash Collateral in the Specified Cash Collateral Account in an amount in United States Dollars sufficient to eliminate such deficiency.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(c)</w:t>
      </w:r>
      <w:r>
        <w:rPr>
          <w:rFonts w:ascii="Times New Roman;Times;serif" w:hAnsi="Times New Roman;Times;serif"/>
          <w:b/>
          <w:color w:val="0000FF"/>
          <w:sz w:val="24"/>
        </w:rPr>
        <w:t>Upon the occurrence of a Specified Cash Collateral Release Trigger Event, (i) the Borrowers may request in writing that the Administrative Agent release the Specified Cash Collateral and (ii) the Administrative Agent shall release the Specified Cash Collateral as soon as reasonably practicable (and in any event within two (2) Business Days) after such request (it being understood that the requirements of this Section 5.15 shall apply in the event the Total Revolving Extensions of Credit (calculated, with respect to any Loans or LC Exposure denominated in an Alternative Currency, as of the most recent Revaluation Date with respect to such Loan or LC Exposure) exceed $450,000,000 at any time following any such release).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(d)</w:t>
      </w:r>
      <w:r>
        <w:rPr>
          <w:rFonts w:ascii="Times New Roman;Times;serif" w:hAnsi="Times New Roman;Times;serif"/>
          <w:b/>
          <w:color w:val="0000FF"/>
          <w:sz w:val="24"/>
        </w:rPr>
        <w:t>The Administrative Agent shall have received (i) satisfactory evidence that the Specified Cash Collateral Account has been established at Citibank, N.A. in the United States and (ii) a Control Agreement with respect to the Specified Cash Collateral Account, duly executed by the parties thereto, and the same shall be in full force and effect, in each case on or prior to the earlier of (x) 45 days after the Amendment No. 4 Effective Date (or such later date as the Administrative Agent may agree in its sole discretion) and (y) the date on which the Borrowers deliver a Borrowing Request that would result in the Total Revolving Extensions of Credit (calculated, with respect to any Loans or LC Exposure denominated in an Alternative Currency, as of the most recent Revaluation Date with respect to such Loan or LC Exposure) exceeding $450,000,000.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5.16</w:t>
      </w:r>
      <w:r>
        <w:rPr>
          <w:rFonts w:ascii="Times New Roman;Times;serif" w:hAnsi="Times New Roman;Times;serif"/>
          <w:sz w:val="24"/>
          <w:u w:val="single"/>
        </w:rPr>
        <w:t>Post-Closing Covenants</w:t>
      </w:r>
      <w:r>
        <w:rPr>
          <w:rFonts w:ascii="Times New Roman;Times;serif" w:hAnsi="Times New Roman;Times;serif"/>
          <w:sz w:val="24"/>
        </w:rPr>
        <w:t xml:space="preserve">. Each Loan Party shall, and shall cause its Subsidiaries to, complete the items set forth on </w:t>
      </w:r>
      <w:r>
        <w:rPr>
          <w:rFonts w:ascii="Times New Roman;Times;serif" w:hAnsi="Times New Roman;Times;serif"/>
          <w:sz w:val="24"/>
          <w:u w:val="single"/>
        </w:rPr>
        <w:t>Schedule 5.16</w:t>
      </w:r>
      <w:r>
        <w:rPr>
          <w:rFonts w:ascii="Times New Roman;Times;serif" w:hAnsi="Times New Roman;Times;serif"/>
          <w:sz w:val="20"/>
        </w:rPr>
        <w:t xml:space="preserve"> </w:t>
      </w:r>
      <w:r>
        <w:rPr>
          <w:rFonts w:ascii="Times New Roman;Times;serif" w:hAnsi="Times New Roman;Times;serif"/>
          <w:sz w:val="24"/>
        </w:rPr>
        <w:t>within the time periods set forth therein (or such longer periods of time or on such additional terms, in each case, as agreed to by the Administrative Agent in its sole discretion).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6</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NEGATIVE COVENANTS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Until each of (i) the Commitments have expired or been terminated, (ii) the principal of and interest on each Loan and all other Obligations hereunder (including unreimbursed LC Disbursements, but excluding contingent obligations as to which no claim has been asserted) shall have been paid in full in cash, and (iii) all Letters of Credit shall have (x) expired or terminated, in each case, without any pending draw, (y) been backstopped or Cash Collateralized in an amount not less than the Minimum Collateral Amount or (z) been deemed reissued under another agreement reasonably acceptable to the applicable Issuing Bank, the Loan Parties covenant and agree with the Administrative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6.01</w:t>
      </w:r>
      <w:r>
        <w:rPr>
          <w:rFonts w:ascii="Times New Roman;Times;serif" w:hAnsi="Times New Roman;Times;serif"/>
          <w:sz w:val="24"/>
          <w:u w:val="single"/>
        </w:rPr>
        <w:t>Indebtedness</w:t>
      </w:r>
      <w:r>
        <w:rPr>
          <w:rFonts w:ascii="Times New Roman;Times;serif" w:hAnsi="Times New Roman;Times;serif"/>
          <w:sz w:val="24"/>
        </w:rPr>
        <w:t>. Each Loan Party will not, and will not permit any Subsidiary to, create, incur, assume or permit to exist any Indebtedness other than: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Indebtedness existing on the Effective Date and set forth in </w:t>
      </w:r>
      <w:r>
        <w:rPr>
          <w:rFonts w:ascii="Times New Roman;Times;serif" w:hAnsi="Times New Roman;Times;serif"/>
          <w:sz w:val="24"/>
          <w:u w:val="single"/>
        </w:rPr>
        <w:t>Schedule 6.01</w:t>
      </w:r>
      <w:r>
        <w:rPr>
          <w:rFonts w:ascii="Times New Roman;Times;serif" w:hAnsi="Times New Roman;Times;serif"/>
          <w:sz w:val="20"/>
        </w:rPr>
        <w:t xml:space="preserve"> </w:t>
      </w:r>
      <w:r>
        <w:rPr>
          <w:rFonts w:ascii="Times New Roman;Times;serif" w:hAnsi="Times New Roman;Times;serif"/>
          <w:sz w:val="24"/>
        </w:rPr>
        <w:t>and any Permitted Refinancing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Indebtedness of (i) the Parent Borrower owing to any Subsidiary or the Parent, (ii) any Loan Party owing to the Parent Borrower or any other Subsidiary, (iii) any Subsidiary that is not a Loan Party owing to any other Subsidiary that is not a Loan Party, and (iv) any Subsidiary that is not a Loan Party owing to any Loan Party to the extent permitted pursuant to </w:t>
      </w:r>
      <w:r>
        <w:rPr>
          <w:rFonts w:ascii="Times New Roman;Times;serif" w:hAnsi="Times New Roman;Times;serif"/>
          <w:sz w:val="24"/>
          <w:u w:val="single"/>
        </w:rPr>
        <w:t>Section 6.04(c)(i)</w:t>
      </w:r>
      <w:r>
        <w:rPr>
          <w:rFonts w:ascii="Times New Roman;Times;serif" w:hAnsi="Times New Roman;Times;serif"/>
          <w:sz w:val="24"/>
        </w:rPr>
        <w:t xml:space="preserve">, </w:t>
      </w:r>
      <w:r>
        <w:rPr>
          <w:rFonts w:ascii="Times New Roman;Times;serif" w:hAnsi="Times New Roman;Times;serif"/>
          <w:sz w:val="24"/>
          <w:u w:val="single"/>
        </w:rPr>
        <w:t>Section 6.04(d)</w:t>
      </w:r>
      <w:r>
        <w:rPr>
          <w:rFonts w:ascii="Times New Roman;Times;serif" w:hAnsi="Times New Roman;Times;serif"/>
          <w:sz w:val="24"/>
        </w:rPr>
        <w:t xml:space="preserve">, </w:t>
      </w:r>
      <w:r>
        <w:rPr>
          <w:rFonts w:ascii="Times New Roman;Times;serif" w:hAnsi="Times New Roman;Times;serif"/>
          <w:sz w:val="24"/>
          <w:u w:val="single"/>
        </w:rPr>
        <w:t>Section 6.04(e)</w:t>
      </w:r>
      <w:r>
        <w:rPr>
          <w:rFonts w:ascii="Times New Roman;Times;serif" w:hAnsi="Times New Roman;Times;serif"/>
          <w:sz w:val="24"/>
        </w:rPr>
        <w:t xml:space="preserve">, </w:t>
      </w:r>
      <w:r>
        <w:rPr>
          <w:rFonts w:ascii="Times New Roman;Times;serif" w:hAnsi="Times New Roman;Times;serif"/>
          <w:sz w:val="24"/>
          <w:u w:val="single"/>
        </w:rPr>
        <w:t>Section 6.04(f)</w:t>
      </w:r>
      <w:r>
        <w:rPr>
          <w:rFonts w:ascii="Times New Roman;Times;serif" w:hAnsi="Times New Roman;Times;serif"/>
          <w:sz w:val="24"/>
        </w:rPr>
        <w:t xml:space="preserve">, </w:t>
      </w:r>
      <w:r>
        <w:rPr>
          <w:rFonts w:ascii="Times New Roman;Times;serif" w:hAnsi="Times New Roman;Times;serif"/>
          <w:sz w:val="24"/>
          <w:u w:val="single"/>
        </w:rPr>
        <w:t>Section 6.04(h)</w:t>
      </w:r>
      <w:r>
        <w:rPr>
          <w:rFonts w:ascii="Times New Roman;Times;serif" w:hAnsi="Times New Roman;Times;serif"/>
          <w:sz w:val="24"/>
        </w:rPr>
        <w:t xml:space="preserve">, </w:t>
      </w:r>
      <w:r>
        <w:rPr>
          <w:rFonts w:ascii="Times New Roman;Times;serif" w:hAnsi="Times New Roman;Times;serif"/>
          <w:sz w:val="24"/>
          <w:u w:val="single"/>
        </w:rPr>
        <w:t>Section 6.04(m)</w:t>
      </w:r>
      <w:r>
        <w:rPr>
          <w:rFonts w:ascii="Times New Roman;Times;serif" w:hAnsi="Times New Roman;Times;serif"/>
          <w:sz w:val="24"/>
        </w:rPr>
        <w:t xml:space="preserve">, </w:t>
      </w:r>
      <w:r>
        <w:rPr>
          <w:rFonts w:ascii="Times New Roman;Times;serif" w:hAnsi="Times New Roman;Times;serif"/>
          <w:sz w:val="24"/>
          <w:u w:val="single"/>
        </w:rPr>
        <w:t>Section 6.04(n)</w:t>
      </w:r>
      <w:r>
        <w:rPr>
          <w:rFonts w:ascii="Times New Roman;Times;serif" w:hAnsi="Times New Roman;Times;serif"/>
          <w:sz w:val="24"/>
        </w:rPr>
        <w:t xml:space="preserve">, </w:t>
      </w:r>
      <w:r>
        <w:rPr>
          <w:rFonts w:ascii="Times New Roman;Times;serif" w:hAnsi="Times New Roman;Times;serif"/>
          <w:sz w:val="24"/>
          <w:u w:val="single"/>
        </w:rPr>
        <w:t>Section 6.04(o)</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6.04(r)</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 each case under this clause (b), (x) any Indebtedness of any Loan Party shall be unsecured and shall be subordinated in right of payment to the Obligations pursuant to the Intercompany Subordination Agreement or otherwise on terms customary for intercompany subordinated Indebtedness, as reasonably determined by the Administrative Agent, and (y) if any such Indebtedness owing to any Loan Party shall be evidenced by a promissory note, such promissory note shall have been pledged pursuant to the Security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Guarantee obligations incurred by any Loan Party or Subsidiary thereof of obligations of any other Loan Party or Subsidiary to the extent such obligations are not prohibited hereunder;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Subsidiary that is not a Loan Party shall be permitted to the extent permitted pursuant to </w:t>
      </w:r>
      <w:r>
        <w:rPr>
          <w:rFonts w:ascii="Times New Roman;Times;serif" w:hAnsi="Times New Roman;Times;serif"/>
          <w:sz w:val="24"/>
          <w:u w:val="single"/>
        </w:rPr>
        <w:t>Section 6.04(c)(i)</w:t>
      </w:r>
      <w:r>
        <w:rPr>
          <w:rFonts w:ascii="Times New Roman;Times;serif" w:hAnsi="Times New Roman;Times;serif"/>
          <w:sz w:val="24"/>
        </w:rPr>
        <w:t xml:space="preserve">, </w:t>
      </w:r>
      <w:r>
        <w:rPr>
          <w:rFonts w:ascii="Times New Roman;Times;serif" w:hAnsi="Times New Roman;Times;serif"/>
          <w:sz w:val="24"/>
          <w:u w:val="single"/>
        </w:rPr>
        <w:t>Section 6.04(d)</w:t>
      </w:r>
      <w:r>
        <w:rPr>
          <w:rFonts w:ascii="Times New Roman;Times;serif" w:hAnsi="Times New Roman;Times;serif"/>
          <w:sz w:val="24"/>
        </w:rPr>
        <w:t xml:space="preserve">, </w:t>
      </w:r>
      <w:r>
        <w:rPr>
          <w:rFonts w:ascii="Times New Roman;Times;serif" w:hAnsi="Times New Roman;Times;serif"/>
          <w:sz w:val="24"/>
          <w:u w:val="single"/>
        </w:rPr>
        <w:t>Section 6.04(e)</w:t>
      </w:r>
      <w:r>
        <w:rPr>
          <w:rFonts w:ascii="Times New Roman;Times;serif" w:hAnsi="Times New Roman;Times;serif"/>
          <w:sz w:val="24"/>
        </w:rPr>
        <w:t xml:space="preserve">, </w:t>
      </w:r>
      <w:r>
        <w:rPr>
          <w:rFonts w:ascii="Times New Roman;Times;serif" w:hAnsi="Times New Roman;Times;serif"/>
          <w:sz w:val="24"/>
          <w:u w:val="single"/>
        </w:rPr>
        <w:t>Section 6.04(f)</w:t>
      </w:r>
      <w:r>
        <w:rPr>
          <w:rFonts w:ascii="Times New Roman;Times;serif" w:hAnsi="Times New Roman;Times;serif"/>
          <w:sz w:val="24"/>
        </w:rPr>
        <w:t xml:space="preserve">, </w:t>
      </w:r>
      <w:r>
        <w:rPr>
          <w:rFonts w:ascii="Times New Roman;Times;serif" w:hAnsi="Times New Roman;Times;serif"/>
          <w:sz w:val="24"/>
          <w:u w:val="single"/>
        </w:rPr>
        <w:t>Section 6.04(h)</w:t>
      </w:r>
      <w:r>
        <w:rPr>
          <w:rFonts w:ascii="Times New Roman;Times;serif" w:hAnsi="Times New Roman;Times;serif"/>
          <w:sz w:val="24"/>
        </w:rPr>
        <w:t xml:space="preserve">, </w:t>
      </w:r>
      <w:r>
        <w:rPr>
          <w:rFonts w:ascii="Times New Roman;Times;serif" w:hAnsi="Times New Roman;Times;serif"/>
          <w:sz w:val="24"/>
          <w:u w:val="single"/>
        </w:rPr>
        <w:t>Section 6.04(l)</w:t>
      </w:r>
      <w:r>
        <w:rPr>
          <w:rFonts w:ascii="Times New Roman;Times;serif" w:hAnsi="Times New Roman;Times;serif"/>
          <w:sz w:val="24"/>
        </w:rPr>
        <w:t xml:space="preserve">, </w:t>
      </w:r>
      <w:r>
        <w:rPr>
          <w:rFonts w:ascii="Times New Roman;Times;serif" w:hAnsi="Times New Roman;Times;serif"/>
          <w:sz w:val="24"/>
          <w:u w:val="single"/>
        </w:rPr>
        <w:t>Section 6.04(m)</w:t>
      </w:r>
      <w:r>
        <w:rPr>
          <w:rFonts w:ascii="Times New Roman;Times;serif" w:hAnsi="Times New Roman;Times;serif"/>
          <w:sz w:val="24"/>
        </w:rPr>
        <w:t xml:space="preserve">, </w:t>
      </w:r>
      <w:r>
        <w:rPr>
          <w:rFonts w:ascii="Times New Roman;Times;serif" w:hAnsi="Times New Roman;Times;serif"/>
          <w:sz w:val="24"/>
          <w:u w:val="single"/>
        </w:rPr>
        <w:t>Section 6.04(n)</w:t>
      </w:r>
      <w:r>
        <w:rPr>
          <w:rFonts w:ascii="Times New Roman;Times;serif" w:hAnsi="Times New Roman;Times;serif"/>
          <w:sz w:val="24"/>
        </w:rPr>
        <w:t xml:space="preserve">, </w:t>
      </w:r>
      <w:r>
        <w:rPr>
          <w:rFonts w:ascii="Times New Roman;Times;serif" w:hAnsi="Times New Roman;Times;serif"/>
          <w:sz w:val="24"/>
          <w:u w:val="single"/>
        </w:rPr>
        <w:t>Section 6.04(o)</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6.04(r)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Indebtedness of the Parent Borrower or any Subsidiary constituting Capital Lease Obligations and Purchase Money Indebtedness;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aggregate principal amount of Indebtedness pursuant to this clause (d) shall not exceed in an aggregate principal amount at any time outstanding the greater of (i) $55,000,000 and (ii) 3.0% of the Total Assets at any time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Indebtedness of the Parent Borrower or any Subsidiary in an aggregate principal amount at any time outstanding not to exceed the greater of (i) $195,000,000 and (ii) 11.25% of the Total Assets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w:t>
      </w:r>
      <w:r>
        <w:rPr>
          <w:rFonts w:ascii="Times New Roman;Times;serif" w:hAnsi="Times New Roman;Times;serif"/>
          <w:b/>
          <w:color w:val="0000FF"/>
          <w:sz w:val="24"/>
        </w:rPr>
        <w:t>(A) prior to the Trigger Date such Indebtedness is unsecured and (B) from and after the Trigger Date,</w:t>
      </w:r>
      <w:r>
        <w:rPr>
          <w:rFonts w:ascii="Times New Roman;Times;serif" w:hAnsi="Times New Roman;Times;serif"/>
          <w:sz w:val="20"/>
        </w:rPr>
        <w:t xml:space="preserve"> </w:t>
      </w:r>
      <w:r>
        <w:rPr>
          <w:rFonts w:ascii="Times New Roman;Times;serif" w:hAnsi="Times New Roman;Times;serif"/>
          <w:sz w:val="24"/>
        </w:rPr>
        <w:t xml:space="preserve">such Indebtedness is, if incurred or guaranteed only by Loan Parties, either unsecured or secured by a Lien permitted pursuant to </w:t>
      </w:r>
      <w:r>
        <w:rPr>
          <w:rFonts w:ascii="Times New Roman;Times;serif" w:hAnsi="Times New Roman;Times;serif"/>
          <w:sz w:val="24"/>
          <w:u w:val="single"/>
        </w:rPr>
        <w:t>Section 6.02(o)</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Indebtedness of the Parent Borrower or any Subsidiary so long as the Consolidated Leverage Ratio does not exceed 2.50:1.00 after giving Pro Forma Effect thereto;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any Indebtedness incurred or guaranteed pursuant to this </w:t>
      </w:r>
      <w:r>
        <w:rPr>
          <w:rFonts w:ascii="Times New Roman;Times;serif" w:hAnsi="Times New Roman;Times;serif"/>
          <w:sz w:val="24"/>
          <w:u w:val="single"/>
        </w:rPr>
        <w:t>clause (f)</w:t>
      </w:r>
      <w:r>
        <w:rPr>
          <w:rFonts w:ascii="Times New Roman;Times;serif" w:hAnsi="Times New Roman;Times;serif"/>
          <w:sz w:val="20"/>
        </w:rPr>
        <w:t xml:space="preserve"> </w:t>
      </w:r>
      <w:r>
        <w:rPr>
          <w:rFonts w:ascii="Times New Roman;Times;serif" w:hAnsi="Times New Roman;Times;serif"/>
          <w:sz w:val="24"/>
        </w:rPr>
        <w:t xml:space="preserve">(i) is incurred or guaranteed solely by Loan Parties, (ii) is unsecured, (iii) shall not mature prior to date that is 91 days after the Maturity Date, (iv) either (x) shall not require any payment of principal prior to the Maturity Date or (y) shall not require payments of principal in an aggregate amount </w:t>
      </w:r>
      <w:r>
        <w:rPr>
          <w:rFonts w:ascii="Times New Roman;Times;serif" w:hAnsi="Times New Roman;Times;serif"/>
          <w:i/>
          <w:sz w:val="24"/>
        </w:rPr>
        <w:t>per annum</w:t>
      </w:r>
      <w:r>
        <w:rPr>
          <w:rFonts w:ascii="Times New Roman;Times;serif" w:hAnsi="Times New Roman;Times;serif"/>
          <w:sz w:val="20"/>
        </w:rPr>
        <w:t xml:space="preserve"> </w:t>
      </w:r>
      <w:r>
        <w:rPr>
          <w:rFonts w:ascii="Times New Roman;Times;serif" w:hAnsi="Times New Roman;Times;serif"/>
          <w:sz w:val="24"/>
        </w:rPr>
        <w:t>in excess of 1.0% of the principal amount thereof, and (v) contains terms customary for similar issuances of Indebtedness at such time (as determined in good faith by the Parent Borrower) (it being understood that, other than in the case of any issuance of a debt security, such terms shall be no more restrictive, taken as a whole (as determined in good faith by the Parent Borrower), than the Loans, and in any event no such Indebtedness (including any debt securities) shall contain a financial maintenance covenant more restrictive than any financial maintenance covenant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unsecured Indebtedness of the Parent Borrower or any Subsidiary in an aggregate principal amount not to exceed the greater of (i) $65,000,000 and (ii) 4.0% of the Total Assets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Indebtedness of Subsidiaries that are not Loan Parties in an aggregate principal amount at any time outstanding not to exceed the greater of (i) $50,000,000 and (ii) 3.25% of the Total Assets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Indebtedness incurred pursuant to any agreement or arrangement to provide ordinary course services related to cash management, including treasury, depository, overdraft, credit or debit card, purchase card, electronic funds transfer and other cash management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Obligations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 xml:space="preserve">Indebtedness arising under the Citi Supplier Financing Agreement, only to the extent (A) such agreement pertains to ordinary course supplier financing arrangements and (B) the aggregate principal amount of Indebtedness outstanding thereunder does not exceed $200,000,000 at any time;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the Loan Parties shall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on each date that any Loan Party incurs Indebtedness under the Citi Supplier Financing Agreement that results in the outstanding amount thereunder exceeding $100,000,000 (such excess amount, the “</w:t>
      </w:r>
      <w:r>
        <w:rPr>
          <w:rFonts w:ascii="Times New Roman;Times;serif" w:hAnsi="Times New Roman;Times;serif"/>
          <w:b/>
          <w:sz w:val="24"/>
        </w:rPr>
        <w:t>Supplier Financing Excess Amount</w:t>
      </w:r>
      <w:r>
        <w:rPr>
          <w:rFonts w:ascii="Times New Roman;Times;serif" w:hAnsi="Times New Roman;Times;serif"/>
          <w:sz w:val="20"/>
        </w:rPr>
        <w:t>”</w:t>
      </w:r>
      <w:r>
        <w:rPr>
          <w:rFonts w:ascii="Times New Roman;Times;serif" w:hAnsi="Times New Roman;Times;serif"/>
          <w:sz w:val="24"/>
        </w:rPr>
        <w:t>), it being understood and agreed that solely for the purposes of such pro forma calculation the amount of “Total Liquidity” shall be deemed reduced by the Supplier Financing Excess Amount then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Indebtedness of the Parent Borrower or any Subsidiary thereof in connection with one or more bankers’ acceptances, worker’s compensation claims, surety bonds, appeal bonds, performance bonds or completion guarantees issued in the ordinary course of business or pursuant to self-insurance and similar obligations and not in connection with the borrowing of money or the obtaining of advances or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 xml:space="preserve">Acquired Indebtedness, so long as the Loan Parties shall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after giving effect to the incurrence of such Acquired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obligations under Swap Agreements entered into by the Parent Borrower or its Subsidiaries not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Indebtedness arising from the honoring by a bank or other financial institution of a check, draft or similar instrument drawn against insufficient funds in the ordinary course of business or other cash management services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unsecured Indebtedness arising from agreements of the Parent Borrower or any Subsidiary providing for deferred purchase price for goods or services, earn-outs, indemnification, adjustment of purchase price, seller notes or similar obligations, in each case, incurred or assumed in connection with the acquisition or Disposition of any business, assets or Person otherwise permitted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Indebtedness consisting of the financing of insurance premiums or take-or-pay obligations contained in supply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4"/>
        </w:rPr>
        <w:t>Indebtedness representing deferred compensation to employees, consultants or independent contractors of the Parent Borrower or any Subsidiary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w:t>
      </w:r>
      <w:r>
        <w:rPr>
          <w:rFonts w:ascii="Times New Roman;Times;serif" w:hAnsi="Times New Roman;Times;serif"/>
          <w:sz w:val="24"/>
        </w:rPr>
        <w:t xml:space="preserve">Permitted Factoring Transactions and Permitted Receivables Facilities, in each case, so long as the Loan Parties shall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after giving effect thereto and to the incurrence of Indebtedness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w:t>
      </w:r>
      <w:r>
        <w:rPr>
          <w:rFonts w:ascii="Times New Roman;Times;serif" w:hAnsi="Times New Roman;Times;serif"/>
          <w:sz w:val="24"/>
        </w:rPr>
        <w:t xml:space="preserve">Indebtedness of the Parent Borrower or any Subsidiary incurred in the ordinary course of business under one or more letter of credit facilities in an aggregate face amount not to exceed $250,000,000;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Indebtedness is, if incurred or guaranteed by Loan Parties, either unsecured or secured by a Lien permitted pursuant to </w:t>
      </w:r>
      <w:r>
        <w:rPr>
          <w:rFonts w:ascii="Times New Roman;Times;serif" w:hAnsi="Times New Roman;Times;serif"/>
          <w:sz w:val="24"/>
          <w:u w:val="single"/>
        </w:rPr>
        <w:t>Section 6.02(o)</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(u)</w:t>
      </w:r>
      <w:r>
        <w:rPr>
          <w:rFonts w:ascii="Times New Roman;Times;serif" w:hAnsi="Times New Roman;Times;serif"/>
          <w:sz w:val="24"/>
        </w:rPr>
        <w:t xml:space="preserve">Indebtedness of the Parent permitted under </w:t>
      </w:r>
      <w:r>
        <w:rPr>
          <w:rFonts w:ascii="Times New Roman;Times;serif" w:hAnsi="Times New Roman;Times;serif"/>
          <w:sz w:val="24"/>
          <w:u w:val="single"/>
        </w:rPr>
        <w:t>Section 6.12(a)</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Notwithstanding the foregoing, (i) any Indebtedness owed by a Loan Party to a Subsidiary that is not a Loan Party shall be permitted only to the extent subordinated to the Obligations on customary terms reasonably satisfactory to the Administrative Agent, (ii) in no event shall the sum of the aggregate principal amount of Indebtedness incurred by Subsidiaries that are not Guarantors in reliance on clauses (e), (f), (g), (h) and (m) of this </w:t>
      </w:r>
      <w:r>
        <w:rPr>
          <w:rFonts w:ascii="Times New Roman;Times;serif" w:hAnsi="Times New Roman;Times;serif"/>
          <w:sz w:val="24"/>
          <w:u w:val="single"/>
        </w:rPr>
        <w:t>Section 6.01</w:t>
      </w:r>
      <w:r>
        <w:rPr>
          <w:rFonts w:ascii="Times New Roman;Times;serif" w:hAnsi="Times New Roman;Times;serif"/>
          <w:sz w:val="20"/>
        </w:rPr>
        <w:t xml:space="preserve"> </w:t>
      </w:r>
      <w:r>
        <w:rPr>
          <w:rFonts w:ascii="Times New Roman;Times;serif" w:hAnsi="Times New Roman;Times;serif"/>
          <w:sz w:val="24"/>
        </w:rPr>
        <w:t xml:space="preserve">exceed $125,000,000, (iii) during the Specified Post-Closing Period, for purposes of this </w:t>
      </w:r>
      <w:r>
        <w:rPr>
          <w:rFonts w:ascii="Times New Roman;Times;serif" w:hAnsi="Times New Roman;Times;serif"/>
          <w:sz w:val="24"/>
          <w:u w:val="single"/>
        </w:rPr>
        <w:t>Section 6.01,</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deemed to be a “Loan Party” and (iv) no Indebtedness (other than the Obligations) will be permitted to be secured by Collateral on a senior or pari passu basis with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6.02</w:t>
      </w:r>
      <w:r>
        <w:rPr>
          <w:rFonts w:ascii="Times New Roman;Times;serif" w:hAnsi="Times New Roman;Times;serif"/>
          <w:sz w:val="24"/>
          <w:u w:val="single"/>
        </w:rPr>
        <w:t>Liens</w:t>
      </w:r>
      <w:r>
        <w:rPr>
          <w:rFonts w:ascii="Times New Roman;Times;serif" w:hAnsi="Times New Roman;Times;serif"/>
          <w:sz w:val="24"/>
        </w:rPr>
        <w:t>. Each Loan Party will not, and will not permit any Subsidiary to, create, incur, assume or permit to exist any Lien on any property or asset now owned or hereafter acquired by it except: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Permitted Encumbrances;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any Lien on any property or asset of the Parent or any Subsidiary existing on the Effective Date and set forth in </w:t>
      </w:r>
      <w:r>
        <w:rPr>
          <w:rFonts w:ascii="Times New Roman;Times;serif" w:hAnsi="Times New Roman;Times;serif"/>
          <w:sz w:val="24"/>
          <w:u w:val="single"/>
        </w:rPr>
        <w:t>Schedule 6.02</w:t>
      </w:r>
      <w:r>
        <w:rPr>
          <w:rFonts w:ascii="Times New Roman;Times;serif" w:hAnsi="Times New Roman;Times;serif"/>
          <w:sz w:val="20"/>
        </w:rPr>
        <w:t xml:space="preserve"> </w:t>
      </w:r>
      <w:r>
        <w:rPr>
          <w:rFonts w:ascii="Times New Roman;Times;serif" w:hAnsi="Times New Roman;Times;serif"/>
          <w:sz w:val="24"/>
        </w:rPr>
        <w:t xml:space="preserve">and any modifications, renewals and extensions thereof and any Lien granted as a replacement or substitute therefor;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such Lien shall not apply to any other property or asset of the Parent or any Subsidiary other than improvements thereon or proceeds thereof and (ii) such Lien shall secure only those obligations which it secures on the Effective Date and any Permitted Refinancing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any Lien existing on any property or asset prior to the acquisition thereof by the Parent or any Subsidiary or existing on any property or asset of any Person that becomes a Subsidiary after the Effective Date prior to the time such Person becomes a Subsidiary;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such Lien is not created in contemplation of or in connection with such acquisition or such Person becoming a Subsidiary, as the case may be, (ii) such Lien shall not apply to any other property or assets of the Parent or any Subsidiary and (iii) such Lien shall secure only those obligations which it secures on the date of such acquisition or the date such Person becomes a Subsidiary, as the case may be, and any Permitted Refinancing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Liens on fixed or capital assets acquired, constructed or improved by the Parent Borrower or any Subsidiary;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such security interests secure Indebtedness that is permitted by </w:t>
      </w:r>
      <w:r>
        <w:rPr>
          <w:rFonts w:ascii="Times New Roman;Times;serif" w:hAnsi="Times New Roman;Times;serif"/>
          <w:sz w:val="24"/>
          <w:u w:val="single"/>
        </w:rPr>
        <w:t>Section 6.01(d)</w:t>
      </w:r>
      <w:r>
        <w:rPr>
          <w:rFonts w:ascii="Times New Roman;Times;serif" w:hAnsi="Times New Roman;Times;serif"/>
          <w:sz w:val="24"/>
        </w:rPr>
        <w:t xml:space="preserve">, (ii) such security interests and the Indebtedness secured thereby are initially incurred prior to or within 180 days after such acquisition or the completion of such construction or improvement and (iii) such security interests shall not apply to any other property or assets of the Parent Borrower or any Subsidiary other than the property financed by such Indebtedness and any additions, accessions, parts, attachments or improvements thereon or proceeds and products hereof and customary security deposits and related property;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individual financings provided by one lender may be cross-collateralized to other financings provided by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non-exclusive licenses, sublicenses, leases or subleases granted to others in the ordinary course of business not interfering in any material respect with the business of the Parent Borrower and its Subsidiaries,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the interest and title of a lessor under any operating lease or sublease entered into by the Parent or any Subsidiary in the ordinary course of its business and other statutory and common law landlords’ Liens under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the rights reserved or vested in any Person (including any Governmental Authority) by the terms of any lease, sublease, non-exclusive license, or non-exclusive sublicense held by the Parent or any of its Subsidiaries or by a statutory provision, to terminate any such lease, sublease,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license, or sublicense, or to require annual or periodic payments as a condition to the continuance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the interests of non-exclusive licensors and non-exclusive sublicensors under license and sublicense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in connection with the sale or transfer of any assets in a transaction not prohibited hereunder, customary rights and restrictions contained in agreements relating to such sale or transfer pending the completion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 xml:space="preserve">Liens granted in the ordinary course of business on the unearned portion of insurance premiums securing the financing of insurance premiums to the extent the financing is permitted under </w:t>
      </w:r>
      <w:r>
        <w:rPr>
          <w:rFonts w:ascii="Times New Roman;Times;serif" w:hAnsi="Times New Roman;Times;serif"/>
          <w:sz w:val="24"/>
          <w:u w:val="single"/>
        </w:rPr>
        <w:t>Section 6.01(q)</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Liens on earnest money deposits of cash or Cash Equivalents made in connection with any acquisition not prohibited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bankers’ Liens, rights of setoff and other similar Liens existing solely with respect to cash and Cash Equivalents on deposit in one or more accounts maintained by the Parent or any Subsidiary, in each case granted in the ordinary course of business in favor of the banks, securities intermediaries or other depository institutions with which such accounts are maintained, securing amounts owing to such institutions with respect to cash management and operating account arrangements (including Liens under section 24 or section 25 of the general terms and conditions (</w:t>
      </w:r>
      <w:r>
        <w:rPr>
          <w:rFonts w:ascii="Times New Roman;Times;serif" w:hAnsi="Times New Roman;Times;serif"/>
          <w:i/>
          <w:sz w:val="24"/>
        </w:rPr>
        <w:t>algemene bankvoorwaarden</w:t>
      </w:r>
      <w:r>
        <w:rPr>
          <w:rFonts w:ascii="Times New Roman;Times;serif" w:hAnsi="Times New Roman;Times;serif"/>
          <w:sz w:val="24"/>
        </w:rPr>
        <w:t>) of any member of the Dutch Bankers’ Association (</w:t>
      </w:r>
      <w:r>
        <w:rPr>
          <w:rFonts w:ascii="Times New Roman;Times;serif" w:hAnsi="Times New Roman;Times;serif"/>
          <w:i/>
          <w:sz w:val="24"/>
        </w:rPr>
        <w:t>Nederlandse Vereniging van Banken</w:t>
      </w:r>
      <w:r>
        <w:rPr>
          <w:rFonts w:ascii="Times New Roman;Times;serif" w:hAnsi="Times New Roman;Times;serif"/>
          <w:sz w:val="24"/>
        </w:rPr>
        <w:t>) and similar security under other terms and conditions of such banks);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Liens in the nature of the right of setoff in favor of counterparties to contractual agreements not otherwise prohibited hereunder with the Parent or any of its Subsidiaries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Liens created pursuant to the Security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 xml:space="preserve">other Liens securing obligations in an aggregate amount at any time outstanding not to exceed the greater of (i) $195,000,000 and (ii) 11.25% of the Total Assets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any such Liens on the Collateral shall be subordinated to the Liens of the Administrative Agent under the Security Documents pursuant to a customary intercreditor agreement that is reasonably acceptable to the Administrative Agent and (ii) in no event shall Liens under this clause (o) secure obligations of Subsidiaries that are not Guarantors in excess of $125,000,000;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 xml:space="preserve">Liens on assets of Excluded Subsidiaries securing Indebtedness incurred by Excluded Subsidiaries;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security interests secure Indebtedness that is permitted by </w:t>
      </w:r>
      <w:r>
        <w:rPr>
          <w:rFonts w:ascii="Times New Roman;Times;serif" w:hAnsi="Times New Roman;Times;serif"/>
          <w:sz w:val="24"/>
          <w:u w:val="single"/>
        </w:rPr>
        <w:t>Section 6.01</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any customary encumbrance or restriction (including put and call arrangements) with respect to Equity Interests of any joint venture or similar customary arrangement pursuant to any joint venture or similar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4"/>
        </w:rPr>
        <w:t>Liens on Receivables Assets incurred in connection with Permitted Factoring Transactions and Permitted Receivables Facilities (including Liens on such Receivables Assets resulting from precautionary UCC, Australian PPSA or Canadian PPSA filings or from recharacterization or any such with Permitted Factoring Transactions or Permitted Receivables Facilities as a financing or a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w:t>
      </w:r>
      <w:r>
        <w:rPr>
          <w:rFonts w:ascii="Times New Roman;Times;serif" w:hAnsi="Times New Roman;Times;serif"/>
          <w:sz w:val="24"/>
        </w:rPr>
        <w:t>rights reserved to or vested in any Governmental Authority to control or regulate, or obligations or duties to any Governmental Authority with respect to (i) the use of any real property or vessel, or (ii) any right, power, franchise, grant, license, or permit, including present or future zoning laws, building codes and ordinances, zoning restrictions, or other laws and ordinances restricting the occupancy, use, or enjoyment of real property or vessel;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w:t>
      </w:r>
      <w:r>
        <w:rPr>
          <w:rFonts w:ascii="Times New Roman;Times;serif" w:hAnsi="Times New Roman;Times;serif"/>
          <w:sz w:val="24"/>
        </w:rPr>
        <w:t xml:space="preserve">Liens on assets of a Person existing at the time such Person is acquired or merged with or into or consolidated with the Parent Borrower or any Subsidiary (and not created in connection with or in anticipation or contemplation thereof) to the extent such Liens secure Acquired Indebtedness permitted under </w:t>
      </w:r>
      <w:r>
        <w:rPr>
          <w:rFonts w:ascii="Times New Roman;Times;serif" w:hAnsi="Times New Roman;Times;serif"/>
          <w:sz w:val="24"/>
          <w:u w:val="single"/>
        </w:rPr>
        <w:t>Section 6.01(m)</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4"/>
        </w:rPr>
        <w:t>, that such Liens do not extend to assets not subject to such Liens at the time of acquisition (other than improvements and attachments thereon, accessions thereto and proceeds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(u)</w:t>
      </w:r>
      <w:r>
        <w:rPr>
          <w:rFonts w:ascii="Times New Roman;Times;serif" w:hAnsi="Times New Roman;Times;serif"/>
          <w:sz w:val="24"/>
        </w:rPr>
        <w:t xml:space="preserve">Liens securing Indebtedness permitted under </w:t>
      </w:r>
      <w:r>
        <w:rPr>
          <w:rFonts w:ascii="Times New Roman;Times;serif" w:hAnsi="Times New Roman;Times;serif"/>
          <w:sz w:val="24"/>
          <w:u w:val="single"/>
        </w:rPr>
        <w:t>Section 6.01(l)</w:t>
      </w:r>
      <w:r>
        <w:rPr>
          <w:rFonts w:ascii="Times New Roman;Times;serif" w:hAnsi="Times New Roman;Times;serif"/>
          <w:sz w:val="20"/>
        </w:rPr>
        <w:t xml:space="preserve"> </w:t>
      </w:r>
      <w:r>
        <w:rPr>
          <w:rFonts w:ascii="Times New Roman;Times;serif" w:hAnsi="Times New Roman;Times;serif"/>
          <w:sz w:val="24"/>
        </w:rPr>
        <w:t>on cash collateral or arising from a backstop letter of credit arrangement to the extent permitted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Liens on cash collateral securing standalone letters of credit permitted pursuant to </w:t>
      </w:r>
      <w:r>
        <w:rPr>
          <w:rFonts w:ascii="Times New Roman;Times;serif" w:hAnsi="Times New Roman;Times;serif"/>
          <w:sz w:val="24"/>
          <w:u w:val="single"/>
        </w:rPr>
        <w:t>Section 6.01(t)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(w)</w:t>
      </w:r>
      <w:r>
        <w:rPr>
          <w:rFonts w:ascii="Times New Roman;Times;serif" w:hAnsi="Times New Roman;Times;serif"/>
          <w:sz w:val="24"/>
        </w:rPr>
        <w:t>Liens on cash and Cash Equivalents (and on the related escrow accounts or similar accounts, if any) required to be paid to the lessors (or lenders to such lessors) under leases in the ordinary course of business or maintained in an escrow account or similar account pending application of such proceeds in accordance with the applicable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4"/>
        </w:rPr>
        <w:t xml:space="preserve">exclusive licenses of Intellectual Property in effect on the Effective Date, which are more fully described on, and granted pursuant to the agreements identified on, </w:t>
      </w:r>
      <w:r>
        <w:rPr>
          <w:rFonts w:ascii="Times New Roman;Times;serif" w:hAnsi="Times New Roman;Times;serif"/>
          <w:sz w:val="24"/>
          <w:u w:val="single"/>
        </w:rPr>
        <w:t>Schedule 6.14</w:t>
      </w:r>
      <w:r>
        <w:rPr>
          <w:rFonts w:ascii="Times New Roman;Times;serif" w:hAnsi="Times New Roman;Times;serif"/>
          <w:sz w:val="24"/>
        </w:rPr>
        <w:t>, in each case, so long as such licenses are limited in time and geography and are entered into on an arm’s length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(y)</w:t>
      </w:r>
      <w:r>
        <w:rPr>
          <w:rFonts w:ascii="Times New Roman;Times;serif" w:hAnsi="Times New Roman;Times;serif"/>
          <w:sz w:val="24"/>
        </w:rPr>
        <w:t xml:space="preserve">Liens encumbering deposits made to secure obligations arising from statutory or regulatory requirements of that Person or its Subsidiaries; </w:t>
      </w:r>
      <w:r>
        <w:rPr>
          <w:rFonts w:ascii="Times New Roman;Times;serif" w:hAnsi="Times New Roman;Times;serif"/>
          <w:b/>
          <w:color w:val="FF0000"/>
          <w:sz w:val="24"/>
        </w:rPr>
        <w:t>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(z)</w:t>
      </w:r>
      <w:r>
        <w:rPr>
          <w:rFonts w:ascii="Times New Roman;Times;serif" w:hAnsi="Times New Roman;Times;serif"/>
          <w:sz w:val="24"/>
        </w:rPr>
        <w:t xml:space="preserve">Liens secured in favor of counterparties to Swap Agreements permitted under </w:t>
      </w:r>
      <w:r>
        <w:rPr>
          <w:rFonts w:ascii="Times New Roman;Times;serif" w:hAnsi="Times New Roman;Times;serif"/>
          <w:sz w:val="24"/>
          <w:u w:val="single"/>
        </w:rPr>
        <w:t>Section 6.01(n)</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subject to </w:t>
      </w:r>
      <w:r>
        <w:rPr>
          <w:rFonts w:ascii="Times New Roman;Times;serif" w:hAnsi="Times New Roman;Times;serif"/>
          <w:sz w:val="24"/>
          <w:u w:val="single"/>
        </w:rPr>
        <w:t>Schedule 5.16</w:t>
      </w:r>
      <w:r>
        <w:rPr>
          <w:rFonts w:ascii="Times New Roman;Times;serif" w:hAnsi="Times New Roman;Times;serif"/>
          <w:sz w:val="24"/>
        </w:rPr>
        <w:t>, any such Liens on the Collateral shall be subordinated to the Liens of the Administrative Agent under the Security Documents pursuant to a customary intercreditor agreement that is reasonably acceptable to the Administrative Agent</w:t>
      </w:r>
      <w:r>
        <w:rPr>
          <w:rFonts w:ascii="Times New Roman;Times;serif" w:hAnsi="Times New Roman;Times;serif"/>
          <w:b/>
          <w:color w:val="FF0000"/>
          <w:sz w:val="24"/>
        </w:rPr>
        <w:t>.</w:t>
      </w:r>
      <w:r>
        <w:rPr>
          <w:rFonts w:ascii="Times New Roman;Times;serif" w:hAnsi="Times New Roman;Times;serif"/>
          <w:b/>
          <w:color w:val="0000F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(aa)</w:t>
      </w:r>
      <w:r>
        <w:rPr>
          <w:rFonts w:ascii="Times New Roman;Times;serif" w:hAnsi="Times New Roman;Times;serif"/>
          <w:b/>
          <w:color w:val="0000FF"/>
          <w:sz w:val="24"/>
        </w:rPr>
        <w:t>Liens on cash collateral in an aggregate amount not to exceed $5,000,000 securing Indebtedness permitted under Section 6.01(i).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the foregoing, (i) during the Specified Post-Closing Period, for purposes of this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 deemed to be a “Loan Party” and (ii) no Lien on the Collateral (other than (x) Liens securing the Obligations and (y) Liens of the type described in clauses (a), (b), (f), (i), (l) or (o) of the definition of Permitted Encumbrances which do not secure Indebtedness for borrowed money and arise and have priority over the Administrative Agent’s Liens solely as a matter of law) will be permitted to be senior to or pari passu with the Liens of the Administrative Agent on the Collateral securing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6.03</w:t>
      </w:r>
      <w:r>
        <w:rPr>
          <w:rFonts w:ascii="Times New Roman;Times;serif" w:hAnsi="Times New Roman;Times;serif"/>
          <w:sz w:val="24"/>
          <w:u w:val="single"/>
        </w:rPr>
        <w:t>Fundamental Changes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Loan Party will not, and will not permit any Subsidiary to, (x) enter into a Division, merge into or consolidate or amalgamate with any other Person, or permit any other Person to merge or amalgamate into or consolidate with it, (y) otherwise Dispose of (in one transaction or in a series of transactions) all or substantially all of its assets, or all or substantially all of the stock of any of its Subsidiaries (in each case, whether now owned or hereafter acquired), or (z) liquidate or dissolve, except that, if at the time thereof and immediately after giving effect thereto no Default shall have occurred and be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Subsidiary of the Parent may be merged, consolidated or amalgamated with or into the Parent Borrower (provided that the Parent Borrower shall be the continuing or surviving corporation) or with or into any other Subsidiary (provided, that when any U.S. Loan Party is merging, consolidating or amalgamating with or into another Subsidiary, such U.S. Loan Party shall be the continuing or surviving Person or the continuing or surviving Person shall, substantially simultaneously with such merger, amalgamation or consolidation, become a U.S. Loan Party, and when any Foreign Loan Party is merging or amalgamating with or into another Subsidiary (other than a Domestic Subsidiary which is addressed above), such Foreign Loan Party shall be the continuing or surviving Person or the continuing or surviving Person shall, substantially simultaneously with such merger, amalgamation or consolidation, become a Foreign Loan Party; provided further that, in the event that such merger, amalgamation or consolidation involves one 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any Subsidiary may merge, consolidate or amalgamate with any other Person (other than the Parent) in order to effect an Investment permitted pursuant to </w:t>
      </w:r>
      <w:r>
        <w:rPr>
          <w:rFonts w:ascii="Times New Roman;Times;serif" w:hAnsi="Times New Roman;Times;serif"/>
          <w:sz w:val="24"/>
          <w:u w:val="single"/>
        </w:rPr>
        <w:t>Section 6.04</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(x) the Borrower must be the continuing or surviving Person of any such merger, consolidation or amalgamation to which it is a party, (y) if such Subsidiary is a U.S. Loan Party the continuing or surviving Person shall be a U.S. Loan Party and (z) unless clause (y) applies, if such Subsidiary is a Foreign Loan Party the continuing or surviving Person shall be a Foreign Loan Party;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in the event that such merger, amalgamation or consolidation involves one or more Loan Parties and the parties thereto are organized in different jurisdictions, the Parent Borrower shall provide evidence in form and substance reasonably satisfactory to the Administrative Agent that the security interest in the Collateral granted to the Administrative Agent remains in full force and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any Excluded Subsidiary may Dispose of its assets to any Loan Party (other than the Parent) or to any other Excluded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 xml:space="preserve">any Subsidiary of the Parent may Dispose of any or all of its assets (i) to any Borrower or any Subsidiary that is a Guarantor (upon voluntary liquidation or otherwise) or (ii) pursuant to a Disposition permitted by </w:t>
      </w:r>
      <w:r>
        <w:rPr>
          <w:rFonts w:ascii="Times New Roman;Times;serif" w:hAnsi="Times New Roman;Times;serif"/>
          <w:sz w:val="24"/>
          <w:u w:val="single"/>
        </w:rPr>
        <w:t>Section 6.09</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any Loan Party may Dispose of its assets to any other Loan Party (other than the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4"/>
        </w:rPr>
        <w:t xml:space="preserve">subject to compliance with </w:t>
      </w:r>
      <w:r>
        <w:rPr>
          <w:rFonts w:ascii="Times New Roman;Times;serif" w:hAnsi="Times New Roman;Times;serif"/>
          <w:sz w:val="24"/>
          <w:u w:val="single"/>
        </w:rPr>
        <w:t>Section 6.04(d)</w:t>
      </w:r>
      <w:r>
        <w:rPr>
          <w:rFonts w:ascii="Times New Roman;Times;serif" w:hAnsi="Times New Roman;Times;serif"/>
          <w:sz w:val="24"/>
        </w:rPr>
        <w:t xml:space="preserve">, any Loan Party may Dispose of its assets in order to effect any Investment permitted under </w:t>
      </w:r>
      <w:r>
        <w:rPr>
          <w:rFonts w:ascii="Times New Roman;Times;serif" w:hAnsi="Times New Roman;Times;serif"/>
          <w:sz w:val="24"/>
          <w:u w:val="single"/>
        </w:rPr>
        <w:t>Section 6.04(d)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4"/>
        </w:rPr>
        <w:t>any Subsidiary may liquidate or dissolve if the Parent Borrower determines in good faith that such liquidation or dissolution is in the best interests of the Parent Borrower and its Subsidiaries (taken as a whole) and is not materially disadvantageous to the Lenders;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0"/>
        </w:rPr>
        <w:t xml:space="preserve"> </w:t>
      </w:r>
      <w:r>
        <w:rPr>
          <w:rFonts w:ascii="Times New Roman;Times;serif" w:hAnsi="Times New Roman;Times;serif"/>
          <w:sz w:val="24"/>
        </w:rPr>
        <w:t xml:space="preserve">any Subsidiary may consummate a Division as the Dividing Person if, immediately upon the consummation of the Division, all the assets of the applicable Dividing Person are held by one or more Subsidiaries at such time;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if the applicable Dividing Person is a Loan Party, all of the assets of such Dividing Person shall be held by one or more Loan Parties at such time;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any such merger, consolidation or amalgamation involving a Person that is not a Wholly Owned Subsidiary immediately prior to such merger, consolidation or amalgamation shall not be permitted unless also permitted by </w:t>
      </w:r>
      <w:r>
        <w:rPr>
          <w:rFonts w:ascii="Times New Roman;Times;serif" w:hAnsi="Times New Roman;Times;serif"/>
          <w:sz w:val="24"/>
          <w:u w:val="single"/>
        </w:rPr>
        <w:t>Section 6.04</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Loan Party will not, and will not permit any of its Subsidiaries to, engage to any material extent in any material line of business substantially different from those lines of businesses conducted or proposed to be conducted by the Parent and its Subsidiaries on the Effective Date and businesses substantially related or incidental thereto.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the foregoing, during the Specified Post-Closing Period, for purposes of this </w:t>
      </w:r>
      <w:r>
        <w:rPr>
          <w:rFonts w:ascii="Times New Roman;Times;serif" w:hAnsi="Times New Roman;Times;serif"/>
          <w:sz w:val="24"/>
          <w:u w:val="single"/>
        </w:rPr>
        <w:t>Section 6.03,</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 deemed to be a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6.04</w:t>
      </w:r>
      <w:r>
        <w:rPr>
          <w:rFonts w:ascii="Times New Roman;Times;serif" w:hAnsi="Times New Roman;Times;serif"/>
          <w:sz w:val="24"/>
          <w:u w:val="single"/>
        </w:rPr>
        <w:t>Investments, Loans, Advances, Guarantees and Acquisitions</w:t>
      </w:r>
      <w:r>
        <w:rPr>
          <w:rFonts w:ascii="Times New Roman;Times;serif" w:hAnsi="Times New Roman;Times;serif"/>
          <w:sz w:val="24"/>
        </w:rPr>
        <w:t>. Each Loan Party will not, and will not permit any of its Subsidiaries to, purchase, hold or acquire (including pursuant to any merger or amalgamation with any Person that was not a Wholly Owned Subsidiary prior to such merger or amalgamation) any Equity Interests, evidences of indebtedness or other securities (including any option, warrant or other right to acquire any of the foregoing) of, make or permit to exist any loans or advances to, Guarantee any obligations of, any other Person, or purchase or otherwise acquire (in one transaction or a series of transactions) all or substantially all of the assets of any other Person or assets constituting a division, business line or business unit of any other Person, or make any capital contributions to any other Person, or make any investment in any other Person pursuant to the Division of any Person that was not a Wholly Owned Subsidiary prior to such Division, or make an investment in the form of any other items that are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would be classified as investments on a balance sheet prepared in accordance with GAAP (the foregoing activities are collectively referred to herein as “</w:t>
      </w:r>
      <w:r>
        <w:rPr>
          <w:rFonts w:ascii="Times New Roman;Times;serif" w:hAnsi="Times New Roman;Times;serif"/>
          <w:sz w:val="24"/>
          <w:u w:val="single"/>
        </w:rPr>
        <w:t>Investments</w:t>
      </w:r>
      <w:r>
        <w:rPr>
          <w:rFonts w:ascii="Times New Roman;Times;serif" w:hAnsi="Times New Roman;Times;serif"/>
          <w:sz w:val="20"/>
        </w:rPr>
        <w:t>”</w:t>
      </w:r>
      <w:r>
        <w:rPr>
          <w:rFonts w:ascii="Times New Roman;Times;serif" w:hAnsi="Times New Roman;Times;serif"/>
          <w:sz w:val="24"/>
        </w:rPr>
        <w:t>), except: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Investments in 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 Investments by the Parent existing on the Effective Date in the Equity Interests of its Subsidiaries; and (ii) Investments in existence, contemplated or made pursuant to binding commitments in effect on the Effective Date and identified on </w:t>
      </w:r>
      <w:r>
        <w:rPr>
          <w:rFonts w:ascii="Times New Roman;Times;serif" w:hAnsi="Times New Roman;Times;serif"/>
          <w:sz w:val="24"/>
          <w:u w:val="single"/>
        </w:rPr>
        <w:t>Schedule 6.04(b)(ii)</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 Investments made by the Parent or any Subsidiary in any Loan Party (other than the Parent) and (ii) Investments by Excluded Subsidiaries in other Excluded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b/>
          <w:color w:val="0000FF"/>
          <w:sz w:val="24"/>
        </w:rPr>
        <w:t>subject to the last sentence of this Section 6.04,</w:t>
      </w:r>
      <w:r>
        <w:rPr>
          <w:rFonts w:ascii="Times New Roman;Times;serif" w:hAnsi="Times New Roman;Times;serif"/>
          <w:sz w:val="20"/>
        </w:rPr>
        <w:t xml:space="preserve"> </w:t>
      </w:r>
      <w:r>
        <w:rPr>
          <w:rFonts w:ascii="Times New Roman;Times;serif" w:hAnsi="Times New Roman;Times;serif"/>
          <w:sz w:val="24"/>
        </w:rPr>
        <w:t xml:space="preserve">Investments made by any Loan Party in any Excluded Subsidiary,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aggregate amount of such Investments at any time outstanding shall not exceed the greater of (i) $85,000,000 and (ii) 5.0% of the Total Assets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b/>
          <w:color w:val="0000FF"/>
          <w:sz w:val="24"/>
        </w:rPr>
        <w:t>subject to the last sentence of this Section 6.04,</w:t>
      </w:r>
      <w:r>
        <w:rPr>
          <w:rFonts w:ascii="Times New Roman;Times;serif" w:hAnsi="Times New Roman;Times;serif"/>
          <w:sz w:val="20"/>
        </w:rPr>
        <w:t xml:space="preserve"> </w:t>
      </w:r>
      <w:r>
        <w:rPr>
          <w:rFonts w:ascii="Times New Roman;Times;serif" w:hAnsi="Times New Roman;Times;serif"/>
          <w:sz w:val="24"/>
        </w:rPr>
        <w:t>Investments (other than Investments in any Excluded Subsidiary or any joint venture) in an aggregate amount at any time outstanding not to exceed the greater of (i) $45,000,000 and (ii) 2.5% of the Total Assets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intercompany Investments in connection with reorganization activities and other activities related to tax planning, provided that, after giving effect to any such activities, the Liens of the Lenders in the Collateral, taken as a whole, would not be impaired in any material respect;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Investments received in settlement of debts, claims or disputes owed to any Borrower or any Subsidiary that arose out of transactions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advances and extensions of credit in the nature of accounts receivable arising from the sale or lease of goods or services or the licensing of property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Investments made by any Borrower or any Subsidiary in the Parent to the extent permitted to be made as a Restricted Payment by </w:t>
      </w:r>
      <w:r>
        <w:rPr>
          <w:rFonts w:ascii="Times New Roman;Times;serif" w:hAnsi="Times New Roman;Times;serif"/>
          <w:sz w:val="24"/>
          <w:u w:val="single"/>
        </w:rPr>
        <w:t>Section 6.05(a)</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b/>
          <w:color w:val="0000FF"/>
          <w:sz w:val="24"/>
        </w:rPr>
        <w:t>subject to the last sentence of this Section 6.04,</w:t>
      </w:r>
      <w:r>
        <w:rPr>
          <w:rFonts w:ascii="Times New Roman;Times;serif" w:hAnsi="Times New Roman;Times;serif"/>
          <w:sz w:val="20"/>
        </w:rPr>
        <w:t xml:space="preserve"> </w:t>
      </w:r>
      <w:r>
        <w:rPr>
          <w:rFonts w:ascii="Times New Roman;Times;serif" w:hAnsi="Times New Roman;Times;serif"/>
          <w:sz w:val="24"/>
        </w:rPr>
        <w:t>Investments in joint ventures made after the Amendment No. 3 Effective Date in an aggregate amount at any time outstanding not to exceed the greater of (i) $75,000,000 and (ii) 4% of Total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Investments among Subsidiaries pursuant to any agreement or arrangement to provide ordinary course facilities or services related to cash management, including treasury, depository, overdraft, credit or debit card, purchase card, electronic funds transfer and other cash management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 xml:space="preserve">Guarantees constituting Indebtedness permitted by </w:t>
      </w:r>
      <w:r>
        <w:rPr>
          <w:rFonts w:ascii="Times New Roman;Times;serif" w:hAnsi="Times New Roman;Times;serif"/>
          <w:sz w:val="24"/>
          <w:u w:val="single"/>
        </w:rPr>
        <w:t>Section 6.01</w:t>
      </w:r>
      <w:r>
        <w:rPr>
          <w:rFonts w:ascii="Times New Roman;Times;serif" w:hAnsi="Times New Roman;Times;serif"/>
          <w:sz w:val="20"/>
        </w:rPr>
        <w:t xml:space="preserve"> </w:t>
      </w:r>
      <w:r>
        <w:rPr>
          <w:rFonts w:ascii="Times New Roman;Times;serif" w:hAnsi="Times New Roman;Times;serif"/>
          <w:sz w:val="24"/>
        </w:rPr>
        <w:t>and guarantees by the Parent permitted by Section 6.12(c);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 xml:space="preserve">so long as no Default or Event of Default then exists or would result therefrom, any Loan Party may make Investments (except in the Parent) and other acquisitions if the Loan Parties are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after giving effect to any such Investment or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Investments funded with (i) Equity Interests (other than Disqualified Equity Interests) of the Parent (or any parent company thereof) or (ii) so long as no Default or Event of Default then exists or would result therefrom, the Available Equity Amount at the time such Investment is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Investments consisting of the non-exclusive licensing or sublicensing of any Intellectual Property pursuant to joint marketing, collaboration or other similar arrangements with other Persons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advances up to an aggregate principal amount of $500,000 per year to officers, directors and employees of the Parent and its Subsidiaries for travel, entertainment, relocation and analogous ordinary business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 xml:space="preserve">purchases or redemption of the Parent’s or the Parent Borrower’s Equity Interests to the extent permitted by </w:t>
      </w:r>
      <w:r>
        <w:rPr>
          <w:rFonts w:ascii="Times New Roman;Times;serif" w:hAnsi="Times New Roman;Times;serif"/>
          <w:sz w:val="24"/>
          <w:u w:val="single"/>
        </w:rPr>
        <w:t>Section 6.05(a)</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4"/>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(including in connection with the bankruptcy or reorganization of such account debtors);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w:t>
      </w:r>
      <w:r>
        <w:rPr>
          <w:rFonts w:ascii="Times New Roman;Times;serif" w:hAnsi="Times New Roman;Times;serif"/>
          <w:sz w:val="24"/>
        </w:rPr>
        <w:t>to the extent constituting Investments, capital expenditures and Investments consisting of acquisitions of inventory, supplies, materials, services or equipment or purchases of contract rights or licenses or leases of Intellectual Property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(t)</w:t>
      </w:r>
      <w:r>
        <w:rPr>
          <w:rFonts w:ascii="Times New Roman;Times;serif" w:hAnsi="Times New Roman;Times;serif"/>
          <w:sz w:val="24"/>
        </w:rPr>
        <w:t>Investments representing all or a portion of the sales price for property sold to another Person in a transaction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(u)</w:t>
      </w:r>
      <w:r>
        <w:rPr>
          <w:rFonts w:ascii="Times New Roman;Times;serif" w:hAnsi="Times New Roman;Times;serif"/>
          <w:sz w:val="24"/>
        </w:rPr>
        <w:t xml:space="preserve">Investments in a Receivables Subsidiary in connection with a Permitted Receivables Facility and holding the Equity Interests in a Receivables Subsidiary;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the Loan Parties are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on a Pro Forma Basis after giving effect to any such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Investments of a Person existing at the time such Person is acquired, becomes a Subsidiary or is amalgamated, merged or consolidated with or into any Borrower or any Subsidiary after the Effective Date to the extent that such transaction was permitted under </w:t>
      </w:r>
      <w:r>
        <w:rPr>
          <w:rFonts w:ascii="Times New Roman;Times;serif" w:hAnsi="Times New Roman;Times;serif"/>
          <w:sz w:val="24"/>
          <w:u w:val="single"/>
        </w:rPr>
        <w:t>Section 6.03(a)</w:t>
      </w:r>
      <w:r>
        <w:rPr>
          <w:rFonts w:ascii="Times New Roman;Times;serif" w:hAnsi="Times New Roman;Times;serif"/>
          <w:sz w:val="20"/>
        </w:rPr>
        <w:t xml:space="preserve"> </w:t>
      </w:r>
      <w:r>
        <w:rPr>
          <w:rFonts w:ascii="Times New Roman;Times;serif" w:hAnsi="Times New Roman;Times;serif"/>
          <w:sz w:val="24"/>
        </w:rPr>
        <w:t>and such Investments were not made in contemplation of or in connection with such acquisition, designation, redesignation, amalgamation, merger or consolidation and were in existence on the date of such acquisition, merger, amalgamation or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(w)</w:t>
      </w:r>
      <w:r>
        <w:rPr>
          <w:rFonts w:ascii="Times New Roman;Times;serif" w:hAnsi="Times New Roman;Times;serif"/>
          <w:sz w:val="24"/>
        </w:rPr>
        <w:t xml:space="preserve">Investments resulting from pledges and deposits under </w:t>
      </w:r>
      <w:r>
        <w:rPr>
          <w:rFonts w:ascii="Times New Roman;Times;serif" w:hAnsi="Times New Roman;Times;serif"/>
          <w:sz w:val="24"/>
          <w:u w:val="single"/>
        </w:rPr>
        <w:t>clauses (c)</w:t>
      </w:r>
      <w:r>
        <w:rPr>
          <w:rFonts w:ascii="Times New Roman;Times;serif" w:hAnsi="Times New Roman;Times;serif"/>
          <w:sz w:val="24"/>
        </w:rPr>
        <w:t xml:space="preserve">, </w:t>
      </w:r>
      <w:r>
        <w:rPr>
          <w:rFonts w:ascii="Times New Roman;Times;serif" w:hAnsi="Times New Roman;Times;serif"/>
          <w:sz w:val="24"/>
          <w:u w:val="single"/>
        </w:rPr>
        <w:t>(d)</w:t>
      </w:r>
      <w:r>
        <w:rPr>
          <w:rFonts w:ascii="Times New Roman;Times;serif" w:hAnsi="Times New Roman;Times;serif"/>
          <w:sz w:val="24"/>
        </w:rPr>
        <w:t xml:space="preserve">, </w:t>
      </w:r>
      <w:r>
        <w:rPr>
          <w:rFonts w:ascii="Times New Roman;Times;serif" w:hAnsi="Times New Roman;Times;serif"/>
          <w:sz w:val="24"/>
          <w:u w:val="single"/>
        </w:rPr>
        <w:t>(e)</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(l)</w:t>
      </w:r>
      <w:r>
        <w:rPr>
          <w:rFonts w:ascii="Times New Roman;Times;serif" w:hAnsi="Times New Roman;Times;serif"/>
          <w:sz w:val="20"/>
        </w:rPr>
        <w:t xml:space="preserve"> </w:t>
      </w:r>
      <w:r>
        <w:rPr>
          <w:rFonts w:ascii="Times New Roman;Times;serif" w:hAnsi="Times New Roman;Times;serif"/>
          <w:sz w:val="24"/>
        </w:rPr>
        <w:t xml:space="preserve">and of Permitted Encumbrances and </w:t>
      </w:r>
      <w:r>
        <w:rPr>
          <w:rFonts w:ascii="Times New Roman;Times;serif" w:hAnsi="Times New Roman;Times;serif"/>
          <w:sz w:val="24"/>
          <w:u w:val="single"/>
        </w:rPr>
        <w:t>Sections 6.02(v)</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(x)</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4"/>
        </w:rPr>
        <w:t xml:space="preserve">Investments constituting non-cash consideration for Dispositions permitted under </w:t>
      </w:r>
      <w:r>
        <w:rPr>
          <w:rFonts w:ascii="Times New Roman;Times;serif" w:hAnsi="Times New Roman;Times;serif"/>
          <w:sz w:val="24"/>
          <w:u w:val="single"/>
        </w:rPr>
        <w:t>Section 6.09</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(y)</w:t>
      </w:r>
      <w:r>
        <w:rPr>
          <w:rFonts w:ascii="Times New Roman;Times;serif" w:hAnsi="Times New Roman;Times;serif"/>
          <w:sz w:val="24"/>
        </w:rPr>
        <w:t xml:space="preserve">Investments in connection with Swap Agreements permitted under </w:t>
      </w:r>
      <w:r>
        <w:rPr>
          <w:rFonts w:ascii="Times New Roman;Times;serif" w:hAnsi="Times New Roman;Times;serif"/>
          <w:sz w:val="24"/>
          <w:u w:val="single"/>
        </w:rPr>
        <w:t>Section 6.01</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(z)</w:t>
      </w:r>
      <w:r>
        <w:rPr>
          <w:rFonts w:ascii="Times New Roman;Times;serif" w:hAnsi="Times New Roman;Times;serif"/>
          <w:sz w:val="24"/>
        </w:rPr>
        <w:t xml:space="preserve">to the extent constituting Investments, transactions permitted under </w:t>
      </w:r>
      <w:r>
        <w:rPr>
          <w:rFonts w:ascii="Times New Roman;Times;serif" w:hAnsi="Times New Roman;Times;serif"/>
          <w:sz w:val="24"/>
          <w:u w:val="single"/>
        </w:rPr>
        <w:t>Section 6.02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(aa)</w:t>
      </w:r>
      <w:r>
        <w:rPr>
          <w:rFonts w:ascii="Times New Roman;Times;serif" w:hAnsi="Times New Roman;Times;serif"/>
          <w:sz w:val="24"/>
        </w:rPr>
        <w:t xml:space="preserve">to the extent constituting Investments, transactions permitted under </w:t>
      </w:r>
      <w:r>
        <w:rPr>
          <w:rFonts w:ascii="Times New Roman;Times;serif" w:hAnsi="Times New Roman;Times;serif"/>
          <w:sz w:val="24"/>
          <w:u w:val="single"/>
        </w:rPr>
        <w:t>Section 6.03</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(bb)</w:t>
      </w:r>
      <w:r>
        <w:rPr>
          <w:rFonts w:ascii="Times New Roman;Times;serif" w:hAnsi="Times New Roman;Times;serif"/>
          <w:sz w:val="24"/>
        </w:rPr>
        <w:t>any liability arising under a declaration of joint and several liability (hoofdelijke aansprakelijkheid) as referred to in section 2:403 of the Dutch Civil Code (and any residual liability (overblijvende aansprakelijkheid) under such declaration arising pursuant to Article 2:404(2) Dutch Civil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(cc)</w:t>
      </w:r>
      <w:r>
        <w:rPr>
          <w:rFonts w:ascii="Times New Roman;Times;serif" w:hAnsi="Times New Roman;Times;serif"/>
          <w:sz w:val="24"/>
        </w:rPr>
        <w:t>any joint and several liability (hoofdelijke aansprakelijkheid) under any fiscal unity for Dutch corporate income tax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For purposes of this </w:t>
      </w:r>
      <w:r>
        <w:rPr>
          <w:rFonts w:ascii="Times New Roman;Times;serif" w:hAnsi="Times New Roman;Times;serif"/>
          <w:sz w:val="24"/>
          <w:u w:val="single"/>
        </w:rPr>
        <w:t>Section 6.04</w:t>
      </w:r>
      <w:r>
        <w:rPr>
          <w:rFonts w:ascii="Times New Roman;Times;serif" w:hAnsi="Times New Roman;Times;serif"/>
          <w:sz w:val="24"/>
        </w:rPr>
        <w:t>, the amount of any Investment shall be the amount actually invested, without adjustment for subsequent increases or decreases in the value of such Investment, but, except to the extent the Parent Borrower shall otherwise elect, deducted by the amount of any repayment, interest, return, profit, distribution, income or similar amount in respect of such Investment which has actually been received in cash or Cash Equivalents or has been converted into cash or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the foregoing, during the Specified Post-Closing Period, for purposes of this </w:t>
      </w:r>
      <w:r>
        <w:rPr>
          <w:rFonts w:ascii="Times New Roman;Times;serif" w:hAnsi="Times New Roman;Times;serif"/>
          <w:sz w:val="24"/>
          <w:u w:val="single"/>
        </w:rPr>
        <w:t>Section 6.04,</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 deemed to be a “Loan Party”.</w:t>
      </w:r>
    </w:p>
    <w:p>
      <w:pPr>
        <w:pStyle w:val="TextBody"/>
        <w:bidi w:val="0"/>
        <w:spacing w:before="0" w:after="240"/>
        <w:ind w:left="0" w:right="0" w:hanging="0"/>
        <w:jc w:val="both"/>
        <w:rPr>
          <w:rFonts w:ascii="Times New Roman;Times;serif" w:hAnsi="Times New Roman;Times;serif"/>
          <w:b/>
          <w:color w:val="0000FF"/>
          <w:sz w:val="24"/>
        </w:rPr>
      </w:pPr>
      <w:r>
        <w:rPr>
          <w:rFonts w:ascii="Times New Roman;Times;serif" w:hAnsi="Times New Roman;Times;serif"/>
          <w:b/>
          <w:color w:val="0000FF"/>
          <w:sz w:val="24"/>
        </w:rPr>
        <w:t>Notwithstanding anything to the contrary contained in this Section 6.04, the aggregate amount of Investments made by the Loan Parties and their Subsidiaries pursuant to Sections 6.04(d), 6.04(e) and 6.04(j) prior to the Trigger Date shall not exceed $150,000,000.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6.05</w:t>
      </w:r>
      <w:r>
        <w:rPr>
          <w:rFonts w:ascii="Times New Roman;Times;serif" w:hAnsi="Times New Roman;Times;serif"/>
          <w:sz w:val="24"/>
          <w:u w:val="single"/>
        </w:rPr>
        <w:t>Restricted Payments and Restricted Debt Payments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Loan Party will not, and will not permit any of their Subsidiaries to, declare or make any Restricted Payments with respect to the Parent or any of its Subsidiaries, except: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 any Subsidiary of the Parent may make Restricted Payments to the Parent Borrower or to any direct or indirect Wholly Owned Subsidiary of the Parent Borrower that is a Loan Party, and (B) any non-Wholly Owned Subsidiary may make Restricted Payments to the Parent Borrower or any of its other Subsidiaries that are Loan Parties and to each other owner of Equity Interests of such Subsidiary ratably based on their relative ownership interests of the relevant class of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Parent or the Parent Borrower may declare and make dividends payable solely in the form of additional shares Qualified Equity Interests of the Parent or the Parent Borrower,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the Parent Borrower may repurchase fractional shares of its Equity Interests (or Equity Interests of the Parent) arising out of stock dividends, splits or combinations, business combinations or conversions of convertible securities or, so long as no Default or Event of Default then exists or would result therefrom, make cash settlement payments upon the exercise of warrants to purchase its Equity Interests (or Equity Interests of the Parent), or “net exercise” or “net share settle”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the Parent may redeem or otherwise cancel Qualified Equity Interests or rights in respect thereof granted to (or make payments on behalf of) directors, officers, employees or other providers of services to the Parent, the Parent Borrower and the Subsidiaries in an amount required to satisfy tax withholding obligations relating to the vesting, settlement or exercise of such Equity Interests or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the Parent and the Parent Borrower may make any Restricted Payment that has been declared by the Parent or the Parent Borrower, so long as (A) such Restricted Payment would be otherwise permitted under clause (ix) of this </w:t>
      </w:r>
      <w:r>
        <w:rPr>
          <w:rFonts w:ascii="Times New Roman;Times;serif" w:hAnsi="Times New Roman;Times;serif"/>
          <w:sz w:val="24"/>
          <w:u w:val="single"/>
        </w:rPr>
        <w:t>Section 6.05(a)</w:t>
      </w:r>
      <w:r>
        <w:rPr>
          <w:rFonts w:ascii="Times New Roman;Times;serif" w:hAnsi="Times New Roman;Times;serif"/>
          <w:sz w:val="20"/>
        </w:rPr>
        <w:t xml:space="preserve"> </w:t>
      </w:r>
      <w:r>
        <w:rPr>
          <w:rFonts w:ascii="Times New Roman;Times;serif" w:hAnsi="Times New Roman;Times;serif"/>
          <w:sz w:val="24"/>
        </w:rPr>
        <w:t>at the time so declared (and shall be deemed to be a utilization of such capacity from and after such time) and (B) such Restricted Payment is made within 60 days of such declaration;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4"/>
        </w:rPr>
        <w:t>the Parent and the Borrower may make any repurchase (or deemed repurchase) of Equity Interests pursuant to any accelerated stock repurchase or similar agreement (each, an “</w:t>
      </w:r>
      <w:r>
        <w:rPr>
          <w:rFonts w:ascii="Times New Roman;Times;serif" w:hAnsi="Times New Roman;Times;serif"/>
          <w:b/>
          <w:sz w:val="24"/>
        </w:rPr>
        <w:t>ASR Agreement</w:t>
      </w:r>
      <w:r>
        <w:rPr>
          <w:rFonts w:ascii="Times New Roman;Times;serif" w:hAnsi="Times New Roman;Times;serif"/>
          <w:sz w:val="20"/>
        </w:rPr>
        <w:t>”</w:t>
      </w:r>
      <w:r>
        <w:rPr>
          <w:rFonts w:ascii="Times New Roman;Times;serif" w:hAnsi="Times New Roman;Times;serif"/>
          <w:sz w:val="24"/>
        </w:rPr>
        <w:t>) publicly announced by the Parent or the Borrower and specifying the maximum aggregate amount of the stock to be repurchased pursuant to such ASR Agreement (the “</w:t>
      </w:r>
      <w:r>
        <w:rPr>
          <w:rFonts w:ascii="Times New Roman;Times;serif" w:hAnsi="Times New Roman;Times;serif"/>
          <w:b/>
          <w:sz w:val="24"/>
        </w:rPr>
        <w:t>Maximum ASR Amount</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at the time such ASR Agreement is publicly announced, (A) no Default or Event of Default then exists or would result from giving Pro Forma Effect to the Maximum ASR Amount, and (B) the Loan Parties would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immediately after giving Pro Forma Effect to the Maximum ASR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4"/>
        </w:rPr>
        <w:t xml:space="preserve">so long as no Default or Event of Default then exists or would result therefrom, the Parent may make Restricted Payments pursuant to and in accordance with stock option plans or other benefit plans or agreements for directors, management, employees or other eligible service providers of the Parent or its Subsidiaries, including the repurchase of Qualified Equity Interests or rights in respect thereof granted to directors, management, employees or other eligible service providers of the Parent or its Subsidiaries pursuant to a right of repurchase set forth in any such stock option plans or other benefit plans or agreements in connection with a cessation of service;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any such payments do not exceed $10,000,000 in any fiscal year; </w:t>
      </w:r>
      <w:r>
        <w:rPr>
          <w:rFonts w:ascii="Times New Roman;Times;serif" w:hAnsi="Times New Roman;Times;serif"/>
          <w:sz w:val="24"/>
          <w:u w:val="single"/>
        </w:rPr>
        <w:t>provided further</w:t>
      </w:r>
      <w:r>
        <w:rPr>
          <w:rFonts w:ascii="Times New Roman;Times;serif" w:hAnsi="Times New Roman;Times;serif"/>
          <w:sz w:val="20"/>
        </w:rPr>
        <w:t xml:space="preserve"> </w:t>
      </w:r>
      <w:r>
        <w:rPr>
          <w:rFonts w:ascii="Times New Roman;Times;serif" w:hAnsi="Times New Roman;Times;serif"/>
          <w:sz w:val="24"/>
        </w:rPr>
        <w:t>that cancellation of Indebtedness owing to the Parent or any of its Subsidiaries from directors, management, employees or other eligible service providers in connection with a repurchase of Qualified Equity Interests will not be deemed to constitute a Restricted Payment for purposes of this clause (vii);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rPr>
        <w:t xml:space="preserve">so long as no Default or Event of Default then exists or would result therefrom, the Loan Parties may make Restricted Payments not otherwise permitted under this </w:t>
      </w:r>
      <w:r>
        <w:rPr>
          <w:rFonts w:ascii="Times New Roman;Times;serif" w:hAnsi="Times New Roman;Times;serif"/>
          <w:sz w:val="24"/>
          <w:u w:val="single"/>
        </w:rPr>
        <w:t>Section 6.05</w:t>
      </w:r>
      <w:r>
        <w:rPr>
          <w:rFonts w:ascii="Times New Roman;Times;serif" w:hAnsi="Times New Roman;Times;serif"/>
          <w:sz w:val="20"/>
        </w:rPr>
        <w:t xml:space="preserve"> </w:t>
      </w:r>
      <w:r>
        <w:rPr>
          <w:rFonts w:ascii="Times New Roman;Times;serif" w:hAnsi="Times New Roman;Times;serif"/>
          <w:sz w:val="24"/>
        </w:rPr>
        <w:t>in an amount equal to the Available Equity Amount at the time such Restricted Payments are made</w:t>
      </w:r>
      <w:r>
        <w:rPr>
          <w:rFonts w:ascii="Times New Roman;Times;serif" w:hAnsi="Times New Roman;Times;serif"/>
          <w:b/>
          <w:color w:val="0000FF"/>
          <w:sz w:val="24"/>
        </w:rPr>
        <w:t>, in each case, so long as such Restricted Payment is made on or after the Trigger Date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(ix)</w:t>
      </w:r>
      <w:r>
        <w:rPr>
          <w:rFonts w:ascii="Times New Roman;Times;serif" w:hAnsi="Times New Roman;Times;serif"/>
          <w:b/>
          <w:color w:val="FF0000"/>
          <w:sz w:val="24"/>
        </w:rPr>
        <w:t xml:space="preserve">so long as </w:t>
      </w:r>
      <w:r>
        <w:rPr>
          <w:rFonts w:ascii="Times New Roman;Times;serif" w:hAnsi="Times New Roman;Times;serif"/>
          <w:i/>
          <w:color w:val="008000"/>
          <w:sz w:val="24"/>
        </w:rPr>
        <w:t>no Default or Event of Default then exists or would result therefrom,</w:t>
      </w:r>
      <w:r>
        <w:rPr>
          <w:rFonts w:ascii="Times New Roman;Times;serif" w:hAnsi="Times New Roman;Times;serif"/>
          <w:sz w:val="20"/>
        </w:rPr>
        <w:t xml:space="preserve"> </w:t>
      </w:r>
      <w:r>
        <w:rPr>
          <w:rFonts w:ascii="Times New Roman;Times;serif" w:hAnsi="Times New Roman;Times;serif"/>
          <w:sz w:val="24"/>
        </w:rPr>
        <w:t xml:space="preserve">the Parent and the Parent Borrower may make Restricted Payments not otherwise permitted under this </w:t>
      </w:r>
      <w:r>
        <w:rPr>
          <w:rFonts w:ascii="Times New Roman;Times;serif" w:hAnsi="Times New Roman;Times;serif"/>
          <w:sz w:val="24"/>
          <w:u w:val="single"/>
        </w:rPr>
        <w:t>Section 6.05(a)</w:t>
      </w:r>
      <w:r>
        <w:rPr>
          <w:rFonts w:ascii="Times New Roman;Times;serif" w:hAnsi="Times New Roman;Times;serif"/>
          <w:sz w:val="20"/>
        </w:rPr>
        <w:t xml:space="preserve"> </w:t>
      </w:r>
      <w:r>
        <w:rPr>
          <w:rFonts w:ascii="Times New Roman;Times;serif" w:hAnsi="Times New Roman;Times;serif"/>
          <w:sz w:val="24"/>
        </w:rPr>
        <w:t xml:space="preserve">in an unlimited amount, in each case, so long as (A) </w:t>
      </w:r>
      <w:r>
        <w:rPr>
          <w:rFonts w:ascii="Times New Roman;Times;serif" w:hAnsi="Times New Roman;Times;serif"/>
          <w:b/>
          <w:color w:val="FF0000"/>
          <w:sz w:val="24"/>
        </w:rPr>
        <w:t xml:space="preserve">if prior to the Trigger Date, Total Liquidity immediately after giving Pro Forma Effect to </w:t>
      </w:r>
      <w:r>
        <w:rPr>
          <w:rFonts w:ascii="Times New Roman;Times;serif" w:hAnsi="Times New Roman;Times;serif"/>
          <w:i/>
          <w:color w:val="008000"/>
          <w:sz w:val="24"/>
        </w:rPr>
        <w:t xml:space="preserve">no Default or Event of Default then exists or would result therefrom, </w:t>
      </w:r>
      <w:r>
        <w:rPr>
          <w:rFonts w:ascii="Times New Roman;Times;serif" w:hAnsi="Times New Roman;Times;serif"/>
          <w:b/>
          <w:color w:val="0000FF"/>
          <w:sz w:val="24"/>
        </w:rPr>
        <w:t>(B)</w:t>
      </w:r>
      <w:r>
        <w:rPr>
          <w:rFonts w:ascii="Times New Roman;Times;serif" w:hAnsi="Times New Roman;Times;serif"/>
          <w:sz w:val="20"/>
        </w:rPr>
        <w:t xml:space="preserve"> </w:t>
      </w:r>
      <w:r>
        <w:rPr>
          <w:rFonts w:ascii="Times New Roman;Times;serif" w:hAnsi="Times New Roman;Times;serif"/>
          <w:sz w:val="24"/>
        </w:rPr>
        <w:t xml:space="preserve">such Restricted Payment is </w:t>
      </w:r>
      <w:r>
        <w:rPr>
          <w:rFonts w:ascii="Times New Roman;Times;serif" w:hAnsi="Times New Roman;Times;serif"/>
          <w:b/>
          <w:color w:val="FF0000"/>
          <w:sz w:val="24"/>
        </w:rPr>
        <w:t>greater than or equal to $150,000,000, or (B) if</w:t>
      </w:r>
      <w:r>
        <w:rPr>
          <w:rFonts w:ascii="Times New Roman;Times;serif" w:hAnsi="Times New Roman;Times;serif"/>
          <w:b/>
          <w:color w:val="0000FF"/>
          <w:sz w:val="24"/>
        </w:rPr>
        <w:t>made</w:t>
      </w:r>
      <w:r>
        <w:rPr>
          <w:rFonts w:ascii="Times New Roman;Times;serif" w:hAnsi="Times New Roman;Times;serif"/>
          <w:sz w:val="20"/>
        </w:rPr>
        <w:t xml:space="preserve"> </w:t>
      </w:r>
      <w:r>
        <w:rPr>
          <w:rFonts w:ascii="Times New Roman;Times;serif" w:hAnsi="Times New Roman;Times;serif"/>
          <w:sz w:val="24"/>
        </w:rPr>
        <w:t xml:space="preserve">on or after the Trigger Date, </w:t>
      </w:r>
      <w:r>
        <w:rPr>
          <w:rFonts w:ascii="Times New Roman;Times;serif" w:hAnsi="Times New Roman;Times;serif"/>
          <w:b/>
          <w:color w:val="0000FF"/>
          <w:sz w:val="24"/>
        </w:rPr>
        <w:t>(C)</w:t>
      </w:r>
      <w:r>
        <w:rPr>
          <w:rFonts w:ascii="Times New Roman;Times;serif" w:hAnsi="Times New Roman;Times;serif"/>
          <w:sz w:val="20"/>
        </w:rPr>
        <w:t xml:space="preserve"> </w:t>
      </w:r>
      <w:r>
        <w:rPr>
          <w:rFonts w:ascii="Times New Roman;Times;serif" w:hAnsi="Times New Roman;Times;serif"/>
          <w:sz w:val="24"/>
        </w:rPr>
        <w:t xml:space="preserve">the Loan Parties would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immediately after giving Pro Forma Effect to such Restricted Payment</w:t>
      </w:r>
      <w:r>
        <w:rPr>
          <w:rFonts w:ascii="Times New Roman;Times;serif" w:hAnsi="Times New Roman;Times;serif"/>
          <w:b/>
          <w:color w:val="0000FF"/>
          <w:sz w:val="24"/>
        </w:rPr>
        <w:t>,</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b/>
          <w:color w:val="0000FF"/>
          <w:sz w:val="24"/>
        </w:rPr>
        <w:t>(D)</w:t>
      </w:r>
      <w:r>
        <w:rPr>
          <w:rFonts w:ascii="Times New Roman;Times;serif" w:hAnsi="Times New Roman;Times;serif"/>
          <w:sz w:val="20"/>
        </w:rPr>
        <w:t xml:space="preserve"> </w:t>
      </w:r>
      <w:r>
        <w:rPr>
          <w:rFonts w:ascii="Times New Roman;Times;serif" w:hAnsi="Times New Roman;Times;serif"/>
          <w:sz w:val="24"/>
        </w:rPr>
        <w:t>the Consolidated Leverage Ratio immediately after giving Pro Forma Effect to such Restricted Payment is less than or equal to 2.50:1.00;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4"/>
        </w:rPr>
        <w:t>the Parent Borrower may make and pay Restricted Payments to the Parent (and in the cases of clause (A) and clause (B), to the other equity owners of the Parent Borrower) to the extent referred to in the relevant portion of such respective clause), in each case without duplication and taking into account any Taxes already paid or withheld: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(1) with respect to any taxable period ending after the Effective Date (x) for which the Parent Borrower and/or any of its Subsidiaries are members of a consolidated, combined, affiliated, unitary or similar income tax group for U.S. federal and/or applicable state or local income Tax purposes of which the Parent or any holding company of the Parent is the common parent, or (y) for which the Parent Borrower is a partnership or disregarded entity for U.S. federal income tax purposes that is wholly owned (directly or indirectly) by a C corporation for U.S. federal and/or applicable state or local income Tax purposes, in an amount not to exceed the amount of any U.S. federal, state and/or local income Taxes that the Parent Borrower and/or its Subsidiaries, as applicable, would have paid for such taxable period had the Parent Borrower and/or its Subsidiaries, as applicable, been a stand-alone corporate taxpayer or a stand-alone corporate group and (2) such amounts as are needed to pay any amounts owed by the Parent under the Tax Receivable Agreement but which shall not include any amounts required to be paid due to a change of control or any early termination payments ;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distributions pursuant to clause (A)(1) in respect of an Excluded Subsidiary shall be permitted only to the extent that cash distributions were made by such Excluded Subsidiary to the Parent Borrower or any other Subsidiary that is a Loan Party for such purpose;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(1) with respect to any taxable period ending after the Effective Date for which the Parent Borrower is a partnership or disregarded entity for U.S. federal income Tax purposes (other than a partnership or disregarded entity described in clause (x)(A)(1)(y) above), distributions to its equity owners in amounts not to exceed (x) the taxable income of the Parent Borrower and its Subsidiaries for such taxable year (as determined based on such assumptions as may be made by the managing member (or equivalent governing body) of the Parent Borrower, including, without limitation, not taking into account for this purpose for any such taxable period any adjustments under Sections 743(b) of the Code), multiplied by (y) the highest combined federal, state and local tax rates applicable to the income of individuals or corporations that are residents of New York, New York, whichever is higher and (2) if payments to the Parent pursuant to the foregoing clause (1) are not sufficient for the Parent to pay its income tax liabilities and also the amounts owed by the Parent under the Tax Receivable Agreement, such additional amounts as are needed to pay any amounts owed by the Parent under the Tax Receivable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Agreement but which shall not include any amounts required to be paid due to a change of control or any early termination payments; provided that no payment may be made pursuant to both this subclause (B) and subclause (A) of this clause (x) with respect to any period;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distributions in respect of an Excluded Subsidiary shall be permitted only to the extent that cash distributions were made by such Excluded Subsidiary to the Parent Borrower or any other Subsidiary that is a Loan Party for such purpose;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proceeds of which shall be used to allow the Parent to pay its operating costs and expenses incurred in the ordinary course of business and other corporate overhead costs and expenses (including administrative, legal, accounting and other professional costs and expenses), in each case, to the extent attributable to the ownership or operation of the Parent Borrower and its Subsidiaries, in an aggregate amount not to exceed $25,000,000 in any twelve (12) month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[reserved];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the proceeds of which shall be used to allow the Parent to pay customary fees and expenses (other than to Affiliates) related to any equity issuance or offering or debt issuance, incurrence or offering, Disposition or acquisition or investment transaction permitted by this Agreement, whether or not consummated;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the proceeds of which shall be used to pay (x) fees and expenses (including franchise, real and personal property Taxes, and excise or similar taxes) required to maintain its corporate existence or good standing under applicable law and (y) long term incentive plan awards, and indemnities provided on behalf of, directors, officers, members of management, employees and consultants of the Parent, to the extent such fees, expenses, salaries, bonuses, other benefits and indemnities are attributable to the ownership and operation of the Parent Borrower and its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the proceeds of which shall be used to pay interest (but not principal) payments on the Parent Convertible Notes, so long as (x) no Default or Event of Default then exists or would result from the making of such Restricted Payment and (y) (1) if prior to the Trigger Date, Total Liquidity immediately after giving Pro Forma Effect to such Restricted Payment is greater than or equal to $150,000,000, or (2) if on or after the Trigger Date, the Loan Parties would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immediately after giving Pro Forma Effect to such Restricted Payment and the Consolidated Leverage Ratio immediately after giving Pro Forma Effect to such Restricted Payment is less than or equal to 2.50:1.00;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the proceeds of which shall be used by the Parent to make payments and consummate other transactions otherwise contemplated to be Restricted Payments permitted to be made by the Parent Borrower for the purposes set forth in this </w:t>
      </w:r>
      <w:r>
        <w:rPr>
          <w:rFonts w:ascii="Times New Roman;Times;serif" w:hAnsi="Times New Roman;Times;serif"/>
          <w:sz w:val="24"/>
          <w:u w:val="single"/>
        </w:rPr>
        <w:t>Section 6.05(a)</w:t>
      </w:r>
      <w:r>
        <w:rPr>
          <w:rFonts w:ascii="Times New Roman;Times;serif" w:hAnsi="Times New Roman;Times;serif"/>
          <w:sz w:val="20"/>
        </w:rPr>
        <w:t xml:space="preserve"> </w:t>
      </w:r>
      <w:r>
        <w:rPr>
          <w:rFonts w:ascii="Times New Roman;Times;serif" w:hAnsi="Times New Roman;Times;serif"/>
          <w:sz w:val="24"/>
        </w:rPr>
        <w:t>(and shall be deemed to be a utilization of such capacity from and after such time);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(xi)</w:t>
      </w:r>
      <w:r>
        <w:rPr>
          <w:rFonts w:ascii="Times New Roman;Times;serif" w:hAnsi="Times New Roman;Times;serif"/>
          <w:sz w:val="24"/>
        </w:rPr>
        <w:t>the Parent Borrower may make Restricted Payments in accordance with Article 9 of the Third Amended and Restated Limited Liability Company Agreement of the Parent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Borrower, so long as such Restricted Payments are funded with </w:t>
      </w:r>
      <w:r>
        <w:rPr>
          <w:rFonts w:ascii="Times New Roman;Times;serif" w:hAnsi="Times New Roman;Times;serif"/>
          <w:b/>
          <w:color w:val="0000FF"/>
          <w:sz w:val="24"/>
        </w:rPr>
        <w:t>(A)</w:t>
      </w:r>
      <w:r>
        <w:rPr>
          <w:rFonts w:ascii="Times New Roman;Times;serif" w:hAnsi="Times New Roman;Times;serif"/>
          <w:sz w:val="20"/>
        </w:rPr>
        <w:t xml:space="preserve"> </w:t>
      </w:r>
      <w:r>
        <w:rPr>
          <w:rFonts w:ascii="Times New Roman;Times;serif" w:hAnsi="Times New Roman;Times;serif"/>
          <w:sz w:val="24"/>
        </w:rPr>
        <w:t>Qualified Equity Interests of the Parent or</w:t>
      </w:r>
      <w:r>
        <w:rPr>
          <w:rFonts w:ascii="Times New Roman;Times;serif" w:hAnsi="Times New Roman;Times;serif"/>
          <w:b/>
          <w:color w:val="FF0000"/>
          <w:sz w:val="24"/>
        </w:rPr>
        <w:t xml:space="preserve">, </w:t>
      </w:r>
      <w:r>
        <w:rPr>
          <w:rFonts w:ascii="Times New Roman;Times;serif" w:hAnsi="Times New Roman;Times;serif"/>
          <w:b/>
          <w:color w:val="0000FF"/>
          <w:sz w:val="24"/>
        </w:rPr>
        <w:t>(B)</w:t>
      </w:r>
      <w:r>
        <w:rPr>
          <w:rFonts w:ascii="Times New Roman;Times;serif" w:hAnsi="Times New Roman;Times;serif"/>
          <w:sz w:val="20"/>
        </w:rPr>
        <w:t xml:space="preserve"> </w:t>
      </w:r>
      <w:r>
        <w:rPr>
          <w:rFonts w:ascii="Times New Roman;Times;serif" w:hAnsi="Times New Roman;Times;serif"/>
          <w:sz w:val="24"/>
        </w:rPr>
        <w:t>so long as no Default or Event of Default then exists or would result therefrom, the Available Equity Amount at the time such Restricted Payments are made</w:t>
      </w:r>
      <w:r>
        <w:rPr>
          <w:rFonts w:ascii="Times New Roman;Times;serif" w:hAnsi="Times New Roman;Times;serif"/>
          <w:b/>
          <w:color w:val="0000FF"/>
          <w:sz w:val="24"/>
        </w:rPr>
        <w:t>, so long as, in the case of this clause (B), such Restricted Payment is made on or after the Trigger Date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Loan Party will not, and will not permit any of its Subsidiaries to, make or offer to make any optional or voluntary payment, prepayment, repurchase or redemption</w:t>
      </w:r>
      <w:r>
        <w:rPr>
          <w:rFonts w:ascii="Times New Roman;Times;serif" w:hAnsi="Times New Roman;Times;serif"/>
          <w:sz w:val="20"/>
        </w:rPr>
        <w:t xml:space="preserve"> </w:t>
      </w:r>
      <w:r>
        <w:rPr>
          <w:rFonts w:ascii="Times New Roman;Times;serif" w:hAnsi="Times New Roman;Times;serif"/>
          <w:sz w:val="24"/>
        </w:rPr>
        <w:t>of or otherwise optionally or voluntarily defease or segregate funds with respect to any Parent Convertible Notes or any Junior Debt (any of the foregoing, a “</w:t>
      </w:r>
      <w:r>
        <w:rPr>
          <w:rFonts w:ascii="Times New Roman;Times;serif" w:hAnsi="Times New Roman;Times;serif"/>
          <w:b/>
          <w:sz w:val="24"/>
        </w:rPr>
        <w:t>Restricted Debt Payment</w:t>
      </w:r>
      <w:r>
        <w:rPr>
          <w:rFonts w:ascii="Times New Roman;Times;serif" w:hAnsi="Times New Roman;Times;serif"/>
          <w:sz w:val="20"/>
        </w:rPr>
        <w:t>”</w:t>
      </w:r>
      <w:r>
        <w:rPr>
          <w:rFonts w:ascii="Times New Roman;Times;serif" w:hAnsi="Times New Roman;Times;serif"/>
          <w:sz w:val="24"/>
        </w:rPr>
        <w:t>) other than: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refinancings of Junior Debt with the proceeds of Permitted Refinancing Indebtedness permitted in respect thereof under </w:t>
      </w:r>
      <w:r>
        <w:rPr>
          <w:rFonts w:ascii="Times New Roman;Times;serif" w:hAnsi="Times New Roman;Times;serif"/>
          <w:sz w:val="24"/>
          <w:u w:val="single"/>
        </w:rPr>
        <w:t>Section 6.01</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the conversion of any Junior Debt into Qualified Equity Interests of the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prepayments of intercompany Junior Debt permitted hereunder owed by the Parent Borrower or any Subsidiary to the</w:t>
      </w:r>
      <w:r>
        <w:rPr>
          <w:rFonts w:ascii="Times New Roman;Times;serif" w:hAnsi="Times New Roman;Times;serif"/>
          <w:sz w:val="20"/>
        </w:rPr>
        <w:t xml:space="preserve"> </w:t>
      </w:r>
      <w:r>
        <w:rPr>
          <w:rFonts w:ascii="Times New Roman;Times;serif" w:hAnsi="Times New Roman;Times;serif"/>
          <w:sz w:val="24"/>
        </w:rPr>
        <w:t>Parent</w:t>
      </w:r>
      <w:r>
        <w:rPr>
          <w:rFonts w:ascii="Times New Roman;Times;serif" w:hAnsi="Times New Roman;Times;serif"/>
          <w:sz w:val="20"/>
        </w:rPr>
        <w:t xml:space="preserve"> </w:t>
      </w:r>
      <w:r>
        <w:rPr>
          <w:rFonts w:ascii="Times New Roman;Times;serif" w:hAnsi="Times New Roman;Times;serif"/>
          <w:sz w:val="24"/>
        </w:rPr>
        <w:t xml:space="preserve">Borrower or any Subsidiary in the ordinary course of business to the extent permitted under the Intercompany Subordination Agreement;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prepayment of any Junior Debt owed by any Loan Party to any Subsidiary that is not a Loan Party shall be permitted so long as a Default or Event of Default shall have occurred and be continuing or would result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 xml:space="preserve">Restricted Debt Payments in respect of Junior Debt not otherwise permitted under this </w:t>
      </w:r>
      <w:r>
        <w:rPr>
          <w:rFonts w:ascii="Times New Roman;Times;serif" w:hAnsi="Times New Roman;Times;serif"/>
          <w:sz w:val="24"/>
          <w:u w:val="single"/>
        </w:rPr>
        <w:t>Section 6.05(b)</w:t>
      </w:r>
      <w:r>
        <w:rPr>
          <w:rFonts w:ascii="Times New Roman;Times;serif" w:hAnsi="Times New Roman;Times;serif"/>
          <w:sz w:val="24"/>
        </w:rPr>
        <w:t xml:space="preserve">, </w:t>
      </w:r>
      <w:r>
        <w:rPr>
          <w:rFonts w:ascii="Times New Roman;Times;serif" w:hAnsi="Times New Roman;Times;serif"/>
          <w:b/>
          <w:color w:val="0000FF"/>
          <w:sz w:val="24"/>
        </w:rPr>
        <w:t>in each case,</w:t>
      </w:r>
      <w:r>
        <w:rPr>
          <w:rFonts w:ascii="Times New Roman;Times;serif" w:hAnsi="Times New Roman;Times;serif"/>
          <w:sz w:val="20"/>
        </w:rPr>
        <w:t xml:space="preserve"> </w:t>
      </w:r>
      <w:r>
        <w:rPr>
          <w:rFonts w:ascii="Times New Roman;Times;serif" w:hAnsi="Times New Roman;Times;serif"/>
          <w:sz w:val="24"/>
        </w:rPr>
        <w:t xml:space="preserve">so long as (A) no Default or Event of Default then exists or would result therefrom, </w:t>
      </w:r>
      <w:r>
        <w:rPr>
          <w:rFonts w:ascii="Times New Roman;Times;serif" w:hAnsi="Times New Roman;Times;serif"/>
          <w:b/>
          <w:color w:val="FF0000"/>
          <w:sz w:val="24"/>
        </w:rPr>
        <w:t>and</w:t>
      </w:r>
      <w:r>
        <w:rPr>
          <w:rFonts w:ascii="Times New Roman;Times;serif" w:hAnsi="Times New Roman;Times;serif"/>
          <w:sz w:val="20"/>
        </w:rPr>
        <w:t xml:space="preserve"> </w:t>
      </w:r>
      <w:r>
        <w:rPr>
          <w:rFonts w:ascii="Times New Roman;Times;serif" w:hAnsi="Times New Roman;Times;serif"/>
          <w:sz w:val="24"/>
        </w:rPr>
        <w:t xml:space="preserve">(B) </w:t>
      </w:r>
      <w:r>
        <w:rPr>
          <w:rFonts w:ascii="Times New Roman;Times;serif" w:hAnsi="Times New Roman;Times;serif"/>
          <w:b/>
          <w:color w:val="FF0000"/>
          <w:sz w:val="24"/>
        </w:rPr>
        <w:t>(x) if prior to the Trigger Date, Total Liquidity immediately after giving Pro Forma Effect to</w:t>
      </w:r>
      <w:r>
        <w:rPr>
          <w:rFonts w:ascii="Times New Roman;Times;serif" w:hAnsi="Times New Roman;Times;serif"/>
          <w:sz w:val="20"/>
        </w:rPr>
        <w:t xml:space="preserve"> </w:t>
      </w:r>
      <w:r>
        <w:rPr>
          <w:rFonts w:ascii="Times New Roman;Times;serif" w:hAnsi="Times New Roman;Times;serif"/>
          <w:sz w:val="24"/>
        </w:rPr>
        <w:t xml:space="preserve">such Restricted Debt Payment is </w:t>
      </w:r>
      <w:r>
        <w:rPr>
          <w:rFonts w:ascii="Times New Roman;Times;serif" w:hAnsi="Times New Roman;Times;serif"/>
          <w:b/>
          <w:color w:val="FF0000"/>
          <w:sz w:val="24"/>
        </w:rPr>
        <w:t>greater than or equal to $150,000,000, or (y) if</w:t>
      </w:r>
      <w:r>
        <w:rPr>
          <w:rFonts w:ascii="Times New Roman;Times;serif" w:hAnsi="Times New Roman;Times;serif"/>
          <w:b/>
          <w:color w:val="0000FF"/>
          <w:sz w:val="24"/>
        </w:rPr>
        <w:t>made</w:t>
      </w:r>
      <w:r>
        <w:rPr>
          <w:rFonts w:ascii="Times New Roman;Times;serif" w:hAnsi="Times New Roman;Times;serif"/>
          <w:sz w:val="20"/>
        </w:rPr>
        <w:t xml:space="preserve"> </w:t>
      </w:r>
      <w:r>
        <w:rPr>
          <w:rFonts w:ascii="Times New Roman;Times;serif" w:hAnsi="Times New Roman;Times;serif"/>
          <w:sz w:val="24"/>
        </w:rPr>
        <w:t xml:space="preserve">on or after the Trigger Date, </w:t>
      </w:r>
      <w:r>
        <w:rPr>
          <w:rFonts w:ascii="Times New Roman;Times;serif" w:hAnsi="Times New Roman;Times;serif"/>
          <w:b/>
          <w:color w:val="0000FF"/>
          <w:sz w:val="24"/>
        </w:rPr>
        <w:t>(C)</w:t>
      </w:r>
      <w:r>
        <w:rPr>
          <w:rFonts w:ascii="Times New Roman;Times;serif" w:hAnsi="Times New Roman;Times;serif"/>
          <w:sz w:val="20"/>
        </w:rPr>
        <w:t xml:space="preserve"> </w:t>
      </w:r>
      <w:r>
        <w:rPr>
          <w:rFonts w:ascii="Times New Roman;Times;serif" w:hAnsi="Times New Roman;Times;serif"/>
          <w:sz w:val="24"/>
        </w:rPr>
        <w:t xml:space="preserve">the Loan Parties would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immediately after giving Pro Forma Effect to such Restricted Debt Payment</w:t>
      </w:r>
      <w:r>
        <w:rPr>
          <w:rFonts w:ascii="Times New Roman;Times;serif" w:hAnsi="Times New Roman;Times;serif"/>
          <w:b/>
          <w:color w:val="0000FF"/>
          <w:sz w:val="24"/>
        </w:rPr>
        <w:t>,</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b/>
          <w:color w:val="0000FF"/>
          <w:sz w:val="24"/>
        </w:rPr>
        <w:t>(D)</w:t>
      </w:r>
      <w:r>
        <w:rPr>
          <w:rFonts w:ascii="Times New Roman;Times;serif" w:hAnsi="Times New Roman;Times;serif"/>
          <w:sz w:val="20"/>
        </w:rPr>
        <w:t xml:space="preserve"> </w:t>
      </w:r>
      <w:r>
        <w:rPr>
          <w:rFonts w:ascii="Times New Roman;Times;serif" w:hAnsi="Times New Roman;Times;serif"/>
          <w:sz w:val="24"/>
        </w:rPr>
        <w:t>the Consolidated Leverage Ratio immediately after giving Pro Forma Effect to such Restricted Debt Payment is less than or equal to 2.50:1.00;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Restricted Debt Payments consisting of regularly scheduled principal and interest when due in respect of Junior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w:t>
      </w:r>
      <w:r>
        <w:rPr>
          <w:rFonts w:ascii="Times New Roman;Times;serif" w:hAnsi="Times New Roman;Times;serif"/>
          <w:sz w:val="24"/>
        </w:rPr>
        <w:t>so long as no Default or Event of Default then exists or would result therefrom, the conversion of any Parent Convertible Notes into Qualified Equity Interests of the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w:t>
      </w:r>
      <w:r>
        <w:rPr>
          <w:rFonts w:ascii="Times New Roman;Times;serif" w:hAnsi="Times New Roman;Times;serif"/>
          <w:sz w:val="24"/>
        </w:rPr>
        <w:t xml:space="preserve">so long as no Default or Event of Default then exists or would result therefrom, refinancings of Parent Convertible Notes with the proceeds of Permitted Refinancing Indebtedness;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Indebtedness constituting such Permitted Refinancing Indebtedness shall (A) be unsecured and issued by the Parent and structurally subordinated to the Obligations, (B) not be guaranteed by or otherwise recourse to the Parent Borrower or any of its Subsidiaries, and (C) contain terms which (x) are customary for similar types of Indebtedness at such time (as reasonably determined by the Parent) and (y) are not more restrictive on the Parent and its Subsidiaries than this Agreement and do not contain any financial maintenance covenants;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rPr>
        <w:t xml:space="preserve">the Parent may make Restricted Debt Payments in respect of the Parent Convertible Notes not otherwise permitted under this </w:t>
      </w:r>
      <w:r>
        <w:rPr>
          <w:rFonts w:ascii="Times New Roman;Times;serif" w:hAnsi="Times New Roman;Times;serif"/>
          <w:sz w:val="24"/>
          <w:u w:val="single"/>
        </w:rPr>
        <w:t>Section 6.05(b)</w:t>
      </w:r>
      <w:r>
        <w:rPr>
          <w:rFonts w:ascii="Times New Roman;Times;serif" w:hAnsi="Times New Roman;Times;serif"/>
          <w:sz w:val="20"/>
        </w:rPr>
        <w:t xml:space="preserve"> </w:t>
      </w:r>
      <w:r>
        <w:rPr>
          <w:rFonts w:ascii="Times New Roman;Times;serif" w:hAnsi="Times New Roman;Times;serif"/>
          <w:sz w:val="24"/>
        </w:rPr>
        <w:t xml:space="preserve">solely </w:t>
      </w:r>
      <w:r>
        <w:rPr>
          <w:rFonts w:ascii="Times New Roman;Times;serif" w:hAnsi="Times New Roman;Times;serif"/>
          <w:b/>
          <w:color w:val="0000FF"/>
          <w:sz w:val="24"/>
        </w:rPr>
        <w:t>(A) in an amount equal to the Available Equity Amount at the time such Restricted Debt Payments are made so long as, in the case of this clause (A), no Default or Event of Default then exists or would result therefrom and (B)</w:t>
      </w:r>
      <w:r>
        <w:rPr>
          <w:rFonts w:ascii="Times New Roman;Times;serif" w:hAnsi="Times New Roman;Times;serif"/>
          <w:sz w:val="20"/>
        </w:rPr>
        <w:t xml:space="preserve"> </w:t>
      </w:r>
      <w:r>
        <w:rPr>
          <w:rFonts w:ascii="Times New Roman;Times;serif" w:hAnsi="Times New Roman;Times;serif"/>
          <w:sz w:val="24"/>
        </w:rPr>
        <w:t>from internally generated cash flow of the Parent and its Subsidiaries (for the avoidance of doubt, not including proceeds of any Revolving Loans), so long as</w:t>
      </w:r>
      <w:r>
        <w:rPr>
          <w:rFonts w:ascii="Times New Roman;Times;serif" w:hAnsi="Times New Roman;Times;serif"/>
          <w:b/>
          <w:color w:val="0000FF"/>
          <w:sz w:val="24"/>
        </w:rPr>
        <w:t>, in the case of this clause (B),</w:t>
      </w:r>
      <w:r>
        <w:rPr>
          <w:rFonts w:ascii="Times New Roman;Times;serif" w:hAnsi="Times New Roman;Times;serif"/>
          <w:sz w:val="20"/>
        </w:rPr>
        <w:t xml:space="preserve"> </w:t>
      </w:r>
      <w:r>
        <w:rPr>
          <w:rFonts w:ascii="Times New Roman;Times;serif" w:hAnsi="Times New Roman;Times;serif"/>
          <w:sz w:val="24"/>
        </w:rPr>
        <w:t>(x) no Default or Event of Default then exists or would result therefrom and (y) Total Liquidity immediately after giving Pro Forma Effect to such Restricted Debt Payment is greater than or equal to $750,000,000;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(ix)</w:t>
      </w:r>
      <w:r>
        <w:rPr>
          <w:rFonts w:ascii="Times New Roman;Times;serif" w:hAnsi="Times New Roman;Times;serif"/>
          <w:sz w:val="24"/>
        </w:rPr>
        <w:t xml:space="preserve">so long as no Default or Event of Default then exists or would result therefrom, the Loan Parties may make Restricted Debt Payments not otherwise permitted under this </w:t>
      </w:r>
      <w:r>
        <w:rPr>
          <w:rFonts w:ascii="Times New Roman;Times;serif" w:hAnsi="Times New Roman;Times;serif"/>
          <w:sz w:val="24"/>
          <w:u w:val="single"/>
        </w:rPr>
        <w:t>Section 6.05(b)</w:t>
      </w:r>
      <w:r>
        <w:rPr>
          <w:rFonts w:ascii="Times New Roman;Times;serif" w:hAnsi="Times New Roman;Times;serif"/>
          <w:sz w:val="20"/>
        </w:rPr>
        <w:t xml:space="preserve"> </w:t>
      </w:r>
      <w:r>
        <w:rPr>
          <w:rFonts w:ascii="Times New Roman;Times;serif" w:hAnsi="Times New Roman;Times;serif"/>
          <w:sz w:val="24"/>
        </w:rPr>
        <w:t>in an amount equal to the Available Equity Amount at the time such Restricted Debt Payments are made</w:t>
      </w:r>
      <w:r>
        <w:rPr>
          <w:rFonts w:ascii="Times New Roman;Times;serif" w:hAnsi="Times New Roman;Times;serif"/>
          <w:b/>
          <w:color w:val="0000FF"/>
          <w:sz w:val="24"/>
        </w:rPr>
        <w:t>, in each case, so long as such Restricted Debt Payment is made on or after the Trigger Date</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anything to the contrary contained in this </w:t>
      </w:r>
      <w:r>
        <w:rPr>
          <w:rFonts w:ascii="Times New Roman;Times;serif" w:hAnsi="Times New Roman;Times;serif"/>
          <w:sz w:val="24"/>
          <w:u w:val="single"/>
        </w:rPr>
        <w:t>Section 6.05(b)</w:t>
      </w:r>
      <w:r>
        <w:rPr>
          <w:rFonts w:ascii="Times New Roman;Times;serif" w:hAnsi="Times New Roman;Times;serif"/>
          <w:sz w:val="24"/>
        </w:rPr>
        <w:t>, in no event shall any payment in respect of subordinated Indebtedness be permitted if such payment is in violation of the subordination provisions of such subordinated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Loan Party will not, and will not permit any of its Subsidiaries to, amend, modify, waive or otherwise change, or consent or agree to any amendment, modification, waiver or other change to, any of the terms of any Junior</w:t>
      </w:r>
      <w:r>
        <w:rPr>
          <w:rFonts w:ascii="Times New Roman;Times;serif" w:hAnsi="Times New Roman;Times;serif"/>
          <w:sz w:val="20"/>
        </w:rPr>
        <w:t xml:space="preserve"> </w:t>
      </w:r>
      <w:r>
        <w:rPr>
          <w:rFonts w:ascii="Times New Roman;Times;serif" w:hAnsi="Times New Roman;Times;serif"/>
          <w:sz w:val="24"/>
        </w:rPr>
        <w:t>Debt or any Parent Convertible Notes (in each case, other than any such amendment, modification, waiver or other change that would not materially and adversely affect the interests of the Lenders so long as no Event of Default has occurred and is continuing or would result therefrom).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the foregoing, during the Specified Post-Closing Period, for purposes of this </w:t>
      </w:r>
      <w:r>
        <w:rPr>
          <w:rFonts w:ascii="Times New Roman;Times;serif" w:hAnsi="Times New Roman;Times;serif"/>
          <w:sz w:val="24"/>
          <w:u w:val="single"/>
        </w:rPr>
        <w:t>Section 6.05,</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 deemed to be a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6.06</w:t>
      </w:r>
      <w:r>
        <w:rPr>
          <w:rFonts w:ascii="Times New Roman;Times;serif" w:hAnsi="Times New Roman;Times;serif"/>
          <w:sz w:val="24"/>
          <w:u w:val="single"/>
        </w:rPr>
        <w:t>Restrictive Agreements</w:t>
      </w:r>
      <w:r>
        <w:rPr>
          <w:rFonts w:ascii="Times New Roman;Times;serif" w:hAnsi="Times New Roman;Times;serif"/>
          <w:sz w:val="24"/>
        </w:rPr>
        <w:t xml:space="preserve">. Each Loan Party will not, and will not permit any of its Subsidiaries to, directly or indirectly, enter into, incur or permit to exist any agreement or other arrangement that prohibits, restricts or imposes any condition upon (a) the ability of the Parent Borrower or any Subsidiary to create, incur or permit to exist any Lien upon any of its property or assets to secure the Obligations, or (b) the ability of any Subsidiary to pay dividends or other distributions with respect to any shares of its capital stock or other Equity Interests or to make or repay loans or advances to the Parent Borrower or any other Subsidiary or of any Loan Party to Guarantee Indebtedness of the Parent Borrower or any other Subsidiary under the Loan Documents;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the foregoing shall not apply to restrictions and conditions imposed by law or by this Agreement or any other Loan Document, (ii) the foregoing shall not apply to restrictions and conditions existing on the Effective Date identified on </w:t>
      </w:r>
      <w:r>
        <w:rPr>
          <w:rFonts w:ascii="Times New Roman;Times;serif" w:hAnsi="Times New Roman;Times;serif"/>
          <w:sz w:val="24"/>
          <w:u w:val="single"/>
        </w:rPr>
        <w:t>Schedule 6.06</w:t>
      </w:r>
      <w:r>
        <w:rPr>
          <w:rFonts w:ascii="Times New Roman;Times;serif" w:hAnsi="Times New Roman;Times;serif"/>
          <w:sz w:val="20"/>
        </w:rPr>
        <w:t xml:space="preserve"> </w:t>
      </w:r>
      <w:r>
        <w:rPr>
          <w:rFonts w:ascii="Times New Roman;Times;serif" w:hAnsi="Times New Roman;Times;serif"/>
          <w:sz w:val="24"/>
        </w:rPr>
        <w:t>(or to any extension or renewal of, or any amendment or modification not materially expanding the scope of, any such restrictions or conditions taken as a whole), (iii) the foregoing shall not apply to customary restrictions and conditions contained in agreements relating to the sale of a Subsidiary or assets of the Parent or any Subsidiary pending such sale, provided such restrictions and conditions apply only to the Subsidiary or assets to be sold and such sale is not prohibited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hereunder, (iv) the foregoing shall not apply to any agreement or restriction or condition in effect at the time any Subsidiary becomes a Subsidiary of the Parent, so long as such agreement was not entered into solely in contemplation of such Person becoming a Subsidiary of the Parent, (v) the foregoing shall not apply to customary provisions in joint venture agreements and other similar agreements applicable to joint ventures, (vi) 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 shall not apply to customary provisions in leases, licenses, subleases and sublicenses and other contracts, (viii) the foregoing shall not apply to restrictions or conditions set forth in any agreement governing Indebtedness not prohibited by </w:t>
      </w:r>
      <w:r>
        <w:rPr>
          <w:rFonts w:ascii="Times New Roman;Times;serif" w:hAnsi="Times New Roman;Times;serif"/>
          <w:sz w:val="24"/>
          <w:u w:val="single"/>
        </w:rPr>
        <w:t>Section 6.01</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such restrictions and conditions are customary for such type of Indebtedness, and (ix) the foregoing shall not apply to restrictions on cash or other deposits (including escrowed funds) imposed under contracts entered into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6.07</w:t>
      </w:r>
      <w:r>
        <w:rPr>
          <w:rFonts w:ascii="Times New Roman;Times;serif" w:hAnsi="Times New Roman;Times;serif"/>
          <w:sz w:val="24"/>
          <w:u w:val="single"/>
        </w:rPr>
        <w:t>Transactions with Affiliates</w:t>
      </w:r>
      <w:r>
        <w:rPr>
          <w:rFonts w:ascii="Times New Roman;Times;serif" w:hAnsi="Times New Roman;Times;serif"/>
          <w:sz w:val="24"/>
        </w:rPr>
        <w:t xml:space="preserve">. Each Loan Party will not, and will not permit any of its Subsidiaries to, sell, lease or otherwise transfer any property or assets to, or purchase, lease or otherwise acquire any property or assets from, or otherwise engage in any other transactions with, any of its Affiliates (other than between or among the Parent and its Subsidiaries to the extent otherwise permitted hereunder), except (a) on terms and conditions not less favorable to the Parent or such Subsidiary than could be obtained on an arm’s-length basis from unrelated third parties, (b) payment of customary directors’ fees, reasonable out-of-pocket expense reimbursement, indemnities (including the provision of directors and officers insurance) and compensation arrangements for members of the board of directors, officers or other employees of the Parent or any of its Subsidiaries, (c) transactions approved by a majority of the disinterested directors of the Parent’s board of directors or the audit committee thereof, (d) any transaction involving amounts less than, in the aggregate, the greater of (i) $45,000,000 and (ii) 3.0% of the Total Assets at such time, (e) any Restricted Payment permitted by </w:t>
      </w:r>
      <w:r>
        <w:rPr>
          <w:rFonts w:ascii="Times New Roman;Times;serif" w:hAnsi="Times New Roman;Times;serif"/>
          <w:sz w:val="24"/>
          <w:u w:val="single"/>
        </w:rPr>
        <w:t>Section 6.05(a)</w:t>
      </w:r>
      <w:r>
        <w:rPr>
          <w:rFonts w:ascii="Times New Roman;Times;serif" w:hAnsi="Times New Roman;Times;serif"/>
          <w:sz w:val="24"/>
        </w:rPr>
        <w:t xml:space="preserve">, (f) Cash Pooling Arrangements to the extent permitted under </w:t>
      </w:r>
      <w:r>
        <w:rPr>
          <w:rFonts w:ascii="Times New Roman;Times;serif" w:hAnsi="Times New Roman;Times;serif"/>
          <w:sz w:val="24"/>
          <w:u w:val="single"/>
        </w:rPr>
        <w:t>Sections 6.01</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6.04</w:t>
      </w:r>
      <w:r>
        <w:rPr>
          <w:rFonts w:ascii="Times New Roman;Times;serif" w:hAnsi="Times New Roman;Times;serif"/>
          <w:sz w:val="24"/>
        </w:rPr>
        <w:t xml:space="preserve">, and (g) the agreements listed on </w:t>
      </w:r>
      <w:r>
        <w:rPr>
          <w:rFonts w:ascii="Times New Roman;Times;serif" w:hAnsi="Times New Roman;Times;serif"/>
          <w:sz w:val="24"/>
          <w:u w:val="single"/>
        </w:rPr>
        <w:t>Schedule 6.07</w:t>
      </w:r>
      <w:r>
        <w:rPr>
          <w:rFonts w:ascii="Times New Roman;Times;serif" w:hAnsi="Times New Roman;Times;serif"/>
          <w:sz w:val="20"/>
        </w:rPr>
        <w:t xml:space="preserve"> </w:t>
      </w:r>
      <w:r>
        <w:rPr>
          <w:rFonts w:ascii="Times New Roman;Times;serif" w:hAnsi="Times New Roman;Times;serif"/>
          <w:sz w:val="24"/>
        </w:rPr>
        <w: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6.08</w:t>
      </w:r>
      <w:r>
        <w:rPr>
          <w:rFonts w:ascii="Times New Roman;Times;serif" w:hAnsi="Times New Roman;Times;serif"/>
          <w:sz w:val="24"/>
          <w:u w:val="single"/>
        </w:rPr>
        <w:t>Use of Proceeds</w:t>
      </w:r>
      <w:r>
        <w:rPr>
          <w:rFonts w:ascii="Times New Roman;Times;serif" w:hAnsi="Times New Roman;Times;serif"/>
          <w:sz w:val="24"/>
        </w:rPr>
        <w:t xml:space="preserve">. The Borrowers will not request any Borrowing or Letter of Credit, and the Borrowers shall not use, and shall procure that their Subsidiaries and their and their Subsidiaries’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Without limiting the foregoing, the provisions of </w:t>
      </w:r>
      <w:r>
        <w:rPr>
          <w:rFonts w:ascii="Times New Roman;Times;serif" w:hAnsi="Times New Roman;Times;serif"/>
          <w:sz w:val="24"/>
          <w:u w:val="single"/>
        </w:rPr>
        <w:t>Section 6.08</w:t>
      </w:r>
      <w:r>
        <w:rPr>
          <w:rFonts w:ascii="Times New Roman;Times;serif" w:hAnsi="Times New Roman;Times;serif"/>
          <w:sz w:val="20"/>
        </w:rPr>
        <w:t xml:space="preserve"> </w:t>
      </w:r>
      <w:r>
        <w:rPr>
          <w:rFonts w:ascii="Times New Roman;Times;serif" w:hAnsi="Times New Roman;Times;serif"/>
          <w:sz w:val="24"/>
        </w:rPr>
        <w:t>shall not be interpreted to contravene, or require any notification to the Attorney General of Canada under, the Foreign Extraterritorial Measures (United States) Order, 1992, the Foreign Extraterritorial Measures Act (Canada) or any other applicable law in effect in Canada from time to time, by any Canadian Loan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6.09</w:t>
      </w:r>
      <w:r>
        <w:rPr>
          <w:rFonts w:ascii="Times New Roman;Times;serif" w:hAnsi="Times New Roman;Times;serif"/>
          <w:sz w:val="24"/>
          <w:u w:val="single"/>
        </w:rPr>
        <w:t>Disposition of Property</w:t>
      </w:r>
      <w:r>
        <w:rPr>
          <w:rFonts w:ascii="Times New Roman;Times;serif" w:hAnsi="Times New Roman;Times;serif"/>
          <w:sz w:val="24"/>
        </w:rPr>
        <w:t>. Each Loan Party will not, and will not permit any of its Subsidiaries to, Dispose of any of its property, whether now owned or hereafter acquired, in each case, except: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Dispositions of obsolete or worn out property in the ordinary course of business or property that is no longer used or useful in the Parent’s or its Subsidiaries’ business and the leasing or subleasing in the ordinary course of business of owned or leased properties which are excess properties or are no longer used or useful in the Parent’s or its Subsidiaries’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sale of inventory and other immaterial assets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(i) Dispositions to a Loan Party (other than the Parent), (ii) Dispositions by an Excluded Subsidiary to any other Excluded Subsidiary, and (iii) Dispositions by a Loan Party to an Excluded Subsidiary that are otherwise permitted under </w:t>
      </w:r>
      <w:r>
        <w:rPr>
          <w:rFonts w:ascii="Times New Roman;Times;serif" w:hAnsi="Times New Roman;Times;serif"/>
          <w:sz w:val="24"/>
          <w:u w:val="single"/>
        </w:rPr>
        <w:t>Section 6.04</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(i) Dispositions that constitute Investments that are permitted under </w:t>
      </w:r>
      <w:r>
        <w:rPr>
          <w:rFonts w:ascii="Times New Roman;Times;serif" w:hAnsi="Times New Roman;Times;serif"/>
          <w:sz w:val="24"/>
          <w:u w:val="single"/>
        </w:rPr>
        <w:t>Section 6.04,</w:t>
      </w:r>
      <w:r>
        <w:rPr>
          <w:rFonts w:ascii="Times New Roman;Times;serif" w:hAnsi="Times New Roman;Times;serif"/>
          <w:sz w:val="20"/>
        </w:rPr>
        <w:t xml:space="preserve"> </w:t>
      </w:r>
      <w:r>
        <w:rPr>
          <w:rFonts w:ascii="Times New Roman;Times;serif" w:hAnsi="Times New Roman;Times;serif"/>
          <w:sz w:val="24"/>
        </w:rPr>
        <w:t xml:space="preserve">(ii) Dispositions that constitute Restricted Payments that are permitted under </w:t>
      </w:r>
      <w:r>
        <w:rPr>
          <w:rFonts w:ascii="Times New Roman;Times;serif" w:hAnsi="Times New Roman;Times;serif"/>
          <w:sz w:val="24"/>
          <w:u w:val="single"/>
        </w:rPr>
        <w:t>Section 6.05(a)</w:t>
      </w:r>
      <w:r>
        <w:rPr>
          <w:rFonts w:ascii="Times New Roman;Times;serif" w:hAnsi="Times New Roman;Times;serif"/>
          <w:sz w:val="24"/>
        </w:rPr>
        <w:t xml:space="preserve">, and (iii) Dispositions that constitute Liens that are permitted under </w:t>
      </w:r>
      <w:r>
        <w:rPr>
          <w:rFonts w:ascii="Times New Roman;Times;serif" w:hAnsi="Times New Roman;Times;serif"/>
          <w:sz w:val="24"/>
          <w:u w:val="single"/>
        </w:rPr>
        <w:t>Section 6.02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any sale, contribution, assignment or other transfer of Receivables Assets to a Receivables Subsidiary in a Permitted Receivables Facility or to any other Person in a Permitted Factoring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Dispositions permitted by </w:t>
      </w:r>
      <w:r>
        <w:rPr>
          <w:rFonts w:ascii="Times New Roman;Times;serif" w:hAnsi="Times New Roman;Times;serif"/>
          <w:sz w:val="24"/>
          <w:u w:val="single"/>
        </w:rPr>
        <w:t>clause (iii)</w:t>
      </w:r>
      <w:r>
        <w:rPr>
          <w:rFonts w:ascii="Times New Roman;Times;serif" w:hAnsi="Times New Roman;Times;serif"/>
          <w:sz w:val="24"/>
        </w:rPr>
        <w:t xml:space="preserve">, </w:t>
      </w:r>
      <w:r>
        <w:rPr>
          <w:rFonts w:ascii="Times New Roman;Times;serif" w:hAnsi="Times New Roman;Times;serif"/>
          <w:sz w:val="24"/>
          <w:u w:val="single"/>
        </w:rPr>
        <w:t>(iv)</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(vi)</w:t>
      </w:r>
      <w:r>
        <w:rPr>
          <w:rFonts w:ascii="Times New Roman;Times;serif" w:hAnsi="Times New Roman;Times;serif"/>
          <w:sz w:val="20"/>
        </w:rPr>
        <w:t xml:space="preserve"> </w:t>
      </w:r>
      <w:r>
        <w:rPr>
          <w:rFonts w:ascii="Times New Roman;Times;serif" w:hAnsi="Times New Roman;Times;serif"/>
          <w:sz w:val="24"/>
        </w:rPr>
        <w:t xml:space="preserve">of </w:t>
      </w:r>
      <w:r>
        <w:rPr>
          <w:rFonts w:ascii="Times New Roman;Times;serif" w:hAnsi="Times New Roman;Times;serif"/>
          <w:sz w:val="24"/>
          <w:u w:val="single"/>
        </w:rPr>
        <w:t>Section 6.03(a)</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the grant in the ordinary course of business of any non-exclusive licenses of Intellectual Property, to the extent they do not materially interfere with the operation of the business of the Parent and its Subsidiaries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the lapse, abandonment, or other Dispositions of Intellectual Property of the Parent or any of its Subsidiaries that, in the good faith determination of the Parent or such Subsidiary, is no longer economically desirable to maintain or useful in the conduct of the business of the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sale or issuance of any Subsidiary’s Equity Interests to the Parent Borrower or any Loan Party that is a Wholly Owned Subsidiary (provided if such Subsidiary is a Domestic Subsidiary, such sale or issuance shall be to a U.S.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so long as no Default or Event of Default then exists or would result therefrom, the Disposition of other property having a fair market value not to exceed $15,000,000 in the aggregate for each fiscal year of the Parent;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 xml:space="preserve">Dispositions of other property or assets;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at the time of such Disposition (other than any such Disposition made pursuant to a legally binding commitment entered into at a time when no Default or Event of Default exists or would result therefrom), no Default or Event of Default then exists or would result from such Disposition, (ii) such Disposition is for fair market value as reasonably determined by the Parent Borrower, and (iii) if the fair market value exceeds $10,000,000 in the aggregate, not less than 75% of the total consideration for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asset or property sold in such Disposition shall be in the form of cash or Cash Equivalents (with (A) any debt secured by such property assumed by the purchaser of such property, (B) any consideration received in the form of Indebtedness that is converted into cash within 90 days after the Disposition of such property, and (C) aggregate non-cash consideration received by the Parent or applicable Subsidiary having an aggregate fair market value (determined for all Dispositions as of the closing of the applicable Disposition for which such non-cash consideration is received) not to exceed in the aggregate </w:t>
      </w:r>
      <w:r>
        <w:rPr>
          <w:rFonts w:ascii="Times New Roman;Times;serif" w:hAnsi="Times New Roman;Times;serif"/>
          <w:b/>
          <w:color w:val="0000FF"/>
          <w:sz w:val="24"/>
        </w:rPr>
        <w:t>(x) prior to the Trigger Date, the greater of (i) $25,000,000 and (ii) 1.101% of Total Assets at such time and (y) from and after the Trigger Date,</w:t>
      </w:r>
      <w:r>
        <w:rPr>
          <w:rFonts w:ascii="Times New Roman;Times;serif" w:hAnsi="Times New Roman;Times;serif"/>
          <w:sz w:val="20"/>
        </w:rPr>
        <w:t xml:space="preserve"> </w:t>
      </w:r>
      <w:r>
        <w:rPr>
          <w:rFonts w:ascii="Times New Roman;Times;serif" w:hAnsi="Times New Roman;Times;serif"/>
          <w:sz w:val="24"/>
        </w:rPr>
        <w:t>the greater of (i) $45,000,000 and (ii) 3.0% of the Total Assets at such time, in each case deemed to be cash for purposes of this provision);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Dispositions of Investments in joint ventures to the extent required by, or made pursuant to customary buy/sell arrangements, drag-along rights, put rights, call rights or similar arrangements between, the joint venture parties set forth in joint venture arrangements and similar binding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Dispositions, terminations or non-renewals of leases or subleases or licensing or sublicensing agreements (i) the Disposition, termination or non-renewal of which will not materially interfere with the business of the Parent and its Subsidiaries or (ii) which relate to closed facilities or the discontinuation of any product line to the extent such closing or discontinuation is permitted pursuant to the terms herein, or (iii) is made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Dispositions of cash, Cash Equivalents and short-term marketable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Disposition of receivables in connection with the compromise, settlement or collection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any surrender or waiver of contractual rights or the settlement, release, recovery on or surrender of contract, tort or other claims of any kind that occur in the ordinary course of the Parent’s or any Subsidiary’s business;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(r)</w:t>
      </w:r>
      <w:r>
        <w:rPr>
          <w:rFonts w:ascii="Times New Roman;Times;serif" w:hAnsi="Times New Roman;Times;serif"/>
          <w:sz w:val="24"/>
        </w:rPr>
        <w:t>Dispositions consisting of the transfer of contracts from a Loan Party to another Loan Party (other than the Parent), from an Excluded Subsidiary to a Loan Party (other than the Parent), or from an Excluded Subsidiary to another Excluded Subsidiary.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Notwithstanding the foregoing, during the Specified Post-Closing Period, for purposes of this </w:t>
      </w:r>
      <w:r>
        <w:rPr>
          <w:rFonts w:ascii="Times New Roman;Times;serif" w:hAnsi="Times New Roman;Times;serif"/>
          <w:sz w:val="24"/>
          <w:u w:val="single"/>
        </w:rPr>
        <w:t>Section 6.09,</w:t>
      </w:r>
      <w:r>
        <w:rPr>
          <w:rFonts w:ascii="Times New Roman;Times;serif" w:hAnsi="Times New Roman;Times;serif"/>
          <w:sz w:val="20"/>
        </w:rPr>
        <w:t xml:space="preserve"> </w:t>
      </w:r>
      <w:r>
        <w:rPr>
          <w:rFonts w:ascii="Times New Roman;Times;serif" w:hAnsi="Times New Roman;Times;serif"/>
          <w:sz w:val="24"/>
        </w:rPr>
        <w:t xml:space="preserve">each direct or indirect Foreign Subsidiary of Parent Borrower described as a “Guarantor” on </w:t>
      </w:r>
      <w:r>
        <w:rPr>
          <w:rFonts w:ascii="Times New Roman;Times;serif" w:hAnsi="Times New Roman;Times;serif"/>
          <w:sz w:val="24"/>
          <w:u w:val="single"/>
        </w:rPr>
        <w:t>Schedule 3.13</w:t>
      </w:r>
      <w:r>
        <w:rPr>
          <w:rFonts w:ascii="Times New Roman;Times;serif" w:hAnsi="Times New Roman;Times;serif"/>
          <w:sz w:val="20"/>
        </w:rPr>
        <w:t xml:space="preserve"> </w:t>
      </w:r>
      <w:r>
        <w:rPr>
          <w:rFonts w:ascii="Times New Roman;Times;serif" w:hAnsi="Times New Roman;Times;serif"/>
          <w:sz w:val="24"/>
        </w:rPr>
        <w:t>hereto shall be deemed to be a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6.10</w:t>
      </w:r>
      <w:r>
        <w:rPr>
          <w:rFonts w:ascii="Times New Roman;Times;serif" w:hAnsi="Times New Roman;Times;serif"/>
          <w:sz w:val="24"/>
          <w:u w:val="single"/>
        </w:rPr>
        <w:t>Financial Covenants</w:t>
      </w:r>
      <w:r>
        <w:rPr>
          <w:rFonts w:ascii="Times New Roman;Times;serif" w:hAnsi="Times New Roman;Times;serif"/>
          <w:sz w:val="24"/>
        </w:rPr>
        <w:t>. The Loan Parties will not, and will not permit any of their Subsidiaries to, permit: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from the Amendment No. 3 Effective Date through and including December 31, </w:t>
      </w:r>
      <w:r>
        <w:rPr>
          <w:rFonts w:ascii="Times New Roman;Times;serif" w:hAnsi="Times New Roman;Times;serif"/>
          <w:b/>
          <w:color w:val="FF0000"/>
          <w:sz w:val="24"/>
        </w:rPr>
        <w:t>2025</w:t>
      </w:r>
      <w:r>
        <w:rPr>
          <w:rFonts w:ascii="Times New Roman;Times;serif" w:hAnsi="Times New Roman;Times;serif"/>
          <w:b/>
          <w:color w:val="0000FF"/>
          <w:sz w:val="24"/>
        </w:rPr>
        <w:t>2026</w:t>
      </w:r>
      <w:r>
        <w:rPr>
          <w:rFonts w:ascii="Times New Roman;Times;serif" w:hAnsi="Times New Roman;Times;serif"/>
          <w:sz w:val="24"/>
        </w:rPr>
        <w:t>, Total Liquidity at any time to be less than $150,000,000;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from and after January 1, </w:t>
      </w:r>
      <w:r>
        <w:rPr>
          <w:rFonts w:ascii="Times New Roman;Times;serif" w:hAnsi="Times New Roman;Times;serif"/>
          <w:b/>
          <w:color w:val="FF0000"/>
          <w:sz w:val="24"/>
        </w:rPr>
        <w:t>2026</w:t>
      </w:r>
      <w:r>
        <w:rPr>
          <w:rFonts w:ascii="Times New Roman;Times;serif" w:hAnsi="Times New Roman;Times;serif"/>
          <w:b/>
          <w:color w:val="0000FF"/>
          <w:sz w:val="24"/>
        </w:rPr>
        <w:t>2027</w:t>
      </w:r>
      <w:r>
        <w:rPr>
          <w:rFonts w:ascii="Times New Roman;Times;serif" w:hAnsi="Times New Roman;Times;serif"/>
          <w:sz w:val="24"/>
        </w:rPr>
        <w:t>, (i) Total Liquidity at any time to be less than $100,000,000 or (ii) the Consolidated Leverage Ratio as of the last day of any Measurement Period to exceed 3.50:1.00;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at each Guarantor Coverage Test Date, the Loan Parties and their Subsidiaries to fail to be in compliance with the Guarantor Coverage Test determined as of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6.11</w:t>
      </w:r>
      <w:r>
        <w:rPr>
          <w:rFonts w:ascii="Times New Roman;Times;serif" w:hAnsi="Times New Roman;Times;serif"/>
          <w:sz w:val="24"/>
          <w:u w:val="single"/>
        </w:rPr>
        <w:t>Swap Agreements</w:t>
      </w:r>
      <w:r>
        <w:rPr>
          <w:rFonts w:ascii="Times New Roman;Times;serif" w:hAnsi="Times New Roman;Times;serif"/>
          <w:sz w:val="24"/>
        </w:rPr>
        <w:t>. Neither any Borrower nor any Guarantor will enter into any Swap Agreement for purely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6.12</w:t>
      </w:r>
      <w:r>
        <w:rPr>
          <w:rFonts w:ascii="Times New Roman;Times;serif" w:hAnsi="Times New Roman;Times;serif"/>
          <w:sz w:val="24"/>
          <w:u w:val="single"/>
        </w:rPr>
        <w:t>Permitted Activities of Parent</w:t>
      </w:r>
      <w:r>
        <w:rPr>
          <w:rFonts w:ascii="Times New Roman;Times;serif" w:hAnsi="Times New Roman;Times;serif"/>
          <w:sz w:val="24"/>
        </w:rPr>
        <w:t>. The Parent shall not: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incur any Indebtedness for borrowed money other than (i) Guarantees of Indebtedness or other obligations of the Parent Borrower and/or any Subsidiary, which Indebtedness or other obligations are otherwise permitted hereunder, (ii) Indebtedness owed to the Parent Borrower or any Subsidiary otherwise permitted hereunder, and (iii) the Parent Convertible Notes, so long as, in the case of this clause (iii), at the time of the incurrence of such Indebtedness (x) no Default or Event of Default then exists or would result therefrom and (y) the Loan Parties shall be in compliance with </w:t>
      </w:r>
      <w:r>
        <w:rPr>
          <w:rFonts w:ascii="Times New Roman;Times;serif" w:hAnsi="Times New Roman;Times;serif"/>
          <w:sz w:val="24"/>
          <w:u w:val="single"/>
        </w:rPr>
        <w:t>Section 6.10</w:t>
      </w:r>
      <w:r>
        <w:rPr>
          <w:rFonts w:ascii="Times New Roman;Times;serif" w:hAnsi="Times New Roman;Times;serif"/>
          <w:sz w:val="20"/>
        </w:rPr>
        <w:t xml:space="preserve"> </w:t>
      </w:r>
      <w:r>
        <w:rPr>
          <w:rFonts w:ascii="Times New Roman;Times;serif" w:hAnsi="Times New Roman;Times;serif"/>
          <w:sz w:val="24"/>
        </w:rPr>
        <w:t>immediately after giving Pro Forma Effect to the issuance of such Parent Convertible Notes and the application the proceeds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create or suffer to exist any Lien on any property or asset now owned or hereafter acquired by it other than (i) the Liens created under the Security Documents and (ii) Liens of the type permitted under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 xml:space="preserve">(other than in respect of Indebtedness for borrowed money not referred to in </w:t>
      </w:r>
      <w:r>
        <w:rPr>
          <w:rFonts w:ascii="Times New Roman;Times;serif" w:hAnsi="Times New Roman;Times;serif"/>
          <w:sz w:val="24"/>
          <w:u w:val="single"/>
        </w:rPr>
        <w:t>clause (a)(i)</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(a)(ii)</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Section 6.12</w:t>
      </w:r>
      <w:r>
        <w:rPr>
          <w:rFonts w:ascii="Times New Roman;Times;serif" w:hAnsi="Times New Roman;Times;serif"/>
          <w:sz w:val="24"/>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engage in any material business activity or own any material assets other than (i) holding the Equity Interests of the Parent Borrower, and, indirectly, any other Subsidiary of the Parent Borrower (and/or any joint venture of any thereof) or Indebtedness owing by, the Parent Borrower, (ii) performing its obligations under the Loan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Equity Interest permitted hereunder) and the maintenance and administration of equity subscriptions, stock option and stock ownership plans and activities incidental thereto; (iv) filing tax reports and paying Taxes, including tax distributions made pursuant to </w:t>
      </w:r>
      <w:r>
        <w:rPr>
          <w:rFonts w:ascii="Times New Roman;Times;serif" w:hAnsi="Times New Roman;Times;serif"/>
          <w:sz w:val="24"/>
          <w:u w:val="single"/>
        </w:rPr>
        <w:t>Section 6.05(a)(x)</w:t>
      </w:r>
      <w:r>
        <w:rPr>
          <w:rFonts w:ascii="Times New Roman;Times;serif" w:hAnsi="Times New Roman;Times;serif"/>
          <w:sz w:val="20"/>
        </w:rPr>
        <w:t xml:space="preserve"> </w:t>
      </w:r>
      <w:r>
        <w:rPr>
          <w:rFonts w:ascii="Times New Roman;Times;serif" w:hAnsi="Times New Roman;Times;serif"/>
          <w:sz w:val="24"/>
        </w:rPr>
        <w:t>and other customary obligations in the ordinary course (and contesting any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laws; (vii) effecting any public offering of its Equity Interests;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Equity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Interest of, the Parent pending the application thereof, or otherwise received and held so long as such other assets are not “operated” and (B) the proceeds of Indebtedness permitted by </w:t>
      </w:r>
      <w:r>
        <w:rPr>
          <w:rFonts w:ascii="Times New Roman;Times;serif" w:hAnsi="Times New Roman;Times;serif"/>
          <w:sz w:val="24"/>
          <w:u w:val="single"/>
        </w:rPr>
        <w:t>Section 6.01</w:t>
      </w:r>
      <w:r>
        <w:rPr>
          <w:rFonts w:ascii="Times New Roman;Times;serif" w:hAnsi="Times New Roman;Times;serif"/>
          <w:sz w:val="24"/>
        </w:rPr>
        <w:t xml:space="preserve">; (ix) providing indemnification for its officers, directors, members of management, employees and advisors or consultants and other ordinary course obligations; (x) participating in tax, accounting and other administrative matters; (xi) the performance of its obligations under any document, agreement and/or investment contemplated by the Transactions or otherwise not prohibited under this Agreement, including the preparation of financial statements and other reporting obligations required under this Agreement; (xii) complying with applicable laws (including with respect to the maintenance of its corporate existence and activities incidental thereto); (xiii) financing activities, including the receipt and payment of dividends and distributions and the making of certain other Restricted Payments, making contributions to the capital of its Subsidiaries and guaranteeing the obligations of the Parent Borrower and the Parent Borrower’s Subsidiaries to the extent permitted hereunder; (xiv) activities incidental to acquisitions permitted hereunder or similar investments consummated by the Parent Borrower and/or any Subsidiaries, including the formation of acquisition vehicle entities and intercompany loans and/or investments incidental to such acquisitions permitted hereunder or similar investments; (xv) the maintenance of its legal existence (including the ability to incur and pay, as applicable, fees, costs and expenses and taxes related to such maintenance); (xvi) any transaction expressly permitted pursuant to </w:t>
      </w:r>
      <w:r>
        <w:rPr>
          <w:rFonts w:ascii="Times New Roman;Times;serif" w:hAnsi="Times New Roman;Times;serif"/>
          <w:sz w:val="24"/>
          <w:u w:val="single"/>
        </w:rPr>
        <w:t>clauses (a)</w:t>
      </w:r>
      <w:r>
        <w:rPr>
          <w:rFonts w:ascii="Times New Roman;Times;serif" w:hAnsi="Times New Roman;Times;serif"/>
          <w:sz w:val="24"/>
        </w:rPr>
        <w:t xml:space="preserve">, </w:t>
      </w:r>
      <w:r>
        <w:rPr>
          <w:rFonts w:ascii="Times New Roman;Times;serif" w:hAnsi="Times New Roman;Times;serif"/>
          <w:sz w:val="24"/>
          <w:u w:val="single"/>
        </w:rPr>
        <w:t>(b)</w:t>
      </w:r>
      <w:r>
        <w:rPr>
          <w:rFonts w:ascii="Times New Roman;Times;serif" w:hAnsi="Times New Roman;Times;serif"/>
          <w:sz w:val="20"/>
        </w:rPr>
        <w:t xml:space="preserve"> </w:t>
      </w:r>
      <w:r>
        <w:rPr>
          <w:rFonts w:ascii="Times New Roman;Times;serif" w:hAnsi="Times New Roman;Times;serif"/>
          <w:sz w:val="24"/>
        </w:rPr>
        <w:t xml:space="preserve">and/or </w:t>
      </w:r>
      <w:r>
        <w:rPr>
          <w:rFonts w:ascii="Times New Roman;Times;serif" w:hAnsi="Times New Roman;Times;serif"/>
          <w:sz w:val="24"/>
          <w:u w:val="single"/>
        </w:rPr>
        <w:t>(d)</w:t>
      </w:r>
      <w:r>
        <w:rPr>
          <w:rFonts w:ascii="Times New Roman;Times;serif" w:hAnsi="Times New Roman;Times;serif"/>
          <w:sz w:val="20"/>
        </w:rPr>
        <w:t xml:space="preserve"> </w:t>
      </w:r>
      <w:r>
        <w:rPr>
          <w:rFonts w:ascii="Times New Roman;Times;serif" w:hAnsi="Times New Roman;Times;serif"/>
          <w:sz w:val="24"/>
        </w:rPr>
        <w:t xml:space="preserve">of this </w:t>
      </w:r>
      <w:r>
        <w:rPr>
          <w:rFonts w:ascii="Times New Roman;Times;serif" w:hAnsi="Times New Roman;Times;serif"/>
          <w:sz w:val="24"/>
          <w:u w:val="single"/>
        </w:rPr>
        <w:t>Section 6.12</w:t>
      </w:r>
      <w:r>
        <w:rPr>
          <w:rFonts w:ascii="Times New Roman;Times;serif" w:hAnsi="Times New Roman;Times;serif"/>
          <w:sz w:val="24"/>
        </w:rPr>
        <w:t>, (xvii) the obtainment of, and the payment of any fees and expenses for, management, consulting, investment banking and advisory services to the extent otherwise permitted under this Agreement, (xviii) entry into Permitted Bond Hedge Transactions and Permitted Warrant Transactions, (xix) participation and the making of payments under the Tax Receivable Agreement, and (xx) activities incidental or reasonably related to any of the foregoing;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consolidate or amalgamate with, or merge with or into, or convey, sell or otherwise transfer all or substantially all of its assets to, any Person;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so long as no Default or Event of Default exists or would result therefrom, the Parent may consolidate or amalgamate with, or merge with or into, any other Person (other than the Parent Borrower and any of its Subsidiaries) so long as (i) the Parent is the continuing or surviving Person or (ii) if the Person formed by or surviving any such consolidation, amalgamation or merger is not the Parent, (x) (A) the successor Person expressly assumes all obligations of the Parent under this Agreement and the other Loan Documents to which the Parent is a party pursuant to a supplement hereto and/or thereto in a form reasonably satisfactory to the Administrative Agent and (B) the successor Person will be a Person organized or existing under the laws of the United States of America, any State of the United States or the District of Columbia or any territory thereto, and (y) the Administrative Agent shall have received all documentation and other information required by regulatory authorities with respect to the successor Person under applicable “know your customer” and anti-money laundering rules and regulations, including without limitation the USA Patriot Act and the Proceeds of Crime Act, reasonably requested by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6.13</w:t>
      </w:r>
      <w:r>
        <w:rPr>
          <w:rFonts w:ascii="Times New Roman;Times;serif" w:hAnsi="Times New Roman;Times;serif"/>
          <w:sz w:val="24"/>
          <w:u w:val="single"/>
        </w:rPr>
        <w:t>Canadian Defined Benefit Plans</w:t>
      </w:r>
      <w:r>
        <w:rPr>
          <w:rFonts w:ascii="Times New Roman;Times;serif" w:hAnsi="Times New Roman;Times;serif"/>
          <w:sz w:val="24"/>
        </w:rPr>
        <w:t>. The Parent will not, and will not permit any of its Subsidiaries to, maintain, administer, contribute to or have any liability in respect of any Canadian Defined Benefit Plan or acquire an interest in a Person if such Person sponsors, maintains, administers or contributes to, or has any liability in respect of any Canadian Defined Benefit Plan, in each case without the prior written consent of the Administrative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6.14</w:t>
      </w:r>
      <w:r>
        <w:rPr>
          <w:rFonts w:ascii="Times New Roman;Times;serif" w:hAnsi="Times New Roman;Times;serif"/>
          <w:sz w:val="24"/>
          <w:u w:val="single"/>
        </w:rPr>
        <w:t>Material Intellectual Property</w:t>
      </w:r>
      <w:r>
        <w:rPr>
          <w:rFonts w:ascii="Times New Roman;Times;serif" w:hAnsi="Times New Roman;Times;serif"/>
          <w:sz w:val="24"/>
        </w:rPr>
        <w:t xml:space="preserve">. Notwithstanding anything herein to the contrary, (a) no Subsidiary of the Parent incorporated or organized in a Covered Jurisdiction that owns or has an exclusive license to any Intellectual Property that is material to the business of the Parent and its Subsidiaries (taken as a whole) (or that owns Equity Interests of any Subsidiary of the Parent which Subsidiary owns or has an exclusive license to Intellectual Property that is material to the business of the Parent and its Subsidiaries (taken as a whole)) may constitute an Excluded Subsidiary, and (b) no Intellectual Property that is material to the business of the Parent and its Subsidiaries (taken as a whole) (nor any Equity Interests of any Subsidiary of the Parent that owns or has an exclusive license to Intellectual Property that is material to the business of the Parent and its Subsidiaries (taken as a whole)) may be transferred from, or contributed by, the Parent or any of its Subsidiaries to, or exclusively licensed by, (i) any Excluded Subsidiary or any other Subsidiary that is not a Loan Party, or (ii) any other Person that is an Affiliate of a Loan Party or an Affiliate of any Permitted Holder which Person is not also a Loan Party unless, in the case of this clause (ii), no Default or Event of Default then exists or would result therefrom and (A) such transfer is made on an arm’s length basis and the consideration paid or payable shall be in cash and in an amount not less than the fair market value of the Intellectual Property transferred, contributed or exclusively licensed, as the case may be or (B) such transfer is set forth on </w:t>
      </w:r>
      <w:r>
        <w:rPr>
          <w:rFonts w:ascii="Times New Roman;Times;serif" w:hAnsi="Times New Roman;Times;serif"/>
          <w:sz w:val="24"/>
          <w:u w:val="single"/>
        </w:rPr>
        <w:t>Schedule 6.14</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6.15</w:t>
      </w:r>
      <w:r>
        <w:rPr>
          <w:rFonts w:ascii="Times New Roman;Times;serif" w:hAnsi="Times New Roman;Times;serif"/>
          <w:sz w:val="24"/>
          <w:u w:val="single"/>
        </w:rPr>
        <w:t>No Flowback to Switzerland</w:t>
      </w:r>
      <w:r>
        <w:rPr>
          <w:rFonts w:ascii="Times New Roman;Times;serif" w:hAnsi="Times New Roman;Times;serif"/>
          <w:sz w:val="24"/>
        </w:rPr>
        <w:t>. No part of the proceeds of any Loan shall be used in a manner which would constitute a “use of proceeds in Switzerland” (</w:t>
      </w:r>
      <w:r>
        <w:rPr>
          <w:rFonts w:ascii="Times New Roman;Times;serif" w:hAnsi="Times New Roman;Times;serif"/>
          <w:i/>
          <w:sz w:val="24"/>
        </w:rPr>
        <w:t>Mittelverwendung in der Schweiz</w:t>
      </w:r>
      <w:r>
        <w:rPr>
          <w:rFonts w:ascii="Times New Roman;Times;serif" w:hAnsi="Times New Roman;Times;serif"/>
          <w:sz w:val="24"/>
        </w:rPr>
        <w:t>), as interpreted by the Swiss tax authorities for purposes of Swiss Withholding Tax, unless and until a written confirmation (e.g., a countersigned tax ruling) is obtained from the Swiss Federal Tax Administration confirming that such use of proceeds in Switzerland does not trigger Swiss Withholding Tax consequences.</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7</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EVENTS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7.01</w:t>
      </w:r>
      <w:r>
        <w:rPr>
          <w:rFonts w:ascii="Times New Roman;Times;serif" w:hAnsi="Times New Roman;Times;serif"/>
          <w:sz w:val="24"/>
          <w:u w:val="single"/>
        </w:rPr>
        <w:t>Events of Default</w:t>
      </w:r>
      <w:r>
        <w:rPr>
          <w:rFonts w:ascii="Times New Roman;Times;serif" w:hAnsi="Times New Roman;Times;serif"/>
          <w:sz w:val="24"/>
        </w:rPr>
        <w:t>. If any of the following events (each, an “</w:t>
      </w:r>
      <w:r>
        <w:rPr>
          <w:rFonts w:ascii="Times New Roman;Times;serif" w:hAnsi="Times New Roman;Times;serif"/>
          <w:b/>
          <w:sz w:val="24"/>
        </w:rPr>
        <w:t>Event of Default</w:t>
      </w:r>
      <w:r>
        <w:rPr>
          <w:rFonts w:ascii="Times New Roman;Times;serif" w:hAnsi="Times New Roman;Times;serif"/>
          <w:sz w:val="20"/>
        </w:rPr>
        <w:t>”</w:t>
      </w:r>
      <w:r>
        <w:rPr>
          <w:rFonts w:ascii="Times New Roman;Times;serif" w:hAnsi="Times New Roman;Times;serif"/>
          <w:sz w:val="24"/>
        </w:rPr>
        <w:t>)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any Borrower shall fail to pay any interest on any Loan or any fee or any other amount (other than an amount referred to in clause (a) of this Article) payable under any of the Loan Documents, when and as the same shall become due and payable and in the Agreed Currency required hereunder, and such failure shall continue unremedied for a period of five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any representation or warranty made or deemed made by or on behalf of any Loan Party in this Agreement or any other Loan Document or any amendment or modification hereof or thereof or waiver hereunder or thereunder, or in any report, certificate, financial statement or other document furnished pursuant to or in connection with this Agreement, any other Loan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any amendment or modification hereof or thereof or waiver hereunder or thereunder, shall prove to have been incorrect in any material respect when made or deemed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any Loan Party shall fail to observe or perform any covenant, condition or agreement contained in </w:t>
      </w:r>
      <w:r>
        <w:rPr>
          <w:rFonts w:ascii="Times New Roman;Times;serif" w:hAnsi="Times New Roman;Times;serif"/>
          <w:sz w:val="24"/>
          <w:u w:val="single"/>
        </w:rPr>
        <w:t>Section 5.02(a)</w:t>
      </w:r>
      <w:r>
        <w:rPr>
          <w:rFonts w:ascii="Times New Roman;Times;serif" w:hAnsi="Times New Roman;Times;serif"/>
          <w:sz w:val="24"/>
        </w:rPr>
        <w:t xml:space="preserve">, </w:t>
      </w:r>
      <w:r>
        <w:rPr>
          <w:rFonts w:ascii="Times New Roman;Times;serif" w:hAnsi="Times New Roman;Times;serif"/>
          <w:sz w:val="24"/>
          <w:u w:val="single"/>
        </w:rPr>
        <w:t>Section 5.03</w:t>
      </w:r>
      <w:r>
        <w:rPr>
          <w:rFonts w:ascii="Times New Roman;Times;serif" w:hAnsi="Times New Roman;Times;serif"/>
          <w:sz w:val="20"/>
        </w:rPr>
        <w:t xml:space="preserve"> </w:t>
      </w:r>
      <w:r>
        <w:rPr>
          <w:rFonts w:ascii="Times New Roman;Times;serif" w:hAnsi="Times New Roman;Times;serif"/>
          <w:sz w:val="24"/>
        </w:rPr>
        <w:t xml:space="preserve">(solely with respect to the Parent’s or any Borrower’s existence), </w:t>
      </w:r>
      <w:r>
        <w:rPr>
          <w:rFonts w:ascii="Times New Roman;Times;serif" w:hAnsi="Times New Roman;Times;serif"/>
          <w:sz w:val="24"/>
          <w:u w:val="single"/>
        </w:rPr>
        <w:t>Section 5.10</w:t>
      </w:r>
      <w:r>
        <w:rPr>
          <w:rFonts w:ascii="Times New Roman;Times;serif" w:hAnsi="Times New Roman;Times;serif"/>
          <w:sz w:val="24"/>
        </w:rPr>
        <w:t xml:space="preserve">, </w:t>
      </w:r>
      <w:r>
        <w:rPr>
          <w:rFonts w:ascii="Times New Roman;Times;serif" w:hAnsi="Times New Roman;Times;serif"/>
          <w:sz w:val="24"/>
          <w:u w:val="single"/>
        </w:rPr>
        <w:t>Section 5.16</w:t>
      </w:r>
      <w:r>
        <w:rPr>
          <w:rFonts w:ascii="Times New Roman;Times;serif" w:hAnsi="Times New Roman;Times;serif"/>
          <w:sz w:val="20"/>
        </w:rPr>
        <w:t xml:space="preserve"> </w:t>
      </w:r>
      <w:r>
        <w:rPr>
          <w:rFonts w:ascii="Times New Roman;Times;serif" w:hAnsi="Times New Roman;Times;serif"/>
          <w:sz w:val="24"/>
        </w:rPr>
        <w:t xml:space="preserve">or in </w:t>
      </w:r>
      <w:r>
        <w:rPr>
          <w:rFonts w:ascii="Times New Roman;Times;serif" w:hAnsi="Times New Roman;Times;serif"/>
          <w:sz w:val="24"/>
          <w:u w:val="single"/>
        </w:rPr>
        <w:t>Article 6</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any Loan Party or any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notice or cure period,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any event or condition occurs that results in any Material Indebtedness becoming due prior to its scheduled maturity or that enables or permits (with or without the giving of notice, the lapse of time or both, but with all applicable grace periods in respect of such event or condition under the documentation representing such Material Indebtedness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this clause (g) shall not apply to (w) any requirement to, or any offer, to repurchase, prepay or redeem Indebtedness of a Person acquired in an acquisition permitted hereunder, to the extent such offer is required as a result of, or in connection with, such acquisition, so long as such requirement is satisfied at the time of such acquisition, (x) secured Indebtedness that becomes due as a result of the voluntary sale or transfer of the property or assets securing such Indebtedness, (y) any redemption, repurchase, conversion or settlement with respect to any convertible debt instrument including the Parent Convertible Notes (including any termination of any related Swap Agreement) pursuant to its terms unless such redemption, repurchase, conversion or settlement results from a default thereunder or an event of the type that constitutes an Event of Default or (z) an early payment requirement, unwinding or termination with respect to any Swap Agreement except (i) an early payment, unwinding or termination that results from a default or non-compliance thereunder by any Loan Party or any Subsidiary, or another event of the type that would constitute an Event of Default or (ii) an early termination of such Swap Agreement by the counterparty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an involuntary proceeding shall be commenced or an involuntary petition shall be filed seeking (i) administration, liquidation, reorganization (by way of a voluntary arrangement, scheme or arrangement or otherwise), examinership, rescue process, judiciary management, or other relief in respect of any Loan Party or any Subsidiary or of a substantial part of its assets, under any Debtor Relief Law, (ii) the appointment of a receiver, interim receiver, liquidator, receiver and manager, administrative receiver, judicial manager, provisional liquidator, provisional supervisor, compulsory manager, trustee, monitor, custodian, administrative receiver, compulsory or interim manager, sequestrator, conservator, Australian Controller examiner,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process advisor, restructuring official (</w:t>
      </w:r>
      <w:r>
        <w:rPr>
          <w:rFonts w:ascii="Times New Roman;Times;serif" w:hAnsi="Times New Roman;Times;serif"/>
          <w:i/>
          <w:sz w:val="24"/>
        </w:rPr>
        <w:t>herstructureringsdeskundige</w:t>
      </w:r>
      <w:r>
        <w:rPr>
          <w:rFonts w:ascii="Times New Roman;Times;serif" w:hAnsi="Times New Roman;Times;serif"/>
          <w:sz w:val="24"/>
        </w:rPr>
        <w:t>), observer (</w:t>
      </w:r>
      <w:r>
        <w:rPr>
          <w:rFonts w:ascii="Times New Roman;Times;serif" w:hAnsi="Times New Roman;Times;serif"/>
          <w:i/>
          <w:sz w:val="24"/>
        </w:rPr>
        <w:t>observator</w:t>
      </w:r>
      <w:r>
        <w:rPr>
          <w:rFonts w:ascii="Times New Roman;Times;serif" w:hAnsi="Times New Roman;Times;serif"/>
          <w:sz w:val="24"/>
        </w:rPr>
        <w:t>), administrator (</w:t>
      </w:r>
      <w:r>
        <w:rPr>
          <w:rFonts w:ascii="Times New Roman;Times;serif" w:hAnsi="Times New Roman;Times;serif"/>
          <w:i/>
          <w:sz w:val="24"/>
        </w:rPr>
        <w:t>bewindvoerder</w:t>
      </w:r>
      <w:r>
        <w:rPr>
          <w:rFonts w:ascii="Times New Roman;Times;serif" w:hAnsi="Times New Roman;Times;serif"/>
          <w:sz w:val="24"/>
        </w:rPr>
        <w:t>), silent administrator (</w:t>
      </w:r>
      <w:r>
        <w:rPr>
          <w:rFonts w:ascii="Times New Roman;Times;serif" w:hAnsi="Times New Roman;Times;serif"/>
          <w:i/>
          <w:sz w:val="24"/>
        </w:rPr>
        <w:t>beoogd bewindvoerder</w:t>
      </w:r>
      <w:r>
        <w:rPr>
          <w:rFonts w:ascii="Times New Roman;Times;serif" w:hAnsi="Times New Roman;Times;serif"/>
          <w:sz w:val="24"/>
        </w:rPr>
        <w:t>), or similar official for any Loan Party or any Subsidiary or for a substantial part of its assets and, in any such case, and such proceeding or petition shall continue undismissed for 60 days or an order or decree approving or ordering any of the foregoing shall be entered, (iii) a suspension of payments, or (iv) a moratorium of any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any Loan Party or any Subsidiary shall (i) voluntarily commence any proceeding or file any petition seeking administration, liquidation, reorganization (by way of a voluntary arrangement, scheme or arrangement or otherwise), examinership, rescue process, judicial management or other relief under any Debtor Relief Law, (ii) consent to the institution of, or fail to contest in a timely and appropriate manner, any proceeding or petition described in clause (h) of this </w:t>
      </w:r>
      <w:r>
        <w:rPr>
          <w:rFonts w:ascii="Times New Roman;Times;serif" w:hAnsi="Times New Roman;Times;serif"/>
          <w:sz w:val="24"/>
          <w:u w:val="single"/>
        </w:rPr>
        <w:t>Section 7.01</w:t>
      </w:r>
      <w:r>
        <w:rPr>
          <w:rFonts w:ascii="Times New Roman;Times;serif" w:hAnsi="Times New Roman;Times;serif"/>
          <w:sz w:val="24"/>
        </w:rPr>
        <w:t>, (iii) apply for or consent to the appointment of an administrator, receiver, interim receiver, liquidator, receiver and manager, administrative receiver, judicial manager, provisional liquidator, provisional supervisor, compulsory manager, trustee, monitor, custodian, administrative receiver, compulsory or interim manager, sequestrator, conservator, Australian Controller, examiner, process advisor, restructuring official (</w:t>
      </w:r>
      <w:r>
        <w:rPr>
          <w:rFonts w:ascii="Times New Roman;Times;serif" w:hAnsi="Times New Roman;Times;serif"/>
          <w:i/>
          <w:sz w:val="24"/>
        </w:rPr>
        <w:t>herstructureringsdeskundige</w:t>
      </w:r>
      <w:r>
        <w:rPr>
          <w:rFonts w:ascii="Times New Roman;Times;serif" w:hAnsi="Times New Roman;Times;serif"/>
          <w:sz w:val="24"/>
        </w:rPr>
        <w:t>), observer (</w:t>
      </w:r>
      <w:r>
        <w:rPr>
          <w:rFonts w:ascii="Times New Roman;Times;serif" w:hAnsi="Times New Roman;Times;serif"/>
          <w:i/>
          <w:sz w:val="24"/>
        </w:rPr>
        <w:t>observator</w:t>
      </w:r>
      <w:r>
        <w:rPr>
          <w:rFonts w:ascii="Times New Roman;Times;serif" w:hAnsi="Times New Roman;Times;serif"/>
          <w:sz w:val="24"/>
        </w:rPr>
        <w:t>), administrator (</w:t>
      </w:r>
      <w:r>
        <w:rPr>
          <w:rFonts w:ascii="Times New Roman;Times;serif" w:hAnsi="Times New Roman;Times;serif"/>
          <w:i/>
          <w:sz w:val="24"/>
        </w:rPr>
        <w:t>bewindvoerder</w:t>
      </w:r>
      <w:r>
        <w:rPr>
          <w:rFonts w:ascii="Times New Roman;Times;serif" w:hAnsi="Times New Roman;Times;serif"/>
          <w:sz w:val="24"/>
        </w:rPr>
        <w:t>), silent administrator (</w:t>
      </w:r>
      <w:r>
        <w:rPr>
          <w:rFonts w:ascii="Times New Roman;Times;serif" w:hAnsi="Times New Roman;Times;serif"/>
          <w:i/>
          <w:sz w:val="24"/>
        </w:rPr>
        <w:t>beoogd bewindvoerder</w:t>
      </w:r>
      <w:r>
        <w:rPr>
          <w:rFonts w:ascii="Times New Roman;Times;serif" w:hAnsi="Times New Roman;Times;serif"/>
          <w:sz w:val="24"/>
        </w:rPr>
        <w:t>) or similar official for any Loan Party or any Subsidiary or for a substantial part of its assets, (iv) file an answer admitting the material allegations of a petition filed against it in any such proceeding, (v) make a general assignment for the benefit of creditors, (vi) file a declaration under article 370(3) of the Dutch Bankruptcy Act (</w:t>
      </w:r>
      <w:r>
        <w:rPr>
          <w:rFonts w:ascii="Times New Roman;Times;serif" w:hAnsi="Times New Roman;Times;serif"/>
          <w:i/>
          <w:sz w:val="24"/>
        </w:rPr>
        <w:t>Faillissementswet</w:t>
      </w:r>
      <w:r>
        <w:rPr>
          <w:rFonts w:ascii="Times New Roman;Times;serif" w:hAnsi="Times New Roman;Times;serif"/>
          <w:sz w:val="24"/>
        </w:rPr>
        <w:t>), or files a notice under Section 36 of the Tax Collection Act of the Netherlands (</w:t>
      </w:r>
      <w:r>
        <w:rPr>
          <w:rFonts w:ascii="Times New Roman;Times;serif" w:hAnsi="Times New Roman;Times;serif"/>
          <w:i/>
          <w:sz w:val="24"/>
        </w:rPr>
        <w:t xml:space="preserve">Invorderingswet </w:t>
      </w:r>
      <w:r>
        <w:rPr>
          <w:rFonts w:ascii="Times New Roman;Times;serif" w:hAnsi="Times New Roman;Times;serif"/>
          <w:sz w:val="24"/>
        </w:rPr>
        <w:t>1990) or Section 60 of the Social Insurance Financing Act of the Netherlands (</w:t>
      </w:r>
      <w:r>
        <w:rPr>
          <w:rFonts w:ascii="Times New Roman;Times;serif" w:hAnsi="Times New Roman;Times;serif"/>
          <w:i/>
          <w:sz w:val="24"/>
        </w:rPr>
        <w:t>Wet Financiering Sociale Verzekeringen</w:t>
      </w:r>
      <w:r>
        <w:rPr>
          <w:rFonts w:ascii="Times New Roman;Times;serif" w:hAnsi="Times New Roman;Times;serif"/>
          <w:sz w:val="24"/>
        </w:rPr>
        <w:t>) in conjunction with Section 36 of the Tax Collection Act of the Netherlands (</w:t>
      </w:r>
      <w:r>
        <w:rPr>
          <w:rFonts w:ascii="Times New Roman;Times;serif" w:hAnsi="Times New Roman;Times;serif"/>
          <w:i/>
          <w:sz w:val="24"/>
        </w:rPr>
        <w:t>Invorderingswet</w:t>
      </w:r>
      <w:r>
        <w:rPr>
          <w:rFonts w:ascii="Times New Roman;Times;serif" w:hAnsi="Times New Roman;Times;serif"/>
          <w:sz w:val="20"/>
        </w:rPr>
        <w:t xml:space="preserve"> </w:t>
      </w:r>
      <w:r>
        <w:rPr>
          <w:rFonts w:ascii="Times New Roman;Times;serif" w:hAnsi="Times New Roman;Times;serif"/>
          <w:sz w:val="24"/>
        </w:rPr>
        <w:t>1990), (vii) a suspension of payments, (viii) a moratorium of any indebtedness or (ix) take any action for the purpose of effecting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any Loan Party or any Subsidiary shall become unable and admit in writing its inability or fail generally to pay its debts as they become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any Loan Party or any Subsidiary incorporated or established in Germany is (i) unable to pay its debts as they fall due (</w:t>
      </w:r>
      <w:r>
        <w:rPr>
          <w:rFonts w:ascii="Times New Roman;Times;serif" w:hAnsi="Times New Roman;Times;serif"/>
          <w:i/>
          <w:sz w:val="24"/>
        </w:rPr>
        <w:t>zahlungsunfähig</w:t>
      </w:r>
      <w:r>
        <w:rPr>
          <w:rFonts w:ascii="Times New Roman;Times;serif" w:hAnsi="Times New Roman;Times;serif"/>
          <w:sz w:val="24"/>
        </w:rPr>
        <w:t>) within the meaning of section 17 of the German Insolvency Code (</w:t>
      </w:r>
      <w:r>
        <w:rPr>
          <w:rFonts w:ascii="Times New Roman;Times;serif" w:hAnsi="Times New Roman;Times;serif"/>
          <w:i/>
          <w:sz w:val="24"/>
        </w:rPr>
        <w:t>Insolvenzordnung</w:t>
      </w:r>
      <w:r>
        <w:rPr>
          <w:rFonts w:ascii="Times New Roman;Times;serif" w:hAnsi="Times New Roman;Times;serif"/>
          <w:sz w:val="24"/>
        </w:rPr>
        <w:t>) or (ii) overindebted within the meaning of section 19 of the German Insolvency Code (</w:t>
      </w:r>
      <w:r>
        <w:rPr>
          <w:rFonts w:ascii="Times New Roman;Times;serif" w:hAnsi="Times New Roman;Times;serif"/>
          <w:i/>
          <w:sz w:val="24"/>
        </w:rPr>
        <w:t>Insolvenzordnung</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one or more judgments for the payment of money in excess of $25,000,000 in the aggregate shall be rendered against any Loan Party, any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any action shall be legally taken by a judgment creditor to attach or levy upon any assets of any Loan Party or any Subsidiary to enforce any such judgment and such action shall not be stayed;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one or more ERISA Events or Canadian Pension Events shall have occurred that would reasonably be expected to result, individually or in the aggregate, in a Material Adverse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Effect, or a Lien (choate or inchoate) arises in connection with any Canadian Pension Plan (save for contribution amounts not yet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(n)</w:t>
      </w:r>
      <w:r>
        <w:rPr>
          <w:rFonts w:ascii="Times New Roman;Times;serif" w:hAnsi="Times New Roman;Times;serif"/>
          <w:sz w:val="24"/>
        </w:rPr>
        <w:t>a Change in Control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(o)</w:t>
      </w:r>
      <w:r>
        <w:rPr>
          <w:rFonts w:ascii="Times New Roman;Times;serif" w:hAnsi="Times New Roman;Times;serif"/>
          <w:sz w:val="24"/>
        </w:rPr>
        <w:t xml:space="preserve">the guarantee contained in Article 9 shall cease, for any reason, to be in full force and effect or any Loan Party or any Subsidiary shall so assert, except the release thereof as provided in </w:t>
      </w:r>
      <w:r>
        <w:rPr>
          <w:rFonts w:ascii="Times New Roman;Times;serif" w:hAnsi="Times New Roman;Times;serif"/>
          <w:sz w:val="24"/>
          <w:u w:val="single"/>
        </w:rPr>
        <w:t>Section 10.17</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(p)</w:t>
      </w:r>
      <w:r>
        <w:rPr>
          <w:rFonts w:ascii="Times New Roman;Times;serif" w:hAnsi="Times New Roman;Times;serif"/>
          <w:sz w:val="24"/>
        </w:rPr>
        <w:t xml:space="preserve">any Loan Document, at any time after its execution and delivery and for any reason other than as expressly permitted hereunder or thereunder or satisfaction in full of all the obligations hereunder or thereunder, ceases to be in full force and effect thereto; or any Loan Party contests in any manner the validity or enforceability of any Loan Document; or any Lien created by any of the Security Documents shall cease to be enforceable on a material portion of the Collateral and of the same effect and priority (subject to Liens permitted by </w:t>
      </w:r>
      <w:r>
        <w:rPr>
          <w:rFonts w:ascii="Times New Roman;Times;serif" w:hAnsi="Times New Roman;Times;serif"/>
          <w:sz w:val="24"/>
          <w:u w:val="single"/>
        </w:rPr>
        <w:t>Section 6.02</w:t>
      </w:r>
      <w:r>
        <w:rPr>
          <w:rFonts w:ascii="Times New Roman;Times;serif" w:hAnsi="Times New Roman;Times;serif"/>
          <w:sz w:val="24"/>
        </w:rPr>
        <w:t>) to be created thereby for any reason other than as expressly permitted hereunder or satisfaction in full in cash of all the Obligations;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(q)</w:t>
      </w:r>
      <w:r>
        <w:rPr>
          <w:rFonts w:ascii="Times New Roman;Times;serif" w:hAnsi="Times New Roman;Times;serif"/>
          <w:sz w:val="24"/>
        </w:rPr>
        <w:t xml:space="preserve">a Loan Party is declared by the Minister for Finance of Singapore to be a company to which Part 9 of the Companies Act 1967 of Singapore applies;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then, and in every such event (other than an event with respect to any Borrower described in clause (h) or (i) of this Article and subject to </w:t>
      </w:r>
      <w:r>
        <w:rPr>
          <w:rFonts w:ascii="Times New Roman;Times;serif" w:hAnsi="Times New Roman;Times;serif"/>
          <w:sz w:val="24"/>
          <w:u w:val="single"/>
        </w:rPr>
        <w:t>Section 7.02</w:t>
      </w:r>
      <w:r>
        <w:rPr>
          <w:rFonts w:ascii="Times New Roman;Times;serif" w:hAnsi="Times New Roman;Times;serif"/>
          <w:sz w:val="24"/>
        </w:rPr>
        <w:t>), and at any time thereafter during the continuance of such event, the Administrative Agent may, and at the request of the Required Lenders shall, by notice to the Borrowers, take any or all of the following actions, at the same or different times: (i) terminate the Commitments, and thereupon the Commitments shall terminate immediately, (ii) Cash Collateralize any outstanding Letters of Credit and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each Loan Party; and in case of any event with respect to any Loan Party described in clause (h) or (i) of this Article, the Commitments shall automatically terminate and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each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7.02</w:t>
      </w:r>
      <w:r>
        <w:rPr>
          <w:rFonts w:ascii="Times New Roman;Times;serif" w:hAnsi="Times New Roman;Times;serif"/>
          <w:sz w:val="24"/>
          <w:u w:val="single"/>
        </w:rPr>
        <w:t>Right to Cure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Notwithstanding anything to the contrary contained </w:t>
      </w:r>
      <w:r>
        <w:rPr>
          <w:rFonts w:ascii="Times New Roman;Times;serif" w:hAnsi="Times New Roman;Times;serif"/>
          <w:sz w:val="24"/>
          <w:u w:val="single"/>
        </w:rPr>
        <w:t>in Section 7.01</w:t>
      </w:r>
      <w:r>
        <w:rPr>
          <w:rFonts w:ascii="Times New Roman;Times;serif" w:hAnsi="Times New Roman;Times;serif"/>
          <w:sz w:val="24"/>
        </w:rPr>
        <w:t xml:space="preserve">, but subject to </w:t>
      </w:r>
      <w:r>
        <w:rPr>
          <w:rFonts w:ascii="Times New Roman;Times;serif" w:hAnsi="Times New Roman;Times;serif"/>
          <w:sz w:val="24"/>
          <w:u w:val="single"/>
        </w:rPr>
        <w:t>Sections 7.02(b)</w:t>
      </w:r>
      <w:r>
        <w:rPr>
          <w:rFonts w:ascii="Times New Roman;Times;serif" w:hAnsi="Times New Roman;Times;serif"/>
          <w:sz w:val="24"/>
        </w:rPr>
        <w:t xml:space="preserve">, </w:t>
      </w:r>
      <w:r>
        <w:rPr>
          <w:rFonts w:ascii="Times New Roman;Times;serif" w:hAnsi="Times New Roman;Times;serif"/>
          <w:sz w:val="24"/>
          <w:u w:val="single"/>
        </w:rPr>
        <w:t>7.02(c)</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7.02(d)</w:t>
      </w:r>
      <w:r>
        <w:rPr>
          <w:rFonts w:ascii="Times New Roman;Times;serif" w:hAnsi="Times New Roman;Times;serif"/>
          <w:sz w:val="24"/>
        </w:rPr>
        <w:t xml:space="preserve">, for the purpose of determining whether an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as of the last day of any fiscal quarter has occurred, the Borrowers may on one or more occasions, during the period from the commencement of the relevant fiscal quarter through the Cure Expiration Date (as defined below), designate any portion of the net cash proceeds from a sale or issuance of Equity Interests of Parent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(which, in turn, will be contributed in cash to the common equity capital of the Parent Borrower) or the Parent Borrower or of any cash contribution to the equity capital of Parent (which, in turn, will be contributed in cash to the common equity capital of the Parent Borrower) or the Parent Borrower (the “</w:t>
      </w:r>
      <w:r>
        <w:rPr>
          <w:rFonts w:ascii="Times New Roman;Times;serif" w:hAnsi="Times New Roman;Times;serif"/>
          <w:b/>
          <w:sz w:val="24"/>
        </w:rPr>
        <w:t>Cure Right</w:t>
      </w:r>
      <w:r>
        <w:rPr>
          <w:rFonts w:ascii="Times New Roman;Times;serif" w:hAnsi="Times New Roman;Times;serif"/>
          <w:sz w:val="20"/>
        </w:rPr>
        <w:t>”</w:t>
      </w:r>
      <w:r>
        <w:rPr>
          <w:rFonts w:ascii="Times New Roman;Times;serif" w:hAnsi="Times New Roman;Times;serif"/>
          <w:sz w:val="24"/>
        </w:rPr>
        <w:t>), and upon the receipt by the Parent Borrower of such cash (the “</w:t>
      </w:r>
      <w:r>
        <w:rPr>
          <w:rFonts w:ascii="Times New Roman;Times;serif" w:hAnsi="Times New Roman;Times;serif"/>
          <w:b/>
          <w:sz w:val="24"/>
        </w:rPr>
        <w:t>Cure Amount</w:t>
      </w:r>
      <w:r>
        <w:rPr>
          <w:rFonts w:ascii="Times New Roman;Times;serif" w:hAnsi="Times New Roman;Times;serif"/>
          <w:sz w:val="20"/>
        </w:rPr>
        <w:t>”</w:t>
      </w:r>
      <w:r>
        <w:rPr>
          <w:rFonts w:ascii="Times New Roman;Times;serif" w:hAnsi="Times New Roman;Times;serif"/>
          <w:sz w:val="24"/>
        </w:rPr>
        <w:t xml:space="preserve">), pursuant to the exercise by the Borrowers of such Cure Right, as an increase to Consolidated EBITDA for the applicable fiscal quarter;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 such amounts to be designated are actually received by the Parent Borrower on or prior to the fifteenth Business Day after the date on which a certificate is or is required to be delivered pursuant to </w:t>
      </w:r>
      <w:r>
        <w:rPr>
          <w:rFonts w:ascii="Times New Roman;Times;serif" w:hAnsi="Times New Roman;Times;serif"/>
          <w:sz w:val="24"/>
          <w:u w:val="single"/>
        </w:rPr>
        <w:t>Section 5.01(c)</w:t>
      </w:r>
      <w:r>
        <w:rPr>
          <w:rFonts w:ascii="Times New Roman;Times;serif" w:hAnsi="Times New Roman;Times;serif"/>
          <w:sz w:val="20"/>
        </w:rPr>
        <w:t xml:space="preserve"> </w:t>
      </w:r>
      <w:r>
        <w:rPr>
          <w:rFonts w:ascii="Times New Roman;Times;serif" w:hAnsi="Times New Roman;Times;serif"/>
          <w:sz w:val="24"/>
        </w:rPr>
        <w:t>with respect to such applicable fiscal quarter (the “</w:t>
      </w:r>
      <w:r>
        <w:rPr>
          <w:rFonts w:ascii="Times New Roman;Times;serif" w:hAnsi="Times New Roman;Times;serif"/>
          <w:b/>
          <w:sz w:val="24"/>
        </w:rPr>
        <w:t>Cure Expiration Date</w:t>
      </w:r>
      <w:r>
        <w:rPr>
          <w:rFonts w:ascii="Times New Roman;Times;serif" w:hAnsi="Times New Roman;Times;serif"/>
          <w:sz w:val="20"/>
        </w:rPr>
        <w:t>”</w:t>
      </w:r>
      <w:r>
        <w:rPr>
          <w:rFonts w:ascii="Times New Roman;Times;serif" w:hAnsi="Times New Roman;Times;serif"/>
          <w:sz w:val="24"/>
        </w:rPr>
        <w:t xml:space="preserve">), (ii) such amounts to be designated do not exceed the minimum aggregate amount necessary to cure any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4"/>
        </w:rPr>
        <w:t xml:space="preserve">, as applicable, as of such date and (iii) the Borrowers shall have provided written notice to the Administrative Agent on the date such amounts are designated as a “Cure Amount” (it being understood that to the extent such notice is provided in advance of delivery of a certificate pursuant to </w:t>
      </w:r>
      <w:r>
        <w:rPr>
          <w:rFonts w:ascii="Times New Roman;Times;serif" w:hAnsi="Times New Roman;Times;serif"/>
          <w:sz w:val="24"/>
          <w:u w:val="single"/>
        </w:rPr>
        <w:t>Section 5.01(c)</w:t>
      </w:r>
      <w:r>
        <w:rPr>
          <w:rFonts w:ascii="Times New Roman;Times;serif" w:hAnsi="Times New Roman;Times;serif"/>
          <w:sz w:val="20"/>
        </w:rPr>
        <w:t xml:space="preserve"> </w:t>
      </w:r>
      <w:r>
        <w:rPr>
          <w:rFonts w:ascii="Times New Roman;Times;serif" w:hAnsi="Times New Roman;Times;serif"/>
          <w:sz w:val="24"/>
        </w:rPr>
        <w:t xml:space="preserve">for the applicable period, the amount of such net cash proceeds that is designated as the Cure Amount may be lower than the amount specified in such notice to the extent that the amount actually necessary to cure any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 xml:space="preserve">is less than the full amount of such originally designated amount). The Cure Amount used to increase Consolidated EBITDA for the applicable fiscal quarter shall be used and included when calculating Consolidated EBITDA for each period that includes such fiscal quarter. The parties hereby acknowledge that the Cure Amount (1) may not be relied on for purposes of calculating Consolidated EBITDA other than as applicable to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 xml:space="preserve">(and shall not be included in Consolidated EBITDA for any other purposes (including determining any financial ratio-based conditions or basket amounts)) and (2) shall not result in any adjustment to any amounts (including the amount of Indebtedness or Total Liquidity) or increase in cash with respect to the fiscal quarter with respect to which such Cure Amount was made. Notwithstanding anything to the contrary contained in </w:t>
      </w:r>
      <w:r>
        <w:rPr>
          <w:rFonts w:ascii="Times New Roman;Times;serif" w:hAnsi="Times New Roman;Times;serif"/>
          <w:sz w:val="24"/>
          <w:u w:val="single"/>
        </w:rPr>
        <w:t>Section 7.01</w:t>
      </w:r>
      <w:r>
        <w:rPr>
          <w:rFonts w:ascii="Times New Roman;Times;serif" w:hAnsi="Times New Roman;Times;serif"/>
          <w:sz w:val="24"/>
        </w:rPr>
        <w:t xml:space="preserve">, (A) upon designation of the Cure Amount by the Borrowers, to the extent applicable,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 xml:space="preserve">shall be deemed satisfied and complied with as of the end of the relevant fiscal quarter with the same effect as though there had been no failure to comply with </w:t>
      </w:r>
      <w:r>
        <w:rPr>
          <w:rFonts w:ascii="Times New Roman;Times;serif" w:hAnsi="Times New Roman;Times;serif"/>
          <w:sz w:val="24"/>
          <w:u w:val="single"/>
        </w:rPr>
        <w:t>Section 6.10(b)(ii)</w:t>
      </w:r>
      <w:r>
        <w:rPr>
          <w:rFonts w:ascii="Times New Roman;Times;serif" w:hAnsi="Times New Roman;Times;serif"/>
          <w:sz w:val="24"/>
        </w:rPr>
        <w:t xml:space="preserve">, and any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 xml:space="preserve">(and any other Default as a result thereof) shall be deemed not to have occurred for purposes of the Loan Documents, and (B) neither the Administrative Agent nor any Lender may exercise any rights or remedies under this Agreement or any other Loan Document on the basis of any actual or purported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(and any other Default as a result thereof) with respect to the applicable period until and unless the Cure Expiration Date has occurred without the Cure Amount having been received by the Parent Borrower in at least the amount required to cure the applicable Event of Default, in which case such Event of Default shall be reinstated as though the Borrowers had not designated such Cure Amount. For the avoidance of doubt, no portion of any Cure Amount may be used to make a Restricted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In each period of four consecutive fiscal quarters there shall be at least two fiscal quarters in which no cure set forth in </w:t>
      </w:r>
      <w:r>
        <w:rPr>
          <w:rFonts w:ascii="Times New Roman;Times;serif" w:hAnsi="Times New Roman;Times;serif"/>
          <w:sz w:val="24"/>
          <w:u w:val="single"/>
        </w:rPr>
        <w:t>Section 7.02(a)</w:t>
      </w:r>
      <w:r>
        <w:rPr>
          <w:rFonts w:ascii="Times New Roman;Times;serif" w:hAnsi="Times New Roman;Times;serif"/>
          <w:sz w:val="20"/>
        </w:rPr>
        <w:t xml:space="preserve"> </w:t>
      </w:r>
      <w:r>
        <w:rPr>
          <w:rFonts w:ascii="Times New Roman;Times;serif" w:hAnsi="Times New Roman;Times;serif"/>
          <w:sz w:val="24"/>
        </w:rPr>
        <w:t>is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cure rights set forth in </w:t>
      </w:r>
      <w:r>
        <w:rPr>
          <w:rFonts w:ascii="Times New Roman;Times;serif" w:hAnsi="Times New Roman;Times;serif"/>
          <w:sz w:val="24"/>
          <w:u w:val="single"/>
        </w:rPr>
        <w:t>Section 7.02(a)</w:t>
      </w:r>
      <w:r>
        <w:rPr>
          <w:rFonts w:ascii="Times New Roman;Times;serif" w:hAnsi="Times New Roman;Times;serif"/>
          <w:sz w:val="20"/>
        </w:rPr>
        <w:t xml:space="preserve"> </w:t>
      </w:r>
      <w:r>
        <w:rPr>
          <w:rFonts w:ascii="Times New Roman;Times;serif" w:hAnsi="Times New Roman;Times;serif"/>
          <w:sz w:val="24"/>
        </w:rPr>
        <w:t>may not be exercised with respect to more than four fiscal quarters during the term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Notwithstanding anything herein to the contrary, upon the designation of any Cure Amount until the receipt by the Parent Borrower thereof in an amount sufficient to cure the relevant Event of Default, the Borrowers shall not be permitted to request (and none of the Administrative Agent, the Lenders or the Issuing Banks shall be obligated to extend any Commitments or issue any Letters of Credit, as applicable) any Commitments (including any issuance or extension (including automatic renewals) of any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To the extent a fiscal quarter in respect of which a Cure Amount for an Event of Default resulting from a failure to comply with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is received (such fiscal quarter a “</w:t>
      </w:r>
      <w:r>
        <w:rPr>
          <w:rFonts w:ascii="Times New Roman;Times;serif" w:hAnsi="Times New Roman;Times;serif"/>
          <w:b/>
          <w:sz w:val="24"/>
        </w:rPr>
        <w:t>Cure Quarter</w:t>
      </w:r>
      <w:r>
        <w:rPr>
          <w:rFonts w:ascii="Times New Roman;Times;serif" w:hAnsi="Times New Roman;Times;serif"/>
          <w:sz w:val="20"/>
        </w:rPr>
        <w:t>”</w:t>
      </w:r>
      <w:r>
        <w:rPr>
          <w:rFonts w:ascii="Times New Roman;Times;serif" w:hAnsi="Times New Roman;Times;serif"/>
          <w:sz w:val="24"/>
        </w:rPr>
        <w:t xml:space="preserve">) is included in the calculation of Consolidated EBITDA for a subsequent fiscal period, the Consolidated EBITDA attributable solely to such Cure Quarter shall be deemed permanently increased by such amount for purposes of calculating Consolidated EBITDA (without duplication) for a subsequent fiscal period including such Cure Quarter; </w:t>
      </w:r>
      <w:r>
        <w:rPr>
          <w:rFonts w:ascii="Times New Roman;Times;serif" w:hAnsi="Times New Roman;Times;serif"/>
          <w:sz w:val="24"/>
          <w:u w:val="single"/>
        </w:rPr>
        <w:t>provided</w:t>
      </w:r>
      <w:r>
        <w:rPr>
          <w:rFonts w:ascii="Times New Roman;Times;serif" w:hAnsi="Times New Roman;Times;serif"/>
          <w:sz w:val="24"/>
        </w:rPr>
        <w:t xml:space="preserve">, that the Cure Amount shall be included in the calculation of Consolidated EBITDA solely for the purpose of determining compliance with the financial covenant contained in </w:t>
      </w:r>
      <w:r>
        <w:rPr>
          <w:rFonts w:ascii="Times New Roman;Times;serif" w:hAnsi="Times New Roman;Times;serif"/>
          <w:sz w:val="24"/>
          <w:u w:val="single"/>
        </w:rPr>
        <w:t>Section 6.10(b)(ii)</w:t>
      </w:r>
      <w:r>
        <w:rPr>
          <w:rFonts w:ascii="Times New Roman;Times;serif" w:hAnsi="Times New Roman;Times;serif"/>
          <w:sz w:val="20"/>
        </w:rPr>
        <w:t xml:space="preserve"> </w:t>
      </w:r>
      <w:r>
        <w:rPr>
          <w:rFonts w:ascii="Times New Roman;Times;serif" w:hAnsi="Times New Roman;Times;serif"/>
          <w:sz w:val="24"/>
        </w:rPr>
        <w:t>and not for any other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7.03</w:t>
      </w:r>
      <w:r>
        <w:rPr>
          <w:rFonts w:ascii="Times New Roman;Times;serif" w:hAnsi="Times New Roman;Times;serif"/>
          <w:sz w:val="24"/>
          <w:u w:val="single"/>
        </w:rPr>
        <w:t>Application of Proceeds</w:t>
      </w:r>
      <w:r>
        <w:rPr>
          <w:rFonts w:ascii="Times New Roman;Times;serif" w:hAnsi="Times New Roman;Times;serif"/>
          <w:sz w:val="24"/>
        </w:rPr>
        <w:t xml:space="preserve">. Any proceeds of Collateral of any Loan Party received by the Administrative Agent (i) after an Event of Default has occurred and is continuing and the Administrative Agent so elects or the Required Lenders so direct or (ii) at any other time, not constituting (A) a specific payment of principal, interest, fees or other sum payable under the Loan Documents (which shall be applied as specified by the Borrower Representative), or (B) a mandatory prepayment (which shall be applied in accordance with </w:t>
      </w:r>
      <w:r>
        <w:rPr>
          <w:rFonts w:ascii="Times New Roman;Times;serif" w:hAnsi="Times New Roman;Times;serif"/>
          <w:sz w:val="24"/>
          <w:u w:val="single"/>
        </w:rPr>
        <w:t>Section 2.08(d)</w:t>
      </w:r>
      <w:r>
        <w:rPr>
          <w:rFonts w:ascii="Times New Roman;Times;serif" w:hAnsi="Times New Roman;Times;serif"/>
          <w:sz w:val="24"/>
        </w:rPr>
        <w:t xml:space="preserve">), shall (subject to the provisions of </w:t>
      </w:r>
      <w:r>
        <w:rPr>
          <w:rFonts w:ascii="Times New Roman;Times;serif" w:hAnsi="Times New Roman;Times;serif"/>
          <w:sz w:val="24"/>
          <w:u w:val="single"/>
        </w:rPr>
        <w:t>Section 10.21</w:t>
      </w:r>
      <w:r>
        <w:rPr>
          <w:rFonts w:ascii="Times New Roman;Times;serif" w:hAnsi="Times New Roman;Times;serif"/>
          <w:sz w:val="24"/>
        </w:rPr>
        <w:t>) be applied, as follows: (1) ratably first, to pay any fees, indemnities, or expense reimbursements then owing to the Administrative Agent and any Issuing Bank from, or guaranteed by, such Loan Party under the Loan Documents (other than in connection with Specified Cash Management Agreements or Specified Swap Agreements); (2) second, to pay any fees or expense reimbursements then owing to the Lenders from, or guaranteed by, such Loan Party under the Loan Documents (other than in connection with Specified Cash Management Agreements or Specified Swap Agreements); (3) third, to pay interest due in respect of the Protective Advances owing by or guaranteed by such Loan Party; (4) fourth, to pay the principal of the Protective Advances owing by or guaranteed by such Loan Party; (5) fifth, to pay interest then due and payable on the Loans (other than the Protective Advances) and unreimbursed LC Disbursements, in each case owing or guaranteed by such Loan Party, ratably; (6) sixth, ratably, to pay principal on the Loans (other than the Protective Advances), to pay unreimbursed LC Disbursements owing or guaranteed by such Loan Party, to pay an amount to the Administrative Agent equal to 103% of the aggregate undrawn available balance of all outstanding Letters of Credit (105% of the aggregate undrawn available balance of any Letters of Credit denominated in a currency other than Dollars) issued on behalf of, or guaranteed by, such Loan Party, to be held as Cash Collateral for such Obligations, and to pay any amounts owing with respect to Obligations under any Specified Cash Management Agreements and Specified Swap Agreements owing or guaranteed by such Loan Party to any Person that is a currently Lender or an Affiliate of a Lender at such time, (7) seventh, to the payment of any amounts owing with respect to Obligations under any Specified Swap Agreements owing or guaranteed by such Loan Party to any other Approved Counterparty, ratably; (8) eighth, to the payment of any other Obligations owing to the Administrative Agent or any Lender by, or guaranteed by, such Loan Party, ratably, and (9) ninth, any balance remaining after the Obligations shall have been paid in full and no Letters of Credit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shall be outstanding (other than Letters of Credit which have been Cash Collateralized in accordance with the foregoing) shall be paid over to the applicable Loan Party at its account designated for such purpose by written notice by such Loan Party to the Administrative Agent or to whomsoever else may be lawfully entitled to receive the same. The application of any payment pursuant to this </w:t>
      </w:r>
      <w:r>
        <w:rPr>
          <w:rFonts w:ascii="Times New Roman;Times;serif" w:hAnsi="Times New Roman;Times;serif"/>
          <w:sz w:val="24"/>
          <w:u w:val="single"/>
        </w:rPr>
        <w:t>Section 7.03</w:t>
      </w:r>
      <w:r>
        <w:rPr>
          <w:rFonts w:ascii="Times New Roman;Times;serif" w:hAnsi="Times New Roman;Times;serif"/>
          <w:sz w:val="20"/>
        </w:rPr>
        <w:t xml:space="preserve"> </w:t>
      </w:r>
      <w:r>
        <w:rPr>
          <w:rFonts w:ascii="Times New Roman;Times;serif" w:hAnsi="Times New Roman;Times;serif"/>
          <w:sz w:val="24"/>
        </w:rPr>
        <w:t>shall be made first, to ABR Loans and second, to Term Benchmark Loans and RFR Loans. Each of the Administrative Agent and the Lenders shall have the continuing and exclusive right to apply and reverse and reapply any and all such proceeds and payments to any portion of the Obligations to maximize realization of the Collateral (it being understood that, notwithstanding the foregoing, in no event shall be payments be made pursuant to levels “seventh” or “eighth” above prior to the payment in full of all obligations described in levels “first” through “sixth” above). Notwithstanding the foregoing, no amount received from any Loan Party shall be applied to any Excluded Swap Obligation of such Loan Party.</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8</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THE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8.01</w:t>
      </w:r>
      <w:r>
        <w:rPr>
          <w:rFonts w:ascii="Times New Roman;Times;serif" w:hAnsi="Times New Roman;Times;serif"/>
          <w:sz w:val="24"/>
          <w:u w:val="single"/>
        </w:rPr>
        <w:t>Appointment of Administrative Agent</w:t>
      </w:r>
      <w:r>
        <w:rPr>
          <w:rFonts w:ascii="Times New Roman;Times;serif" w:hAnsi="Times New Roman;Times;serif"/>
          <w:sz w:val="24"/>
        </w:rPr>
        <w:t xml:space="preserve">. Citibank, N.A. is hereby appointed Administrative Agent hereunder and under the other Loan Documents and each Lender hereby authorizes Citibank, N.A. to act as Administrative Agent in accordance with the terms hereof and the other Loan Documents. Each Agent hereby agrees to act in its capacity as such upon the express conditions contained herein and the other Loan Documents, as applicable. The provisions of this </w:t>
      </w:r>
      <w:r>
        <w:rPr>
          <w:rFonts w:ascii="Times New Roman;Times;serif" w:hAnsi="Times New Roman;Times;serif"/>
          <w:sz w:val="24"/>
          <w:u w:val="single"/>
        </w:rPr>
        <w:t>Article 8</w:t>
      </w:r>
      <w:r>
        <w:rPr>
          <w:rFonts w:ascii="Times New Roman;Times;serif" w:hAnsi="Times New Roman;Times;serif"/>
          <w:sz w:val="20"/>
        </w:rPr>
        <w:t xml:space="preserve"> </w:t>
      </w:r>
      <w:r>
        <w:rPr>
          <w:rFonts w:ascii="Times New Roman;Times;serif" w:hAnsi="Times New Roman;Times;serif"/>
          <w:sz w:val="24"/>
        </w:rPr>
        <w:t xml:space="preserve">are solely for the benefit of the Agents and Lenders and no Loan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any Loan Party or any of its Subsidiaries. As of the Amendment No. 3 Effective Date, none of the Arrangers in such capacity shall have any obligations but shall be entitled to all benefits of this </w:t>
      </w:r>
      <w:r>
        <w:rPr>
          <w:rFonts w:ascii="Times New Roman;Times;serif" w:hAnsi="Times New Roman;Times;serif"/>
          <w:sz w:val="24"/>
          <w:u w:val="single"/>
        </w:rPr>
        <w:t>Article 8</w:t>
      </w:r>
      <w:r>
        <w:rPr>
          <w:rFonts w:ascii="Times New Roman;Times;serif" w:hAnsi="Times New Roman;Times;serif"/>
          <w:sz w:val="24"/>
        </w:rPr>
        <w:t>. The Arrangers may resign from such role at any time, with immediate effect, by giving prior written notice thereof to the Administrative Agent and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8.02</w:t>
      </w:r>
      <w:r>
        <w:rPr>
          <w:rFonts w:ascii="Times New Roman;Times;serif" w:hAnsi="Times New Roman;Times;serif"/>
          <w:sz w:val="24"/>
          <w:u w:val="single"/>
        </w:rPr>
        <w:t>Powers and Duties</w:t>
      </w:r>
      <w:r>
        <w:rPr>
          <w:rFonts w:ascii="Times New Roman;Times;serif" w:hAnsi="Times New Roman;Times;serif"/>
          <w:sz w:val="24"/>
        </w:rPr>
        <w:t>.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Loan Documents. Each Agent may exercise such powers, rights and remedies and perform such duties by or through its agents or employees. No Agent shall have, by reason hereof or any of the other Loan Documents, a fiduciary relationship in respect of any Lender or any other Person; and nothing herein or any of the other Loan Documents, expressed or implied, is intended to or shall be so construed as to impose upon any Agent any obligations in respect hereof or any of the other Loan Documents except as expressly set forth herein or therein. For the avoidance of doubt, nothing in any Loan Document shall be construed so as to constitute an obligation of the Administrative Agent to perform any services which it would not be entitled to render pursuant to the provisions of the German Act on Rendering Legal Services (</w:t>
      </w:r>
      <w:r>
        <w:rPr>
          <w:rFonts w:ascii="Times New Roman;Times;serif" w:hAnsi="Times New Roman;Times;serif"/>
          <w:i/>
          <w:sz w:val="24"/>
        </w:rPr>
        <w:t>Rechtsdienstleistungsgesetz</w:t>
      </w:r>
      <w:r>
        <w:rPr>
          <w:rFonts w:ascii="Times New Roman;Times;serif" w:hAnsi="Times New Roman;Times;serif"/>
          <w:sz w:val="24"/>
        </w:rPr>
        <w:t>) or pursuant to the provisions of the German Tax Advisory Act (</w:t>
      </w:r>
      <w:r>
        <w:rPr>
          <w:rFonts w:ascii="Times New Roman;Times;serif" w:hAnsi="Times New Roman;Times;serif"/>
          <w:i/>
          <w:sz w:val="24"/>
        </w:rPr>
        <w:t>Steuerberatungsgesetz</w:t>
      </w:r>
      <w:r>
        <w:rPr>
          <w:rFonts w:ascii="Times New Roman;Times;serif" w:hAnsi="Times New Roman;Times;serif"/>
          <w:sz w:val="24"/>
        </w:rPr>
        <w:t>) or any other services that require an express official approval, licence or registration, unless the Administrative Agent holds the required approval, licence or registration.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8.03</w:t>
      </w:r>
      <w:r>
        <w:rPr>
          <w:rFonts w:ascii="Times New Roman;Times;serif" w:hAnsi="Times New Roman;Times;serif"/>
          <w:sz w:val="24"/>
          <w:u w:val="single"/>
        </w:rPr>
        <w:t>General Immunity</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 Agent shall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Loan Party to any Agent or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the Administrative Agent shall not have any liability arising from confirmations of the amount of outstanding Loans, the Revolving Credit Exposures, the Total Revolving Extensions of Credit or the component amounts thereof or any Dollar Equivalent.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No Agent nor any of its officers, partners, directors, employees or agents shall be liable to 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Required Lenders (or such other Lenders as may be required to give such instructions under </w:t>
      </w:r>
      <w:r>
        <w:rPr>
          <w:rFonts w:ascii="Times New Roman;Times;serif" w:hAnsi="Times New Roman;Times;serif"/>
          <w:sz w:val="24"/>
          <w:u w:val="single"/>
        </w:rPr>
        <w:t>Section 10.02</w:t>
      </w:r>
      <w:r>
        <w:rPr>
          <w:rFonts w:ascii="Times New Roman;Times;serif" w:hAnsi="Times New Roman;Times;serif"/>
          <w:sz w:val="24"/>
        </w:rPr>
        <w:t xml:space="preserve">) and, upon receipt of such instructions from Required Lenders (or such other Lenders, as the case may be), such Agent shall be entitled to act or (where so instructed) refrain from acting, or to exercise such power, discretion or authority, in accordance with such instructions,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Parent and its Subsidiaries), accountants, experts and other professional advisors selected by it; and (ii) no Lender shall have any right of action whatsoever against any Agent as a result of such Agent acting or (where so instructed) refraining from acting hereunder or any of the other Loan Documents in accordance with the instructions of Required Lenders (or such other Lenders as may be required to give such instructions under </w:t>
      </w:r>
      <w:r>
        <w:rPr>
          <w:rFonts w:ascii="Times New Roman;Times;serif" w:hAnsi="Times New Roman;Times;serif"/>
          <w:sz w:val="24"/>
          <w:u w:val="single"/>
        </w:rPr>
        <w:t>Section 10.02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Administrative Agent may perform any and all of its duties and exercise its rights and powers under this Agreement or under any other Loan Document by or through any one or more sub-agents appointed by the Administrative Agent. The Administrative Agent and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such sub-agent may perform any and all of its duties and exercise its rights and powers by or through their respective Affiliates. The exculpatory, indemnification and other provisions of this </w:t>
      </w:r>
      <w:r>
        <w:rPr>
          <w:rFonts w:ascii="Times New Roman;Times;serif" w:hAnsi="Times New Roman;Times;serif"/>
          <w:sz w:val="24"/>
          <w:u w:val="single"/>
        </w:rPr>
        <w:t>Section 8.03</w:t>
      </w:r>
      <w:r>
        <w:rPr>
          <w:rFonts w:ascii="Times New Roman;Times;serif" w:hAnsi="Times New Roman;Times;serif"/>
          <w:sz w:val="20"/>
        </w:rPr>
        <w:t xml:space="preserve"> </w:t>
      </w:r>
      <w:r>
        <w:rPr>
          <w:rFonts w:ascii="Times New Roman;Times;serif" w:hAnsi="Times New Roman;Times;serif"/>
          <w:sz w:val="24"/>
        </w:rPr>
        <w:t xml:space="preserve">and of </w:t>
      </w:r>
      <w:r>
        <w:rPr>
          <w:rFonts w:ascii="Times New Roman;Times;serif" w:hAnsi="Times New Roman;Times;serif"/>
          <w:sz w:val="24"/>
          <w:u w:val="single"/>
        </w:rPr>
        <w:t>Section 8.06</w:t>
      </w:r>
      <w:r>
        <w:rPr>
          <w:rFonts w:ascii="Times New Roman;Times;serif" w:hAnsi="Times New Roman;Times;serif"/>
          <w:sz w:val="20"/>
        </w:rPr>
        <w:t xml:space="preserve"> </w:t>
      </w:r>
      <w:r>
        <w:rPr>
          <w:rFonts w:ascii="Times New Roman;Times;serif" w:hAnsi="Times New Roman;Times;serif"/>
          <w:sz w:val="24"/>
        </w:rPr>
        <w:t xml:space="preserve">shall apply to any the Affiliates of the Administrative Agent and shall apply to their respective activities in connection with the syndication of the credit facilities provided for herein as well as activities as the Administrative Agent. All of the rights, benefits, and privileges (including the exculpatory and indemnification provisions) of this </w:t>
      </w:r>
      <w:r>
        <w:rPr>
          <w:rFonts w:ascii="Times New Roman;Times;serif" w:hAnsi="Times New Roman;Times;serif"/>
          <w:sz w:val="24"/>
          <w:u w:val="single"/>
        </w:rPr>
        <w:t>Section 8.03</w:t>
      </w:r>
      <w:r>
        <w:rPr>
          <w:rFonts w:ascii="Times New Roman;Times;serif" w:hAnsi="Times New Roman;Times;serif"/>
          <w:sz w:val="20"/>
        </w:rPr>
        <w:t xml:space="preserve"> </w:t>
      </w:r>
      <w:r>
        <w:rPr>
          <w:rFonts w:ascii="Times New Roman;Times;serif" w:hAnsi="Times New Roman;Times;serif"/>
          <w:sz w:val="24"/>
        </w:rPr>
        <w:t xml:space="preserve">and of </w:t>
      </w:r>
      <w:r>
        <w:rPr>
          <w:rFonts w:ascii="Times New Roman;Times;serif" w:hAnsi="Times New Roman;Times;serif"/>
          <w:sz w:val="24"/>
          <w:u w:val="single"/>
        </w:rPr>
        <w:t>Section 8.06</w:t>
      </w:r>
      <w:r>
        <w:rPr>
          <w:rFonts w:ascii="Times New Roman;Times;serif" w:hAnsi="Times New Roman;Times;serif"/>
          <w:sz w:val="20"/>
        </w:rPr>
        <w:t xml:space="preserve"> </w:t>
      </w:r>
      <w:r>
        <w:rPr>
          <w:rFonts w:ascii="Times New Roman;Times;serif" w:hAnsi="Times New Roman;Times;serif"/>
          <w:sz w:val="24"/>
        </w:rPr>
        <w:t>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 (iii) 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8.04</w:t>
      </w:r>
      <w:r>
        <w:rPr>
          <w:rFonts w:ascii="Times New Roman;Times;serif" w:hAnsi="Times New Roman;Times;serif"/>
          <w:sz w:val="24"/>
          <w:u w:val="single"/>
        </w:rPr>
        <w:t>Administrative Agent Entitled to Act as Lender</w:t>
      </w:r>
      <w:r>
        <w:rPr>
          <w:rFonts w:ascii="Times New Roman;Times;serif" w:hAnsi="Times New Roman;Times;serif"/>
          <w:sz w:val="24"/>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the Loan Parties or any of their respective Affiliates as if it were not performing the duties specified herein, and may accept fees and other consideration from the Loan Parties or such Affiliates, as applicable, for services in connection herewith and otherwise without having to account for the same to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8.05</w:t>
      </w:r>
      <w:r>
        <w:rPr>
          <w:rFonts w:ascii="Times New Roman;Times;serif" w:hAnsi="Times New Roman;Times;serif"/>
          <w:sz w:val="24"/>
          <w:u w:val="single"/>
        </w:rPr>
        <w:t>Lenders’ Representations, Warranties and Acknowledgment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Lender represents and warrants that it has made its own independent investigation of the financial condition and affairs of the Parent and its Subsidiaries in connection with Loans hereunder and that it has made and shall continue to make its own appraisal of the creditworthiness of the Parent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Lender, by delivering its signature page to this Agreement, an Assignment and Assumption or a Lender Joinder Agreement and funding its Loans on or after the Effective Date or by the funding of any New Loans, as the case may be, shall be deemed to have acknowledged receipt of, and consented to and approved, each Loan Document and each other document required to be approved by any Agent, Issuing Bank or Lender, as applicable on the Effective Date or as of the date of funding of such New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respective obligations of the Lenders under this Agreement are several and not joint and no Lender shall be responsible for the failure of any other Lender to satisfy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8.06</w:t>
      </w:r>
      <w:r>
        <w:rPr>
          <w:rFonts w:ascii="Times New Roman;Times;serif" w:hAnsi="Times New Roman;Times;serif"/>
          <w:sz w:val="24"/>
          <w:u w:val="single"/>
        </w:rPr>
        <w:t>Right to Indemnity</w:t>
      </w:r>
      <w:r>
        <w:rPr>
          <w:rFonts w:ascii="Times New Roman;Times;serif" w:hAnsi="Times New Roman;Times;serif"/>
          <w:sz w:val="24"/>
        </w:rPr>
        <w:t xml:space="preserve">. Each Lender, in proportion to its Applicable Percentage, severally agrees to indemnify each Agent, to the extent that such Agent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Times New Roman;Times;serif" w:hAnsi="Times New Roman;Times;serif"/>
          <w:sz w:val="24"/>
          <w:u w:val="single"/>
        </w:rPr>
        <w:t>provided</w:t>
      </w:r>
      <w:r>
        <w:rPr>
          <w:rFonts w:ascii="Times New Roman;Times;serif" w:hAnsi="Times New Roman;Times;serif"/>
          <w:sz w:val="24"/>
        </w:rPr>
        <w:t xml:space="preserve">,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Times;serif" w:hAnsi="Times New Roman;Times;serif"/>
          <w:sz w:val="24"/>
          <w:u w:val="single"/>
        </w:rPr>
        <w:t>provided</w:t>
      </w:r>
      <w:r>
        <w:rPr>
          <w:rFonts w:ascii="Times New Roman;Times;serif" w:hAnsi="Times New Roman;Times;serif"/>
          <w:sz w:val="24"/>
        </w:rPr>
        <w:t xml:space="preserve">, in no event shall this sentence require any Lender to indemnify any Agent against any liability, obligation, loss, damage, penalty, action, judgment, suit, cost, expense or disbursement in excess of such Lender’s Applicable Percentage thereof; and </w:t>
      </w:r>
      <w:r>
        <w:rPr>
          <w:rFonts w:ascii="Times New Roman;Times;serif" w:hAnsi="Times New Roman;Times;serif"/>
          <w:sz w:val="24"/>
          <w:u w:val="single"/>
        </w:rPr>
        <w:t>provided further</w:t>
      </w:r>
      <w:r>
        <w:rPr>
          <w:rFonts w:ascii="Times New Roman;Times;serif" w:hAnsi="Times New Roman;Times;serif"/>
          <w:sz w:val="24"/>
        </w:rPr>
        <w:t>, this sentence shall not be deemed to require any Lender to indemnify any Agent against any liability, obligation, loss, damage, penalty, action, judgment, suit, cost, expense or disbursement described in the proviso in the immediately preceding sentence.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8.07</w:t>
      </w:r>
      <w:r>
        <w:rPr>
          <w:rFonts w:ascii="Times New Roman;Times;serif" w:hAnsi="Times New Roman;Times;serif"/>
          <w:sz w:val="24"/>
          <w:u w:val="single"/>
        </w:rPr>
        <w:t>Successor Administrative Agent</w:t>
      </w:r>
      <w:r>
        <w:rPr>
          <w:rFonts w:ascii="Times New Roman;Times;serif" w:hAnsi="Times New Roman;Times;serif"/>
          <w:sz w:val="24"/>
        </w:rPr>
        <w:t>. The Administrative Agent shall have the right to resign at any time by giving prior written notice thereof to Lenders and the Borrowers. The Administrative Agent shall have the right to appoint a financial institution to act as the Administrative Agent hereunder, subject to the reasonable satisfaction of (i) except if an Event of Default has occurred and is continuing, the Parent Borrower and (ii) the Required Lenders, and the Administrative Agent’s resignation shall become effective on the earliest of (i) 30 days after delivery of the notice of resignation (regardless of whether a successor has been appointed or not), (ii) the acceptance of such successor Administrative Agent by the Parent Borrower and the Required Lenders or (iii) such other date, if any, agreed to by the Required Lenders. Upon any such notice of resignation, if a successor Administrative Agent has not already been appointed by the retiring Administrative Agent, Required Lenders shall have the right, in consultation with the Parent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Upon the acceptance of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held under the Loan Documents, together with all records and other documents necessary or appropriate in connection with the performance of the duties of the successor Administrative Agent under the Loan Documents, and (ii) take such other actions, as may be necessary or appropriate in connection with the assignment to such successor Administrative Agent of the Loan Documents, whereupon such retiring Administrative Agent shall be discharged from its duties and obligations hereunder or under the other Loan Documents (if not already discharged therefrom as provided above in this Article). After any retiring Administrative Agent’s resignation hereunder as Administrative Agent, the provisions of this </w:t>
      </w:r>
      <w:r>
        <w:rPr>
          <w:rFonts w:ascii="Times New Roman;Times;serif" w:hAnsi="Times New Roman;Times;serif"/>
          <w:sz w:val="24"/>
          <w:u w:val="single"/>
        </w:rPr>
        <w:t>Article 8</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10.03</w:t>
      </w:r>
      <w:r>
        <w:rPr>
          <w:rFonts w:ascii="Times New Roman;Times;serif" w:hAnsi="Times New Roman;Times;serif"/>
          <w:sz w:val="20"/>
        </w:rPr>
        <w:t xml:space="preserve"> </w:t>
      </w:r>
      <w:r>
        <w:rPr>
          <w:rFonts w:ascii="Times New Roman;Times;serif" w:hAnsi="Times New Roman;Times;serif"/>
          <w:sz w:val="24"/>
        </w:rPr>
        <w:t>shall inure to its benefit as to any actions taken or omitted to be taken by it while it was Administrative Agent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8.08</w:t>
      </w:r>
      <w:r>
        <w:rPr>
          <w:rFonts w:ascii="Times New Roman;Times;serif" w:hAnsi="Times New Roman;Times;serif"/>
          <w:sz w:val="24"/>
          <w:u w:val="single"/>
        </w:rPr>
        <w:t>Guaranty and Security Documents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Each Lender hereby further authorizes the Administrative Agent, on behalf of and for the benefit of the Lenders, to be the agent for and representative of the Lenders with respect to the Guaranty and the Loan Documents. Subject to </w:t>
      </w:r>
      <w:r>
        <w:rPr>
          <w:rFonts w:ascii="Times New Roman;Times;serif" w:hAnsi="Times New Roman;Times;serif"/>
          <w:sz w:val="24"/>
          <w:u w:val="single"/>
        </w:rPr>
        <w:t>Section 10.02</w:t>
      </w:r>
      <w:r>
        <w:rPr>
          <w:rFonts w:ascii="Times New Roman;Times;serif" w:hAnsi="Times New Roman;Times;serif"/>
          <w:sz w:val="24"/>
        </w:rPr>
        <w:t xml:space="preserve">, without further written consent or authorization from any Lender, the Administrative Agent may execute any documents or instruments necessary to release any Guarantor from the Guaranty pursuant to </w:t>
      </w:r>
      <w:r>
        <w:rPr>
          <w:rFonts w:ascii="Times New Roman;Times;serif" w:hAnsi="Times New Roman;Times;serif"/>
          <w:sz w:val="24"/>
          <w:u w:val="single"/>
        </w:rPr>
        <w:t>Section 10.17</w:t>
      </w:r>
      <w:r>
        <w:rPr>
          <w:rFonts w:ascii="Times New Roman;Times;serif" w:hAnsi="Times New Roman;Times;serif"/>
          <w:sz w:val="20"/>
        </w:rPr>
        <w:t xml:space="preserve"> </w:t>
      </w:r>
      <w:r>
        <w:rPr>
          <w:rFonts w:ascii="Times New Roman;Times;serif" w:hAnsi="Times New Roman;Times;serif"/>
          <w:sz w:val="24"/>
        </w:rPr>
        <w:t xml:space="preserve">or with respect to which Required Lenders (or such other Lenders as may be required to give such consent under </w:t>
      </w:r>
      <w:r>
        <w:rPr>
          <w:rFonts w:ascii="Times New Roman;Times;serif" w:hAnsi="Times New Roman;Times;serif"/>
          <w:sz w:val="24"/>
          <w:u w:val="single"/>
        </w:rPr>
        <w:t>Section 10.02</w:t>
      </w:r>
      <w:r>
        <w:rPr>
          <w:rFonts w:ascii="Times New Roman;Times;serif" w:hAnsi="Times New Roman;Times;serif"/>
          <w:sz w:val="24"/>
        </w:rPr>
        <w:t>) have otherwise consented.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Anything contained in any of the Loan Documents to the contrary notwithstanding, the Loan Parties, the Administrative Agent and each Lender hereby agree that no Lender shall have any right individually to enforce the Guaranty or the Security Documents, it being understood and agreed that all powers, rights and remedies hereunder and under any of the Loan Documents may be exercised solely by the Administrative Agent, for the benefit of the Secured Parties, in accordance with the terms hereof and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Notwithstanding anything to the contrary contained herein or any other Loan Document, when all Obligations (including unreimbursed LC Disbursements, but excluding contingent obligations as to which no claim has been asserted) have been paid in full in cash and all Commitments have terminated or expired and no Letter of Credit shall be outstanding or subject to any pending draw (or shall be otherwise Cash Collateralized or backstopped or deemed reissued under another agreement reasonably acceptable to the applicable Issuing Bank), upon request of the Borrowers, the Administrative Agent shall take such actions as shall be required to release all guarantee obligations provided for in and Liens created by any Loan Document.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judicial management or reorganization of any Borrower or any Guarantor, or upon or as a result of the appointment of a receiver, interim receiver, intervenor or conservator of, or trustee, monitor, examiner, process advisor, judicial manager or similar officer for, any Borrower or any Guarantor or any substantial part of its property, or otherwise, all as though such payment had not been made.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Without limiting the powers of the Administrative Agent, for the purposes of holding any Lien which may now or in the future be required to be granted by any Loan Party pursuant to the laws of the Province of Quebec to secure the prompt payment and performance of any and all Obligations, each Secured Party hereby irrevocably appoints and authorizes the Administrative Agent and, to the extent necessary, ratifies the appointment and authorization of the Administrative Agent, to act as the hypothecary representative of the present and future Secured Parties as contemplated under Article 2692 of the Civil Code of Quebec (in such capacity, the “</w:t>
      </w:r>
      <w:r>
        <w:rPr>
          <w:rFonts w:ascii="Times New Roman;Times;serif" w:hAnsi="Times New Roman;Times;serif"/>
          <w:b/>
          <w:sz w:val="24"/>
        </w:rPr>
        <w:t>Hypothecary Representative</w:t>
      </w:r>
      <w:r>
        <w:rPr>
          <w:rFonts w:ascii="Times New Roman;Times;serif" w:hAnsi="Times New Roman;Times;serif"/>
          <w:sz w:val="20"/>
        </w:rPr>
        <w:t>”</w:t>
      </w:r>
      <w:r>
        <w:rPr>
          <w:rFonts w:ascii="Times New Roman;Times;serif" w:hAnsi="Times New Roman;Times;serif"/>
          <w:sz w:val="24"/>
        </w:rPr>
        <w:t>), and to enter into, to take and to hold on their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behalf, and for their benefit, any hypothec, and to exercise such powers and duties that are conferred upon the Hypothecary Representative under any related deed of hypothec and applicable laws (with the power to delegate any such rights or duties). The Hypothecary Representative shall (i) have the sole and exclusive right and authority to exercise, except as may be otherwise specifically restricted by the terms hereof, all rights and remedies given to the Administrative Agent pursuant to any such deed of hypothec and applicable laws, and (ii) benefit from and be subject to all provisions hereof with respect to the Administrative Agent </w:t>
      </w:r>
      <w:r>
        <w:rPr>
          <w:rFonts w:ascii="Times New Roman;Times;serif" w:hAnsi="Times New Roman;Times;serif"/>
          <w:i/>
          <w:sz w:val="24"/>
        </w:rPr>
        <w:t>mutatis mutandis</w:t>
      </w:r>
      <w:r>
        <w:rPr>
          <w:rFonts w:ascii="Times New Roman;Times;serif" w:hAnsi="Times New Roman;Times;serif"/>
          <w:sz w:val="24"/>
        </w:rPr>
        <w:t>, including all such provisions with respect to the liability or responsibility to and indemnification by the Secured Parties and the Loan Parties. Any person who becomes a Secured Party shall, by its execution of an Assignment and Assumption, be deemed to have consented to and confirmed the Administrative Agent as the Hypothecary Representative holding the aforesaid hypothecs as aforesaid and to have ratified, as of the date it becomes a Secured Party, all actions taken by the Hypothecary Representative. The substitution of the Administrative Agent pursuant to the provisions of this Article 8 also constitutes the substitution of the Hypothecary Representative as aforesaid.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8.09</w:t>
      </w:r>
      <w:r>
        <w:rPr>
          <w:rFonts w:ascii="Times New Roman;Times;serif" w:hAnsi="Times New Roman;Times;serif"/>
          <w:sz w:val="24"/>
          <w:u w:val="single"/>
        </w:rPr>
        <w:t>Withholding Taxes</w:t>
      </w:r>
      <w:r>
        <w:rPr>
          <w:rFonts w:ascii="Times New Roman;Times;serif" w:hAnsi="Times New Roman;Times;serif"/>
          <w:sz w:val="24"/>
        </w:rPr>
        <w:t>. 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8.10</w:t>
      </w:r>
      <w:r>
        <w:rPr>
          <w:rFonts w:ascii="Times New Roman;Times;serif" w:hAnsi="Times New Roman;Times;serif"/>
          <w:sz w:val="24"/>
          <w:u w:val="single"/>
        </w:rPr>
        <w:t>Administrative Agent May File Bankruptcy Disclosure and Proofs of Claim</w:t>
      </w:r>
      <w:r>
        <w:rPr>
          <w:rFonts w:ascii="Times New Roman;Times;serif" w:hAnsi="Times New Roman;Times;serif"/>
          <w:sz w:val="24"/>
        </w:rPr>
        <w:t>. In case of the pendency of any proceeding under any Debtor Relief Laws relative to any Loan Party, the Administrative Agent (irrespective of whether the principal of any Loan or Obligation under a Letter of Credit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to file a verified statement pursuant to rule 2019 of the Federal Rules of Bankruptcy Procedure that, in its sole opinion, complies with such rule’s disclosure requirements for entities representing more than one creditor;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Administrative Agent and its respective agents and counsel and all other amounts due Administrative Agent under </w:t>
      </w:r>
      <w:r>
        <w:rPr>
          <w:rFonts w:ascii="Times New Roman;Times;serif" w:hAnsi="Times New Roman;Times;serif"/>
          <w:sz w:val="24"/>
          <w:u w:val="single"/>
        </w:rPr>
        <w:t>Sections 2.09</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10.03</w:t>
      </w:r>
      <w:r>
        <w:rPr>
          <w:rFonts w:ascii="Times New Roman;Times;serif" w:hAnsi="Times New Roman;Times;serif"/>
          <w:sz w:val="20"/>
        </w:rPr>
        <w:t xml:space="preserve"> </w:t>
      </w:r>
      <w:r>
        <w:rPr>
          <w:rFonts w:ascii="Times New Roman;Times;serif" w:hAnsi="Times New Roman;Times;serif"/>
          <w:sz w:val="24"/>
        </w:rPr>
        <w:t>allowed in such judicial proceeding);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to collect and receive any monies or other property payable or deliverable on any such claims and to distribute the same;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and any custodian, receiver, interim receiver, assignee, trustee, monitor, liquidator, administrative receiver, compulsory or interim manager, sequestrator, Australian Controller, examiner, process advisor, judicial manager or other similar official in any such judicial proceeding is hereby authorized by each Lender and Issuing Bank to make such payments to Administrative Agent and, in the event that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to the Administrative Agent under </w:t>
      </w:r>
      <w:r>
        <w:rPr>
          <w:rFonts w:ascii="Times New Roman;Times;serif" w:hAnsi="Times New Roman;Times;serif"/>
          <w:sz w:val="24"/>
          <w:u w:val="single"/>
        </w:rPr>
        <w:t>Sections 2.09</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10.03</w:t>
      </w:r>
      <w:r>
        <w:rPr>
          <w:rFonts w:ascii="Times New Roman;Times;serif" w:hAnsi="Times New Roman;Times;serif"/>
          <w:sz w:val="24"/>
        </w:rPr>
        <w:t xml:space="preserve">. To the extent that the payment of any such compensation, expenses, disbursements and advances of the Administrative Agent, its agents and counsel, and any other amounts due to the Administrative Agent under </w:t>
      </w:r>
      <w:r>
        <w:rPr>
          <w:rFonts w:ascii="Times New Roman;Times;serif" w:hAnsi="Times New Roman;Times;serif"/>
          <w:sz w:val="24"/>
          <w:u w:val="single"/>
        </w:rPr>
        <w:t>Sections 2.09</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10.03</w:t>
      </w:r>
      <w:r>
        <w:rPr>
          <w:rFonts w:ascii="Times New Roman;Times;serif" w:hAnsi="Times New Roman;Times;serif"/>
          <w:sz w:val="20"/>
        </w:rPr>
        <w:t xml:space="preserve"> </w:t>
      </w:r>
      <w:r>
        <w:rPr>
          <w:rFonts w:ascii="Times New Roman;Times;serif" w:hAnsi="Times New Roman;Times;serif"/>
          <w:sz w:val="24"/>
        </w:rPr>
        <w:t>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judicial management or under any plan of reorganization or arrangement or otherwise.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8.11</w:t>
      </w:r>
      <w:r>
        <w:rPr>
          <w:rFonts w:ascii="Times New Roman;Times;serif" w:hAnsi="Times New Roman;Times;serif"/>
          <w:sz w:val="24"/>
          <w:u w:val="single"/>
        </w:rPr>
        <w:t>Acknowledgment of Lenders and Issuing Banks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Times;serif" w:hAnsi="Times New Roman;Times;serif"/>
          <w:b/>
          <w:sz w:val="24"/>
        </w:rPr>
        <w:t>Payment Recipient</w:t>
      </w:r>
      <w:r>
        <w:rPr>
          <w:rFonts w:ascii="Times New Roman;Times;serif" w:hAnsi="Times New Roman;Times;serif"/>
          <w:sz w:val="20"/>
        </w:rPr>
        <w:t>”</w:t>
      </w:r>
      <w:r>
        <w:rPr>
          <w:rFonts w:ascii="Times New Roman;Times;serif" w:hAnsi="Times New Roman;Times;serif"/>
          <w:sz w:val="24"/>
        </w:rPr>
        <w:t>) that the Administrative Agent has determined in its reasonable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Times;serif" w:hAnsi="Times New Roman;Times;serif"/>
          <w:b/>
          <w:sz w:val="24"/>
        </w:rPr>
        <w:t>Erroneous Payment</w:t>
      </w:r>
      <w:r>
        <w:rPr>
          <w:rFonts w:ascii="Times New Roman;Times;serif" w:hAnsi="Times New Roman;Times;serif"/>
          <w:sz w:val="20"/>
        </w:rPr>
        <w:t>”</w:t>
      </w:r>
      <w:r>
        <w:rPr>
          <w:rFonts w:ascii="Times New Roman;Times;serif" w:hAnsi="Times New Roman;Times;serif"/>
          <w:sz w:val="24"/>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Times;serif" w:hAnsi="Times New Roman;Times;serif"/>
          <w:sz w:val="24"/>
          <w:u w:val="single"/>
        </w:rPr>
        <w:t>Section 8.11</w:t>
      </w:r>
      <w:r>
        <w:rPr>
          <w:rFonts w:ascii="Times New Roman;Times;serif" w:hAnsi="Times New Roman;Times;serif"/>
          <w:sz w:val="20"/>
        </w:rPr>
        <w:t xml:space="preserve"> </w:t>
      </w:r>
      <w:r>
        <w:rPr>
          <w:rFonts w:ascii="Times New Roman;Times;serif" w:hAnsi="Times New Roman;Times;serif"/>
          <w:sz w:val="24"/>
        </w:rPr>
        <w:t>and held in trust for the benefit of the Administrative Agent, and such Lender, Issuing Bank or Secured Party shall (or, with respect to any Payment Recipient who received such funds on its behalf, shall cause such Payment Recipient to) promptly, but in no event later than one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NYFRB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Without limiting immediately preceding clause (a),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such Lender, Issuing Bank or Secured Party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sz w:val="24"/>
          <w:u w:val="single"/>
        </w:rPr>
        <w:t>Section 8.11(b)</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For the avoidance of doubt, the failure to deliver a notice to the Administrative Agent pursuant to this </w:t>
      </w:r>
      <w:r>
        <w:rPr>
          <w:rFonts w:ascii="Times New Roman;Times;serif" w:hAnsi="Times New Roman;Times;serif"/>
          <w:sz w:val="24"/>
          <w:u w:val="single"/>
        </w:rPr>
        <w:t>Section 8.11(b)</w:t>
      </w:r>
      <w:r>
        <w:rPr>
          <w:rFonts w:ascii="Times New Roman;Times;serif" w:hAnsi="Times New Roman;Times;serif"/>
          <w:sz w:val="20"/>
        </w:rPr>
        <w:t xml:space="preserve"> </w:t>
      </w:r>
      <w:r>
        <w:rPr>
          <w:rFonts w:ascii="Times New Roman;Times;serif" w:hAnsi="Times New Roman;Times;serif"/>
          <w:sz w:val="24"/>
        </w:rPr>
        <w:t xml:space="preserve">shall not have any effect on a Payment Recipient’s obligations pursuant to </w:t>
      </w:r>
      <w:r>
        <w:rPr>
          <w:rFonts w:ascii="Times New Roman;Times;serif" w:hAnsi="Times New Roman;Times;serif"/>
          <w:sz w:val="24"/>
          <w:u w:val="single"/>
        </w:rPr>
        <w:t>Section 8.11(a)</w:t>
      </w:r>
      <w:r>
        <w:rPr>
          <w:rFonts w:ascii="Times New Roman;Times;serif" w:hAnsi="Times New Roman;Times;serif"/>
          <w:sz w:val="20"/>
        </w:rPr>
        <w:t xml:space="preserve"> </w:t>
      </w:r>
      <w:r>
        <w:rPr>
          <w:rFonts w:ascii="Times New Roman;Times;serif" w:hAnsi="Times New Roman;Times;serif"/>
          <w:sz w:val="24"/>
        </w:rPr>
        <w:t>or on whether or not an Erroneous Payment has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sz w:val="24"/>
        </w:rPr>
        <w:t>Erroneous Payment Return Deficiency</w:t>
      </w:r>
      <w:r>
        <w:rPr>
          <w:rFonts w:ascii="Times New Roman;Times;serif" w:hAnsi="Times New Roman;Times;serif"/>
          <w:sz w:val="20"/>
        </w:rPr>
        <w:t>”</w:t>
      </w:r>
      <w:r>
        <w:rPr>
          <w:rFonts w:ascii="Times New Roman;Times;serif" w:hAnsi="Times New Roman;Times;serif"/>
          <w:sz w:val="24"/>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Times;serif" w:hAnsi="Times New Roman;Times;serif"/>
          <w:b/>
          <w:sz w:val="24"/>
        </w:rPr>
        <w:t>Erroneous Payment Impacted Class</w:t>
      </w:r>
      <w:r>
        <w:rPr>
          <w:rFonts w:ascii="Times New Roman;Times;serif" w:hAnsi="Times New Roman;Times;serif"/>
          <w:sz w:val="20"/>
        </w:rPr>
        <w:t>”</w:t>
      </w:r>
      <w:r>
        <w:rPr>
          <w:rFonts w:ascii="Times New Roman;Times;serif" w:hAnsi="Times New Roman;Times;serif"/>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sz w:val="24"/>
        </w:rPr>
        <w:t>Erroneous Payment Deficiency Assignment</w:t>
      </w:r>
      <w:r>
        <w:rPr>
          <w:rFonts w:ascii="Times New Roman;Times;serif" w:hAnsi="Times New Roman;Times;serif"/>
          <w:sz w:val="20"/>
        </w:rPr>
        <w:t>”</w:t>
      </w:r>
      <w:r>
        <w:rPr>
          <w:rFonts w:ascii="Times New Roman;Times;serif" w:hAnsi="Times New Roman;Times;serif"/>
          <w:sz w:val="24"/>
        </w:rPr>
        <w:t>) (on a cashless basis and such amount calculated at par plus any accrued and unpaid interest (with the assignment fee to be waived by the Administrative Agent in such instance)), and is hereby (together with the Parent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shall deliver any Notes evidencing such Loans to the Borrowers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Subject to </w:t>
      </w:r>
      <w:r>
        <w:rPr>
          <w:rFonts w:ascii="Times New Roman;Times;serif" w:hAnsi="Times New Roman;Times;serif"/>
          <w:sz w:val="24"/>
          <w:u w:val="single"/>
        </w:rPr>
        <w:t>Section 8.11</w:t>
      </w:r>
      <w:r>
        <w:rPr>
          <w:rFonts w:ascii="Times New Roman;Times;serif" w:hAnsi="Times New Roman;Times;serif"/>
          <w:sz w:val="20"/>
        </w:rPr>
        <w:t xml:space="preserve"> </w:t>
      </w:r>
      <w:r>
        <w:rPr>
          <w:rFonts w:ascii="Times New Roman;Times;serif" w:hAnsi="Times New Roman;Times;serif"/>
          <w:sz w:val="24"/>
        </w:rPr>
        <w:t>(but excluding, in all events, any assignment consent or approval requirements (whether from the Borrowers or otherwise)), the Administrative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Times;serif" w:hAnsi="Times New Roman;Times;serif"/>
          <w:b/>
          <w:sz w:val="24"/>
        </w:rPr>
        <w:t>Erroneous Payment Subrogation Rights</w:t>
      </w:r>
      <w:r>
        <w:rPr>
          <w:rFonts w:ascii="Times New Roman;Times;serif" w:hAnsi="Times New Roman;Times;serif"/>
          <w:sz w:val="20"/>
        </w:rPr>
        <w:t>”</w:t>
      </w:r>
      <w:r>
        <w:rPr>
          <w:rFonts w:ascii="Times New Roman;Times;serif" w:hAnsi="Times New Roman;Times;serif"/>
          <w:sz w:val="24"/>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this </w:t>
      </w:r>
      <w:r>
        <w:rPr>
          <w:rFonts w:ascii="Times New Roman;Times;serif" w:hAnsi="Times New Roman;Times;serif"/>
          <w:sz w:val="24"/>
          <w:u w:val="single"/>
        </w:rPr>
        <w:t>Section 8.11</w:t>
      </w:r>
      <w:r>
        <w:rPr>
          <w:rFonts w:ascii="Times New Roman;Times;serif" w:hAnsi="Times New Roman;Times;serif"/>
          <w:sz w:val="20"/>
        </w:rPr>
        <w:t xml:space="preserve"> </w:t>
      </w:r>
      <w:r>
        <w:rPr>
          <w:rFonts w:ascii="Times New Roman;Times;serif" w:hAnsi="Times New Roman;Times;serif"/>
          <w:sz w:val="24"/>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Each party’s obligations, agreements and waivers under this </w:t>
      </w:r>
      <w:r>
        <w:rPr>
          <w:rFonts w:ascii="Times New Roman;Times;serif" w:hAnsi="Times New Roman;Times;serif"/>
          <w:sz w:val="24"/>
          <w:u w:val="single"/>
        </w:rPr>
        <w:t>Section 8.11</w:t>
      </w:r>
      <w:r>
        <w:rPr>
          <w:rFonts w:ascii="Times New Roman;Times;serif" w:hAnsi="Times New Roman;Times;serif"/>
          <w:sz w:val="20"/>
        </w:rPr>
        <w:t xml:space="preserve"> </w:t>
      </w:r>
      <w:r>
        <w:rPr>
          <w:rFonts w:ascii="Times New Roman;Times;serif" w:hAnsi="Times New Roman;Times;serif"/>
          <w:sz w:val="24"/>
        </w:rPr>
        <w:t>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8.12</w:t>
      </w:r>
      <w:r>
        <w:rPr>
          <w:rFonts w:ascii="Times New Roman;Times;serif" w:hAnsi="Times New Roman;Times;serif"/>
          <w:sz w:val="24"/>
          <w:u w:val="single"/>
        </w:rPr>
        <w:t>Authorization of the Administrative Agent under German Law</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For the purposes of any German Security, in addition to the provisions set out in this Article 8, the specific provisions set out in paragraph (a) through (h) below of this </w:t>
      </w:r>
      <w:r>
        <w:rPr>
          <w:rFonts w:ascii="Times New Roman;Times;serif" w:hAnsi="Times New Roman;Times;serif"/>
          <w:sz w:val="24"/>
          <w:u w:val="single"/>
        </w:rPr>
        <w:t>Section 8.12</w:t>
      </w:r>
      <w:r>
        <w:rPr>
          <w:rFonts w:ascii="Times New Roman;Times;serif" w:hAnsi="Times New Roman;Times;serif"/>
          <w:sz w:val="20"/>
        </w:rPr>
        <w:t xml:space="preserve"> </w:t>
      </w:r>
      <w:r>
        <w:rPr>
          <w:rFonts w:ascii="Times New Roman;Times;serif" w:hAnsi="Times New Roman;Times;serif"/>
          <w:sz w:val="24"/>
        </w:rPr>
        <w:t xml:space="preserve">shall be applicable. With respect to German Security, in the case of any inconsistency, the provisions set forth in this </w:t>
      </w:r>
      <w:r>
        <w:rPr>
          <w:rFonts w:ascii="Times New Roman;Times;serif" w:hAnsi="Times New Roman;Times;serif"/>
          <w:sz w:val="24"/>
          <w:u w:val="single"/>
        </w:rPr>
        <w:t>Section 8.12</w:t>
      </w:r>
      <w:r>
        <w:rPr>
          <w:rFonts w:ascii="Times New Roman;Times;serif" w:hAnsi="Times New Roman;Times;serif"/>
          <w:sz w:val="20"/>
        </w:rPr>
        <w:t xml:space="preserve"> </w:t>
      </w:r>
      <w:r>
        <w:rPr>
          <w:rFonts w:ascii="Times New Roman;Times;serif" w:hAnsi="Times New Roman;Times;serif"/>
          <w:sz w:val="24"/>
        </w:rPr>
        <w:t>shall prevail.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of the Lenders and each Issuing Bank hereby appoints the Administrative Agent as trustee (</w:t>
      </w:r>
      <w:r>
        <w:rPr>
          <w:rFonts w:ascii="Times New Roman;Times;serif" w:hAnsi="Times New Roman;Times;serif"/>
          <w:i/>
          <w:sz w:val="24"/>
        </w:rPr>
        <w:t>Treuhänder</w:t>
      </w:r>
      <w:r>
        <w:rPr>
          <w:rFonts w:ascii="Times New Roman;Times;serif" w:hAnsi="Times New Roman;Times;serif"/>
          <w:sz w:val="24"/>
        </w:rPr>
        <w:t xml:space="preserve">) and administrator for the purpose of accepting and administering the German Security Documents for and on behalf of the Secured Parties and the Administrative Agent hereby accepts such appointment on the terms subject to the conditions set out in this </w:t>
      </w:r>
      <w:r>
        <w:rPr>
          <w:rFonts w:ascii="Times New Roman;Times;serif" w:hAnsi="Times New Roman;Times;serif"/>
          <w:sz w:val="24"/>
          <w:u w:val="single"/>
        </w:rPr>
        <w:t>Section 8.12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Subject to German law, with respect</w:t>
      </w:r>
      <w:r>
        <w:rPr>
          <w:rFonts w:ascii="Times New Roman;Times;serif" w:hAnsi="Times New Roman;Times;serif"/>
          <w:sz w:val="20"/>
        </w:rPr>
        <w:t xml:space="preserve"> </w:t>
      </w:r>
      <w:r>
        <w:rPr>
          <w:rFonts w:ascii="Times New Roman;Times;serif" w:hAnsi="Times New Roman;Times;serif"/>
          <w:sz w:val="24"/>
        </w:rPr>
        <w:t>to any German Security which is a land charge, security assigned or transferred (</w:t>
      </w:r>
      <w:r>
        <w:rPr>
          <w:rFonts w:ascii="Times New Roman;Times;serif" w:hAnsi="Times New Roman;Times;serif"/>
          <w:i/>
          <w:sz w:val="24"/>
        </w:rPr>
        <w:t>Sicherungseigentum/Sicherungsabtretung/Sicherunsgrundschuld</w:t>
      </w:r>
      <w:r>
        <w:rPr>
          <w:rFonts w:ascii="Times New Roman;Times;serif" w:hAnsi="Times New Roman;Times;serif"/>
          <w:sz w:val="24"/>
        </w:rPr>
        <w:t>) or otherwise constituted by non–accessory (</w:t>
      </w:r>
      <w:r>
        <w:rPr>
          <w:rFonts w:ascii="Times New Roman;Times;serif" w:hAnsi="Times New Roman;Times;serif"/>
          <w:i/>
          <w:sz w:val="24"/>
        </w:rPr>
        <w:t>nicht akzessorische</w:t>
      </w:r>
      <w:r>
        <w:rPr>
          <w:rFonts w:ascii="Times New Roman;Times;serif" w:hAnsi="Times New Roman;Times;serif"/>
          <w:sz w:val="24"/>
        </w:rPr>
        <w:t>) security interests, the Administrative Agent shall hold, administer and, as the case may be, enforce or release such German Security in its own name, but for the account and as trustee (</w:t>
      </w:r>
      <w:r>
        <w:rPr>
          <w:rFonts w:ascii="Times New Roman;Times;serif" w:hAnsi="Times New Roman;Times;serif"/>
          <w:i/>
          <w:sz w:val="24"/>
        </w:rPr>
        <w:t>Treuhänder</w:t>
      </w:r>
      <w:r>
        <w:rPr>
          <w:rFonts w:ascii="Times New Roman;Times;serif" w:hAnsi="Times New Roman;Times;serif"/>
          <w:sz w:val="24"/>
        </w:rPr>
        <w:t>) of the Secured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Subject to German law, the Administrative Agent shall administer and (subject to the same having become enforceable and to the terms of this Agreement) realise any German Security which is pledged (</w:t>
      </w:r>
      <w:r>
        <w:rPr>
          <w:rFonts w:ascii="Times New Roman;Times;serif" w:hAnsi="Times New Roman;Times;serif"/>
          <w:i/>
          <w:sz w:val="24"/>
        </w:rPr>
        <w:t>Verpfändung</w:t>
      </w:r>
      <w:r>
        <w:rPr>
          <w:rFonts w:ascii="Times New Roman;Times;serif" w:hAnsi="Times New Roman;Times;serif"/>
          <w:sz w:val="24"/>
        </w:rPr>
        <w:t>) to it and/or the Secured Parties (or any of them) under an accessory security right (</w:t>
      </w:r>
      <w:r>
        <w:rPr>
          <w:rFonts w:ascii="Times New Roman;Times;serif" w:hAnsi="Times New Roman;Times;serif"/>
          <w:i/>
          <w:sz w:val="24"/>
        </w:rPr>
        <w:t>akzessorische Sicherheit</w:t>
      </w:r>
      <w:r>
        <w:rPr>
          <w:rFonts w:ascii="Times New Roman;Times;serif" w:hAnsi="Times New Roman;Times;serif"/>
          <w:sz w:val="24"/>
        </w:rPr>
        <w:t>) for the benefit of the Secured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If and when acting in its capacity as creditor of the Parallel Debt, the Administrative Agent shall hold: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German Security which is created in favour of the Administrative Agent as creditor of the Parallel Debt by way of a pledge (</w:t>
      </w:r>
      <w:r>
        <w:rPr>
          <w:rFonts w:ascii="Times New Roman;Times;serif" w:hAnsi="Times New Roman;Times;serif"/>
          <w:i/>
          <w:sz w:val="24"/>
        </w:rPr>
        <w:t>Verpfändung</w:t>
      </w:r>
      <w:r>
        <w:rPr>
          <w:rFonts w:ascii="Times New Roman;Times;serif" w:hAnsi="Times New Roman;Times;serif"/>
          <w:sz w:val="24"/>
        </w:rPr>
        <w:t>) or any other German law accessory security right (</w:t>
      </w:r>
      <w:r>
        <w:rPr>
          <w:rFonts w:ascii="Times New Roman;Times;serif" w:hAnsi="Times New Roman;Times;serif"/>
          <w:i/>
          <w:sz w:val="24"/>
        </w:rPr>
        <w:t>akzessorische Sicherheit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any proceeds of such</w:t>
      </w:r>
      <w:r>
        <w:rPr>
          <w:rFonts w:ascii="Times New Roman;Times;serif" w:hAnsi="Times New Roman;Times;serif"/>
          <w:sz w:val="20"/>
        </w:rPr>
        <w:t xml:space="preserve"> </w:t>
      </w:r>
      <w:r>
        <w:rPr>
          <w:rFonts w:ascii="Times New Roman;Times;serif" w:hAnsi="Times New Roman;Times;serif"/>
          <w:sz w:val="24"/>
        </w:rPr>
        <w:t>German Security;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the benefit of this paragraph (c) and of the Parallel Debt,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 creditor in its own right but (also) for the benefit of the (other) Secured Parties in accordance with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With regard to any Security Document creating any accessory (</w:t>
      </w:r>
      <w:r>
        <w:rPr>
          <w:rFonts w:ascii="Times New Roman;Times;serif" w:hAnsi="Times New Roman;Times;serif"/>
          <w:i/>
          <w:sz w:val="24"/>
        </w:rPr>
        <w:t>akzessorische</w:t>
      </w:r>
      <w:r>
        <w:rPr>
          <w:rFonts w:ascii="Times New Roman;Times;serif" w:hAnsi="Times New Roman;Times;serif"/>
          <w:sz w:val="24"/>
        </w:rPr>
        <w:t>) German Security and for the purposes of entering into any such Security Document, performing the rights and obligations thereunder, amending, enforcing and/or releasing such Security Document, each Secured Party hereby instructs and authorizes the Administrative Agent to act as its agent (</w:t>
      </w:r>
      <w:r>
        <w:rPr>
          <w:rFonts w:ascii="Times New Roman;Times;serif" w:hAnsi="Times New Roman;Times;serif"/>
          <w:i/>
          <w:sz w:val="24"/>
        </w:rPr>
        <w:t>Stellvertreter</w:t>
      </w:r>
      <w:r>
        <w:rPr>
          <w:rFonts w:ascii="Times New Roman;Times;serif" w:hAnsi="Times New Roman;Times;serif"/>
          <w:sz w:val="24"/>
        </w:rPr>
        <w:t>), and releases the Administrative Agent from the restrictions imposed by Section 181 German Civil Code (</w:t>
      </w:r>
      <w:r>
        <w:rPr>
          <w:rFonts w:ascii="Times New Roman;Times;serif" w:hAnsi="Times New Roman;Times;serif"/>
          <w:i/>
          <w:sz w:val="24"/>
        </w:rPr>
        <w:t>Bürgerliches Gesetzbuch</w:t>
      </w:r>
      <w:r>
        <w:rPr>
          <w:rFonts w:ascii="Times New Roman;Times;serif" w:hAnsi="Times New Roman;Times;serif"/>
          <w:sz w:val="24"/>
        </w:rPr>
        <w:t>) and similar restrictions applicable to it pursuant to any other applicable law, in each case (i) with the right of sub-delegation and the right to release the sub-delegates from the restrictions of such Section 181 of the German Civil Code (</w:t>
      </w:r>
      <w:r>
        <w:rPr>
          <w:rFonts w:ascii="Times New Roman;Times;serif" w:hAnsi="Times New Roman;Times;serif"/>
          <w:i/>
          <w:sz w:val="24"/>
        </w:rPr>
        <w:t>Bürgerliches Gesetzbuch</w:t>
      </w:r>
      <w:r>
        <w:rPr>
          <w:rFonts w:ascii="Times New Roman;Times;serif" w:hAnsi="Times New Roman;Times;serif"/>
          <w:sz w:val="24"/>
        </w:rPr>
        <w:t>) and similar restrictions applicable to it pursuant to any other applicable law and (ii) limited to the extent legally possible to such Secured Party. A Secured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which is barred by its constitutional documents or bylaws from granting such exemption shall notify the Administrative Agent accordingly.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At the request of the Administrative Agent, each Secured Party shall provide the Administrative Agent with a separate written power of attorney (</w:t>
      </w:r>
      <w:r>
        <w:rPr>
          <w:rFonts w:ascii="Times New Roman;Times;serif" w:hAnsi="Times New Roman;Times;serif"/>
          <w:i/>
          <w:sz w:val="24"/>
        </w:rPr>
        <w:t>Spezialvollmacht</w:t>
      </w:r>
      <w:r>
        <w:rPr>
          <w:rFonts w:ascii="Times New Roman;Times;serif" w:hAnsi="Times New Roman;Times;serif"/>
          <w:sz w:val="24"/>
        </w:rPr>
        <w:t>) for the purposes of executing any relevant agreements and documents on their behalf. Each Secured Party hereby ratifies and approves all acts previously done by the Administrative Agent on such Secured Party’s behalf.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The Administrative Agent accepts its appointment as agent and administrator of the German Security on the terms and subject to the conditions set out in this Agreement and the Secured Parties (other than the Administrative Agent), the Administrative Agent and all other parties to this Agreement agree that, in relation to the German Security, no Secured Party (other than the Administrative Agent) shall exercise any independent power to enforce any German Security or take any other action in relation to the enforcement of the German Security, or make or receive any declarations in relation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Each Secured Party (other than the Administrative Agent) hereby instructs the Administrative Agent (with the right of sub-delegation and the right to release the sub-delegates from the restrictions of such Section 181 of the German Civil Code (</w:t>
      </w:r>
      <w:r>
        <w:rPr>
          <w:rFonts w:ascii="Times New Roman;Times;serif" w:hAnsi="Times New Roman;Times;serif"/>
          <w:i/>
          <w:sz w:val="24"/>
        </w:rPr>
        <w:t>Bürgerliches Gesetzbuch</w:t>
      </w:r>
      <w:r>
        <w:rPr>
          <w:rFonts w:ascii="Times New Roman;Times;serif" w:hAnsi="Times New Roman;Times;serif"/>
          <w:sz w:val="24"/>
        </w:rPr>
        <w:t>) and similar restrictions applicable to it pursuant to any other applicable law) to enter into any documents evidencing German Security and to make and accept all declarations and take all actions it considers necessary or useful in connection with any German Security on behalf of such Secured Party (other than the Administrative Agent). The Administrative Agent shall further be entitled to rescind, release, amend and/or execute new and different documents representing/relating to the German Security.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If and to the extent that the Administrative Agent has already made any statements or declarations or taken any other actions (including, but not limited to, the granting of sub-powers of attorney (including any indemnifications, waivers and consents on behalf of each Secured Party as reasonably agreed upon by the Administrative Agent) and the release of any sub-representatives from the restrictions of Section 181 of the German Civil Code (</w:t>
      </w:r>
      <w:r>
        <w:rPr>
          <w:rFonts w:ascii="Times New Roman;Times;serif" w:hAnsi="Times New Roman;Times;serif"/>
          <w:i/>
          <w:sz w:val="24"/>
        </w:rPr>
        <w:t>Bürgerliches Gesetzbuch</w:t>
      </w:r>
      <w:r>
        <w:rPr>
          <w:rFonts w:ascii="Times New Roman;Times;serif" w:hAnsi="Times New Roman;Times;serif"/>
          <w:sz w:val="24"/>
        </w:rPr>
        <w:t xml:space="preserve">) and similar restrictions applicable to it pursuant to any other applicable law) which fall within the scope of this </w:t>
      </w:r>
      <w:r>
        <w:rPr>
          <w:rFonts w:ascii="Times New Roman;Times;serif" w:hAnsi="Times New Roman;Times;serif"/>
          <w:sz w:val="24"/>
          <w:u w:val="single"/>
        </w:rPr>
        <w:t>Section 8.12</w:t>
      </w:r>
      <w:r>
        <w:rPr>
          <w:rFonts w:ascii="Times New Roman;Times;serif" w:hAnsi="Times New Roman;Times;serif"/>
          <w:sz w:val="24"/>
        </w:rPr>
        <w:t>, such statements, declarations and actions are hereby ratified and approved (</w:t>
      </w:r>
      <w:r>
        <w:rPr>
          <w:rFonts w:ascii="Times New Roman;Times;serif" w:hAnsi="Times New Roman;Times;serif"/>
          <w:i/>
          <w:sz w:val="24"/>
        </w:rPr>
        <w:t>genehmigt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 xml:space="preserve">It is hereby agreed that, in relation to any jurisdiction the courts of which would not recognise or give effect to the trust expressed to be created by paragraph (a) above, the relationship of the Secured Parties to the Administrative Agent in relation to any German Security shall be construed as one of principal and agent but, to the extent permissible under the laws of such jurisdiction, all the other provisions of this </w:t>
      </w:r>
      <w:r>
        <w:rPr>
          <w:rFonts w:ascii="Times New Roman;Times;serif" w:hAnsi="Times New Roman;Times;serif"/>
          <w:sz w:val="24"/>
          <w:u w:val="single"/>
        </w:rPr>
        <w:t>Section 8.12</w:t>
      </w:r>
      <w:r>
        <w:rPr>
          <w:rFonts w:ascii="Times New Roman;Times;serif" w:hAnsi="Times New Roman;Times;serif"/>
          <w:sz w:val="20"/>
        </w:rPr>
        <w:t xml:space="preserve"> </w:t>
      </w:r>
      <w:r>
        <w:rPr>
          <w:rFonts w:ascii="Times New Roman;Times;serif" w:hAnsi="Times New Roman;Times;serif"/>
          <w:sz w:val="24"/>
        </w:rPr>
        <w:t>shall have full force and effect between the parties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8.13</w:t>
      </w:r>
      <w:r>
        <w:rPr>
          <w:rFonts w:ascii="Times New Roman;Times;serif" w:hAnsi="Times New Roman;Times;serif"/>
          <w:sz w:val="24"/>
          <w:u w:val="single"/>
        </w:rPr>
        <w:t>Appointment of Australian Security Trustee; Australian Security Trust Deed</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Secured Party hereby, upon the execution, and in accordance with the terms, of the Australian Security Trust Deed, appoints Australian Security Trustee under the terms of the Australian Security Trust Deed to act as its trustee under and in relation to the Australian Security Documents and to hold the assets subject to the security created under the Australian Security Trust deed as trustee for the Secured Parties on trust and on the terms contained in the Australian Security Documents and each Secured Party authorizes the Australian Security Trustee under the terms of the Australian Security Trust Deed to exercise such rights, remedies, powers and discretions as are specifically delegated to Australian Security Trustee by the terms of the Australian Security Documents, together with all such rights, remedies, powers and discretions as are incidental thereto and Australian Security Trustee hereby accepts such appointment.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Secured Party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acknowledges that they are aware of, and consent to, the terms of the Australian Security Trust Deed;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agrees to comply with and be bound by the Australian Security Trust Deed as a Beneficiary (as that term is defined in the Australian Security Trust Deed);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acknowledges that it has received a copy of the Australian Security Trust Deed together with the other information which it has required in connection with the Australian Security Trust Deed and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without limiting the general application of paragraph (i) above:</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(1)acknowledges and agrees that it has been, and will continue to be, solely responsible for making its own independent appraisal and investigation of all risks arising under or in connection with the Australian Security Documents; and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(2)provides the indemnities as specified in the Australian Security Trust Deed;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without limiting the general application of paragraph (i) above, for consideration received,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(1)irrevocably appoints as its attorney each person who under the terms of the Australian Security Trust Deed is appointed an attorney of a Beneficiary (as defined in the Australian Security Trust Deed) on the same terms and for the same purposes as contained in the Australian Security Trust Deed; and</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(2)irrevocably appoints the Australian Security Trustee as its nominee for the purposes of Section 153 of the Australian PPSA and authorizes the Australian Security Trustee to act on its behalf, in connection with a registration (in accordance with the Australian PPSA) of any Lien in favor of the Secured Party under a Loan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This Section is executed in favor of the Australian Security Trustee and each Beneficiary (as defined in the Australian Security Trust Deed) from time to time. The law of New South Wales governs this Section and the parties submit to the exclusive jurisdiction of the courts of New South Wales and of the Commonwealth of Australia in relation to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8.14</w:t>
      </w:r>
      <w:r>
        <w:rPr>
          <w:rFonts w:ascii="Times New Roman;Times;serif" w:hAnsi="Times New Roman;Times;serif"/>
          <w:sz w:val="24"/>
          <w:u w:val="single"/>
        </w:rPr>
        <w:t>Rights and remedies of Australian Security Trustee</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this Agreement, any rights and remedies exercisable by, any documents to be delivered to, or any other indemnities or obligations in favor of the Administrative Agent shall be, as the case may be, exercisable by, delivered to, or be indemnities or other obligations in favor of the Administrative Agent (or any other Person acting in such capacity) in its capacity as Australian Security Trustee to the extent that the rights, remedies, deliveries, indemnities or other obligations relate to, the Australian Subsidiary Guarantors, the Australian Security Documents or the security thereby created. Any obligations of the Administrative Agent (or any other Person acting in such capacity) in this Agreement shall be obligations of the Administrative Agent in its capacity as Australian Security Trustee or the security thereby created to the extent that such obligations relate to the Australian Security Documents or the security thereby created. Additionally, in its capacity as Australian Security Trustee, the Administrative Agent (or any other Person acting in such capacity) shall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all the rights, remedies and benefits in favor of the Administrative Agent contained in the provisions of the whole of this Section 8 and Section 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all the powers of an absolute owner of the security constituted by the Australian Security Documents;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all the rights, remedies and powers granted to it and be subject to all the obligations and duties owned by it under the Australian Security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8.15</w:t>
      </w:r>
      <w:r>
        <w:rPr>
          <w:rFonts w:ascii="Times New Roman;Times;serif" w:hAnsi="Times New Roman;Times;serif"/>
          <w:sz w:val="24"/>
          <w:u w:val="single"/>
        </w:rPr>
        <w:t>Administrative Agent regarding Swiss Security Documents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With regard to Swiss Security Documents, the Administrative Agent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hold and administer any non-accessory Liens (</w:t>
      </w:r>
      <w:r>
        <w:rPr>
          <w:rFonts w:ascii="Times New Roman;Times;serif" w:hAnsi="Times New Roman;Times;serif"/>
          <w:i/>
          <w:sz w:val="24"/>
        </w:rPr>
        <w:t>nicht-akzessorische Sicherheiten</w:t>
      </w:r>
      <w:r>
        <w:rPr>
          <w:rFonts w:ascii="Times New Roman;Times;serif" w:hAnsi="Times New Roman;Times;serif"/>
          <w:sz w:val="24"/>
        </w:rPr>
        <w:t>) created under or pursuant to the Swiss Security Documents in its own name but on a fiduciary basis for itself and for the benefit of the other Secured Parties;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hold and administer any accessory Liens (</w:t>
      </w:r>
      <w:r>
        <w:rPr>
          <w:rFonts w:ascii="Times New Roman;Times;serif" w:hAnsi="Times New Roman;Times;serif"/>
          <w:i/>
          <w:sz w:val="24"/>
        </w:rPr>
        <w:t>akzessorische Sicherheiten</w:t>
      </w:r>
      <w:r>
        <w:rPr>
          <w:rFonts w:ascii="Times New Roman;Times;serif" w:hAnsi="Times New Roman;Times;serif"/>
          <w:sz w:val="24"/>
        </w:rPr>
        <w:t>) created under or pursuant to the Swiss Security Documents in its own name and as direct representative (</w:t>
      </w:r>
      <w:r>
        <w:rPr>
          <w:rFonts w:ascii="Times New Roman;Times;serif" w:hAnsi="Times New Roman;Times;serif"/>
          <w:i/>
          <w:sz w:val="24"/>
        </w:rPr>
        <w:t>direkter Stellvertreter</w:t>
      </w:r>
      <w:r>
        <w:rPr>
          <w:rFonts w:ascii="Times New Roman;Times;serif" w:hAnsi="Times New Roman;Times;serif"/>
          <w:sz w:val="24"/>
        </w:rPr>
        <w:t>) in the name and on behalf of the other Secured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Secured Party (other than the Administrative Agent) hereby appoints the Administrative Agent as its direct representative (</w:t>
      </w:r>
      <w:r>
        <w:rPr>
          <w:rFonts w:ascii="Times New Roman;Times;serif" w:hAnsi="Times New Roman;Times;serif"/>
          <w:i/>
          <w:sz w:val="24"/>
        </w:rPr>
        <w:t>direkter Stellvertreter</w:t>
      </w:r>
      <w:r>
        <w:rPr>
          <w:rFonts w:ascii="Times New Roman;Times;serif" w:hAnsi="Times New Roman;Times;serif"/>
          <w:sz w:val="24"/>
        </w:rPr>
        <w:t>) and authorizes the Administrative Agent (whether or not by or through employees or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to exercise such rights, remedies, powers and discretions as are specifically delegated to or conferred upon the Administrative Agent under Swiss Security Documents together with such powers and discretions as are reasonably incidental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to take such action on its behalf as may from time to time be authorized under or in accordance with the Swiss Security Documents;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to accept, hold, administer, realize, enter into and execute as its direct representative (</w:t>
      </w:r>
      <w:r>
        <w:rPr>
          <w:rFonts w:ascii="Times New Roman;Times;serif" w:hAnsi="Times New Roman;Times;serif"/>
          <w:i/>
          <w:sz w:val="24"/>
        </w:rPr>
        <w:t>direkter Stellvertreter</w:t>
      </w:r>
      <w:r>
        <w:rPr>
          <w:rFonts w:ascii="Times New Roman;Times;serif" w:hAnsi="Times New Roman;Times;serif"/>
          <w:sz w:val="24"/>
        </w:rPr>
        <w:t>) any right of pledge (</w:t>
      </w:r>
      <w:r>
        <w:rPr>
          <w:rFonts w:ascii="Times New Roman;Times;serif" w:hAnsi="Times New Roman;Times;serif"/>
          <w:i/>
          <w:sz w:val="24"/>
        </w:rPr>
        <w:t>Pfandrecht</w:t>
      </w:r>
      <w:r>
        <w:rPr>
          <w:rFonts w:ascii="Times New Roman;Times;serif" w:hAnsi="Times New Roman;Times;serif"/>
          <w:sz w:val="24"/>
        </w:rPr>
        <w:t>) or other accessory Lien granted in favour of such Secured Party in connection with the Loan Documents and to agree to and execute in its name and on its behalf as its direct representative (</w:t>
      </w:r>
      <w:r>
        <w:rPr>
          <w:rFonts w:ascii="Times New Roman;Times;serif" w:hAnsi="Times New Roman;Times;serif"/>
          <w:i/>
          <w:sz w:val="24"/>
        </w:rPr>
        <w:t>direkter Stellvertreter</w:t>
      </w:r>
      <w:r>
        <w:rPr>
          <w:rFonts w:ascii="Times New Roman;Times;serif" w:hAnsi="Times New Roman;Times;serif"/>
          <w:sz w:val="24"/>
        </w:rPr>
        <w:t>) any amendments, confirmations and/or alterations to any Swiss Security Document which creates a pledge or any other accessory Lien (</w:t>
      </w:r>
      <w:r>
        <w:rPr>
          <w:rFonts w:ascii="Times New Roman;Times;serif" w:hAnsi="Times New Roman;Times;serif"/>
          <w:i/>
          <w:sz w:val="24"/>
        </w:rPr>
        <w:t>akzessorische Sicherheit</w:t>
      </w:r>
      <w:r>
        <w:rPr>
          <w:rFonts w:ascii="Times New Roman;Times;serif" w:hAnsi="Times New Roman;Times;serif"/>
          <w:sz w:val="24"/>
        </w:rPr>
        <w:t>) including the release or confirmation of release of such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Secured Party which becomes a party to this Agreement after the date hereof ratifies and approves all acts, statements and declarations previously made by the Administrative Agent on behalf of such Secured Party in relation to the acceptance or creation of any right of pledge (</w:t>
      </w:r>
      <w:r>
        <w:rPr>
          <w:rFonts w:ascii="Times New Roman;Times;serif" w:hAnsi="Times New Roman;Times;serif"/>
          <w:i/>
          <w:sz w:val="24"/>
        </w:rPr>
        <w:t>Pfandrecht</w:t>
      </w:r>
      <w:r>
        <w:rPr>
          <w:rFonts w:ascii="Times New Roman;Times;serif" w:hAnsi="Times New Roman;Times;serif"/>
          <w:sz w:val="24"/>
        </w:rPr>
        <w:t>) or other accessory Lien (</w:t>
      </w:r>
      <w:r>
        <w:rPr>
          <w:rFonts w:ascii="Times New Roman;Times;serif" w:hAnsi="Times New Roman;Times;serif"/>
          <w:i/>
          <w:sz w:val="24"/>
        </w:rPr>
        <w:t>akzessorische Sicherheit</w:t>
      </w:r>
      <w:r>
        <w:rPr>
          <w:rFonts w:ascii="Times New Roman;Times;serif" w:hAnsi="Times New Roman;Times;serif"/>
          <w:sz w:val="24"/>
        </w:rPr>
        <w:t>) granted or expressed to be granted to such Lender under or pursuant to such Swiss Security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8.16</w:t>
      </w:r>
      <w:r>
        <w:rPr>
          <w:rFonts w:ascii="Times New Roman;Times;serif" w:hAnsi="Times New Roman;Times;serif"/>
          <w:sz w:val="24"/>
          <w:u w:val="single"/>
        </w:rPr>
        <w:t>Authorization of the Administrative Agent under Taiwan Law</w:t>
      </w:r>
      <w:r>
        <w:rPr>
          <w:rFonts w:ascii="Times New Roman;Times;serif" w:hAnsi="Times New Roman;Times;serif"/>
          <w:sz w:val="24"/>
        </w:rPr>
        <w:t>.</w:t>
      </w:r>
    </w:p>
    <w:p>
      <w:pPr>
        <w:pStyle w:val="TextBody"/>
        <w:bidi w:val="0"/>
        <w:spacing w:before="0" w:after="240"/>
        <w:ind w:left="0" w:right="0" w:firstLine="709"/>
        <w:jc w:val="both"/>
        <w:rPr>
          <w:rFonts w:ascii="Times New Roman;Times;serif" w:hAnsi="Times New Roman;Times;serif"/>
          <w:sz w:val="20"/>
        </w:rPr>
      </w:pPr>
      <w:r>
        <w:rPr>
          <w:rFonts w:ascii="Times New Roman;Times;serif" w:hAnsi="Times New Roman;Times;serif"/>
          <w:sz w:val="24"/>
        </w:rPr>
        <w:t xml:space="preserve">For the purposes of any Taiwan security and Collateral, in addition to the provisions set out in this Article 8, the specific provisions set out in paragraph (a) through (b) below of this </w:t>
      </w:r>
      <w:r>
        <w:rPr>
          <w:rFonts w:ascii="Times New Roman;Times;serif" w:hAnsi="Times New Roman;Times;serif"/>
          <w:sz w:val="24"/>
          <w:u w:val="single"/>
        </w:rPr>
        <w:t>Section 8.16</w:t>
      </w:r>
      <w:r>
        <w:rPr>
          <w:rFonts w:ascii="Times New Roman;Times;serif" w:hAnsi="Times New Roman;Times;serif"/>
          <w:sz w:val="20"/>
        </w:rPr>
        <w:t xml:space="preserve"> </w:t>
      </w:r>
      <w:r>
        <w:rPr>
          <w:rFonts w:ascii="Times New Roman;Times;serif" w:hAnsi="Times New Roman;Times;serif"/>
          <w:sz w:val="24"/>
        </w:rPr>
        <w:t xml:space="preserve">shall be applicable. With respect to Taiwan security and Collateral, in the case of any inconsistency, the provisions set forth in this </w:t>
      </w:r>
      <w:r>
        <w:rPr>
          <w:rFonts w:ascii="Times New Roman;Times;serif" w:hAnsi="Times New Roman;Times;serif"/>
          <w:sz w:val="24"/>
          <w:u w:val="single"/>
        </w:rPr>
        <w:t>Section 8.16</w:t>
      </w:r>
      <w:r>
        <w:rPr>
          <w:rFonts w:ascii="Times New Roman;Times;serif" w:hAnsi="Times New Roman;Times;serif"/>
          <w:sz w:val="20"/>
        </w:rPr>
        <w:t xml:space="preserve"> </w:t>
      </w:r>
      <w:r>
        <w:rPr>
          <w:rFonts w:ascii="Times New Roman;Times;serif" w:hAnsi="Times New Roman;Times;serif"/>
          <w:sz w:val="24"/>
        </w:rPr>
        <w:t>shall prevail.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In connection with any Taiwan security and Collateral being granted, or being expressed to be granted, over assets in Taiwan and/or expressed to be governed by the laws of the Republic of China (Taiwan) from time to time, the parties to this Agreement hereby agree that each of the Lenders shall be deemed a creditor jointly and severally with each other with respect to their rights and claims hereunder and the other Loan Documents against any Taiwan Guarantor pursuant to Article 283 of the Civil Code of the Republic of China (Taiwan) and shall be entitled to pursue all such claims against any Taiwan Guarantor, and that the security interests with respect to the Taiwan security and Collateral shall be created in favour of the Lenders as joint and several creditors and for the joint and several benefit of the Secured Parties;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each Lender and other Secured Party agrees not to claim or enforce such rights (insofar as they relate to the Taiwan security and Collateral) unilaterally but shall exercise and enforce the Lenders’ and Secured Parties’ rights arising out of the Loan Documents (insofar as they relate to the Taiwan security and Collateral) in accordance with the Loan Documents and share among themselves any risks and benefits in relation thereto as provided under this Agreement. For the avoidance of doubt, the parties to this Agreement hereby agree that any new party which becomes a Lender or a Secured Party shall accede to this Agreement and each of the Taiwan Security Documents to become a joint and several creditor with the other Lenders and Secured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It is hereby agreed that, in relation to any jurisdiction the courts of which would not recognise or give effect to the trust expressed to be created by paragraph (a) above, the relationship of the Secured Parties to the Administrative Agent in relation to any Taiwan Security shall be construed as one of principal and agent but, to the extent permissible under the laws of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jurisdiction, all the other provisions of this </w:t>
      </w:r>
      <w:r>
        <w:rPr>
          <w:rFonts w:ascii="Times New Roman;Times;serif" w:hAnsi="Times New Roman;Times;serif"/>
          <w:sz w:val="24"/>
          <w:u w:val="single"/>
        </w:rPr>
        <w:t>Section 8.16</w:t>
      </w:r>
      <w:r>
        <w:rPr>
          <w:rFonts w:ascii="Times New Roman;Times;serif" w:hAnsi="Times New Roman;Times;serif"/>
          <w:sz w:val="20"/>
        </w:rPr>
        <w:t xml:space="preserve"> </w:t>
      </w:r>
      <w:r>
        <w:rPr>
          <w:rFonts w:ascii="Times New Roman;Times;serif" w:hAnsi="Times New Roman;Times;serif"/>
          <w:sz w:val="24"/>
        </w:rPr>
        <w:t>shall have full force and effect between the parties hereto.</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9</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GUARANTY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9.01</w:t>
      </w:r>
      <w:r>
        <w:rPr>
          <w:rFonts w:ascii="Times New Roman;Times;serif" w:hAnsi="Times New Roman;Times;serif"/>
          <w:sz w:val="24"/>
          <w:u w:val="single"/>
        </w:rPr>
        <w:t>Guaranty</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Guarantor hereby irrevocably and unconditionally guarantees, jointly with the other Guarantors and severally, as a primary obligor and not merely as a surety, the Obligations of each Person other than such Guarantor. Each Guarantor further agrees that the due and punctual payment of the Obligations may be extended or renewed, in whole or in part, without notice to or further assent from it, and that it will remain bound upon its guarantee hereunder notwithstanding any such extension or renewal of any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To the maximum extent permitted by applicable law, each Guarantor waives presentment to, demand of payment from and protest to any Person of any of the Obligations, and also waives notice of acceptance of its obligations and notice of protest for nonpayment. The obligations of each Guarantor hereunder shall not be affected by (i) the failure of any Lender to assert any claim or demand or to enforce any right or remedy against any Person under the provisions of this Agreement, any other Loan Document, any Specified Swap Agreement or otherwise; (ii) any extension or renewal of any of the Obligations; (iii) any rescission, waiver, amendment or modification of, or release from, any of the terms or provisions of this Agreement or any other Loan Document or any Specified Swap Agreement or other agreement; (iv) the failure or delay of any Lender to exercise any right or remedy against any other guarantor of the Obligations; (v) the failure of any Lender to assert any claim or demand or to enforce any remedy under any Loan Document or any Specified Swap Agreement or any other agreement or instrument; (vi) any default, failure or delay, willful or otherwise, in the performance of the Obligations; or (vii) any other act, omission or delay to do any other act which may or might in any manner or to any extent vary the risk of such Guarantor or otherwise operate as a discharge of such Guarantor as a matter of law or equity or which would impair or eliminate any right of any Guarantor to reimbursement or subrogation (other than payment in full of the Obligations (excluding contingent obligations as to which no claim has been made) or release pursuant to </w:t>
      </w:r>
      <w:r>
        <w:rPr>
          <w:rFonts w:ascii="Times New Roman;Times;serif" w:hAnsi="Times New Roman;Times;serif"/>
          <w:sz w:val="24"/>
          <w:u w:val="single"/>
        </w:rPr>
        <w:t>Section 10.17</w:t>
      </w:r>
      <w:r>
        <w:rPr>
          <w:rFonts w:ascii="Times New Roman;Times;serif" w:hAnsi="Times New Roman;Times;serif"/>
          <w:sz w:val="24"/>
        </w:rPr>
        <w:t>). Each Guarantor acknowledges that it has the ability to keep itself informed about the creditworthiness of each Borrower and every other Guarantor, and about the condition, extent, and value of the Collateral, and agrees that neither the Administrative Agent nor any Lender has any obligation to disclose to the Guarantor any fact about such Borrower, other Guarantor, or Collateral that might vary the Guarantor’s risk in connection with the guaranty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Guarantor further agrees that its guarantee hereunder constitutes a promise of payment when due (whether or not any bankruptcy or similar proceeding shall have stayed the accrual or collection of any of the Obligations or operated as a discharge thereof) and not merely of collection, and waives any right to require that any resort be had by any Lender or any Issuing Bank to any balance of any deposit account or credit on the books of any Lender or any Issuing Bank in favor of any Loan Party or any Subsidiary or any other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Except for the release or termination of a Guarantor’s obligations hereunder as provided in </w:t>
      </w:r>
      <w:r>
        <w:rPr>
          <w:rFonts w:ascii="Times New Roman;Times;serif" w:hAnsi="Times New Roman;Times;serif"/>
          <w:sz w:val="24"/>
          <w:u w:val="single"/>
        </w:rPr>
        <w:t>Section 10.17</w:t>
      </w:r>
      <w:r>
        <w:rPr>
          <w:rFonts w:ascii="Times New Roman;Times;serif" w:hAnsi="Times New Roman;Times;serif"/>
          <w:sz w:val="24"/>
        </w:rPr>
        <w:t>, the obligations of each Guarantor hereunder shall not be subject to any reduction, limitation, impairment or termination for any reason other than the payment in full in cash of the Obligations (excluding contingent obligations as to which no claim has been made), and shall not be subject to any defense or setoff, counterclaim, recoupment or termination whatsoever, by reason of the invalidity, illegality or unenforceability of the Obligations, any impossibility in the performance of the Obligations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Each Guarantor further agrees that its obligations hereunder shall continue to be effective or be reinstated, as the case may be, if at any time payment, or any part thereof, of any Obligation is rescinded or must otherwise be restored by any Lender upon the bankruptcy or reorganization of any Loan Party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In furtherance of the foregoing and not in limitation of any other right which any Lender may have at law or in equity against any Guarantor by virtue hereof, upon the failure of any Person to pay any Obligation when and as the same shall become due, whether at maturity, by acceleration, after notice of prepayment or otherwise, each Guarantor hereby promises to and will, upon receipt of written demand by the Administrative Agent, forthwith pay, or cause to be paid, to the Administrative Agent for distribution to the applicable Lenders in cash an amount equal to the unpaid principal amount of such Obligation.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Notwithstanding anything to the contrary in this Agreement, each Guarantor shall be liable under this Agreement only for amounts aggregating up to the largest amount that would not render its obligations hereunder subject to avoidance under Section 548 of the Bankruptcy Code or any comparable provision of any other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Upon payment in full by any Guarantor of any Obligation of any Person, each Lender and Issuing Bank shall, in a reasonable manner, assign to such Guarantor the amount of such Obligation owed to such Lender or Issuing Bank and so paid, such assignment to be </w:t>
      </w:r>
      <w:r>
        <w:rPr>
          <w:rFonts w:ascii="Times New Roman;Times;serif" w:hAnsi="Times New Roman;Times;serif"/>
          <w:i/>
          <w:sz w:val="24"/>
        </w:rPr>
        <w:t>pro tanto</w:t>
      </w:r>
      <w:r>
        <w:rPr>
          <w:rFonts w:ascii="Times New Roman;Times;serif" w:hAnsi="Times New Roman;Times;serif"/>
          <w:sz w:val="20"/>
        </w:rPr>
        <w:t xml:space="preserve"> </w:t>
      </w:r>
      <w:r>
        <w:rPr>
          <w:rFonts w:ascii="Times New Roman;Times;serif" w:hAnsi="Times New Roman;Times;serif"/>
          <w:sz w:val="24"/>
        </w:rPr>
        <w:t>to the extent to which the Obligation in question was discharged by such Guarantor, or make such disposition thereof as such Guarantor shall direct (all without recourse to any Lender or Issuing Bank and without any representation or warranty by any Lender or Issuing Bank). Upon payment by any Guarantor of any sums as provided above, all rights of such Guarantor against such Person arising as a result thereof by way of right of subrogation or otherwise shall in all respects be subordinated and junior in right of payment to the prior payment in full of all the Obligations owed to the Lenders and Issuing Banks (it being understood that, after the discharge of all the Obligations owing to the Lenders and Issuing Banks, such rights may be exercised by such Guarantor notwithstanding that the Loan Parties may remain contingently liable for indemnity or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Each Qualified Keepwell Provider hereby jointly and severally absolutely, unconditionally, and irrevocably undertakes to provide such funds or other support as may be needed from time to time by each other Loan Party to honor all of such Loan Party’s obligations under this guarantee in respect of any obligation to pay or perform under any Swap Agreement (a “</w:t>
      </w:r>
      <w:r>
        <w:rPr>
          <w:rFonts w:ascii="Times New Roman;Times;serif" w:hAnsi="Times New Roman;Times;serif"/>
          <w:b/>
          <w:sz w:val="24"/>
        </w:rPr>
        <w:t>Swap Obligation</w:t>
      </w:r>
      <w:r>
        <w:rPr>
          <w:rFonts w:ascii="Times New Roman;Times;serif" w:hAnsi="Times New Roman;Times;serif"/>
          <w:sz w:val="20"/>
        </w:rPr>
        <w:t>”</w:t>
      </w:r>
      <w:r>
        <w:rPr>
          <w:rFonts w:ascii="Times New Roman;Times;serif" w:hAnsi="Times New Roman;Times;serif"/>
          <w:sz w:val="24"/>
        </w:rPr>
        <w:t xml:space="preserve">) (provided, however, that each Qualified Keepwell Provider shall only be liable under this </w:t>
      </w:r>
      <w:r>
        <w:rPr>
          <w:rFonts w:ascii="Times New Roman;Times;serif" w:hAnsi="Times New Roman;Times;serif"/>
          <w:sz w:val="24"/>
          <w:u w:val="single"/>
        </w:rPr>
        <w:t>Section 9.01(i)</w:t>
      </w:r>
      <w:r>
        <w:rPr>
          <w:rFonts w:ascii="Times New Roman;Times;serif" w:hAnsi="Times New Roman;Times;serif"/>
          <w:sz w:val="20"/>
        </w:rPr>
        <w:t xml:space="preserve"> </w:t>
      </w:r>
      <w:r>
        <w:rPr>
          <w:rFonts w:ascii="Times New Roman;Times;serif" w:hAnsi="Times New Roman;Times;serif"/>
          <w:sz w:val="24"/>
        </w:rPr>
        <w:t xml:space="preserve">for the maximum amount of such liability that can be hereby incurred without rendering its obligations under this </w:t>
      </w:r>
      <w:r>
        <w:rPr>
          <w:rFonts w:ascii="Times New Roman;Times;serif" w:hAnsi="Times New Roman;Times;serif"/>
          <w:sz w:val="24"/>
          <w:u w:val="single"/>
        </w:rPr>
        <w:t>Section 9.01(i)</w:t>
      </w:r>
      <w:r>
        <w:rPr>
          <w:rFonts w:ascii="Times New Roman;Times;serif" w:hAnsi="Times New Roman;Times;serif"/>
          <w:sz w:val="24"/>
        </w:rPr>
        <w:t>, or otherwise under this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guarantee, voidable under applicable law relating to fraudulent conveyance or fraudulent transfer, and not for any greater amount). The obligations of each Qualified Keepwell Provider under this </w:t>
      </w:r>
      <w:r>
        <w:rPr>
          <w:rFonts w:ascii="Times New Roman;Times;serif" w:hAnsi="Times New Roman;Times;serif"/>
          <w:sz w:val="24"/>
          <w:u w:val="single"/>
        </w:rPr>
        <w:t>Section 9.01(i)</w:t>
      </w:r>
      <w:r>
        <w:rPr>
          <w:rFonts w:ascii="Times New Roman;Times;serif" w:hAnsi="Times New Roman;Times;serif"/>
          <w:sz w:val="20"/>
        </w:rPr>
        <w:t xml:space="preserve"> </w:t>
      </w:r>
      <w:r>
        <w:rPr>
          <w:rFonts w:ascii="Times New Roman;Times;serif" w:hAnsi="Times New Roman;Times;serif"/>
          <w:sz w:val="24"/>
        </w:rPr>
        <w:t>shall remain in full force and effect until termination of this Agreement. A “</w:t>
      </w:r>
      <w:r>
        <w:rPr>
          <w:rFonts w:ascii="Times New Roman;Times;serif" w:hAnsi="Times New Roman;Times;serif"/>
          <w:b/>
          <w:sz w:val="24"/>
        </w:rPr>
        <w:t>Qualified Keepwell Provider</w:t>
      </w:r>
      <w:r>
        <w:rPr>
          <w:rFonts w:ascii="Times New Roman;Times;serif" w:hAnsi="Times New Roman;Times;serif"/>
          <w:sz w:val="20"/>
        </w:rPr>
        <w:t xml:space="preserve">” </w:t>
      </w:r>
      <w:r>
        <w:rPr>
          <w:rFonts w:ascii="Times New Roman;Times;serif" w:hAnsi="Times New Roman;Times;serif"/>
          <w:sz w:val="24"/>
        </w:rPr>
        <w:t xml:space="preserve">means,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or guarantee pursuant to Section 1a(18)(A)(v)(II) of the Commodity Exchange Act. Each Qualified Keepwell Provider intends that this </w:t>
      </w:r>
      <w:r>
        <w:rPr>
          <w:rFonts w:ascii="Times New Roman;Times;serif" w:hAnsi="Times New Roman;Times;serif"/>
          <w:sz w:val="24"/>
          <w:u w:val="single"/>
        </w:rPr>
        <w:t>Section 9.01(i)</w:t>
      </w:r>
      <w:r>
        <w:rPr>
          <w:rFonts w:ascii="Times New Roman;Times;serif" w:hAnsi="Times New Roman;Times;serif"/>
          <w:sz w:val="20"/>
        </w:rPr>
        <w:t xml:space="preserve"> </w:t>
      </w:r>
      <w:r>
        <w:rPr>
          <w:rFonts w:ascii="Times New Roman;Times;serif" w:hAnsi="Times New Roman;Times;serif"/>
          <w:sz w:val="24"/>
        </w:rPr>
        <w:t xml:space="preserve">constitute, and this </w:t>
      </w:r>
      <w:r>
        <w:rPr>
          <w:rFonts w:ascii="Times New Roman;Times;serif" w:hAnsi="Times New Roman;Times;serif"/>
          <w:sz w:val="24"/>
          <w:u w:val="single"/>
        </w:rPr>
        <w:t>Section 9.01(i)</w:t>
      </w:r>
      <w:r>
        <w:rPr>
          <w:rFonts w:ascii="Times New Roman;Times;serif" w:hAnsi="Times New Roman;Times;serif"/>
          <w:sz w:val="20"/>
        </w:rPr>
        <w:t xml:space="preserve"> </w:t>
      </w:r>
      <w:r>
        <w:rPr>
          <w:rFonts w:ascii="Times New Roman;Times;serif" w:hAnsi="Times New Roman;Times;serif"/>
          <w:sz w:val="24"/>
        </w:rPr>
        <w:t>shall be deemed to constitute, a “keepwell, support, or other agreement” for the benefit of each other Loan Party for all purposes of section 1a(18)(A)(v)(II) of the Commodity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9.02</w:t>
      </w:r>
      <w:r>
        <w:rPr>
          <w:rFonts w:ascii="Times New Roman;Times;serif" w:hAnsi="Times New Roman;Times;serif"/>
          <w:sz w:val="24"/>
          <w:u w:val="single"/>
        </w:rPr>
        <w:t>Additional Agreements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Until the Commitments have expired or terminated and all Obligations (excluding contingent obligations as to which no claim has been made) have been paid in full in cash and no Letter of Credit shall be outstanding or subject to any pending draw (other than Letters of Credit Cash Collateralized or backstopped or deemed reissued under another agreement reasonably acceptable to the applicable Issuing Bank), each Guarantor covenants and agrees with the Administrative Agent for the benefit of the Secured Parties that it will be bound by each of the covenants contained herein to the extent applicable to such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Guarantor hereby agrees that upon the occurrence of any Event of Default, any Indebtedness of any Borrower or any other Guarantor now or hereafter owing to it, whether heretofore, now or hereafter created (the “</w:t>
      </w:r>
      <w:r>
        <w:rPr>
          <w:rFonts w:ascii="Times New Roman;Times;serif" w:hAnsi="Times New Roman;Times;serif"/>
          <w:b/>
          <w:sz w:val="24"/>
        </w:rPr>
        <w:t>Guaranty Subordinated Debt</w:t>
      </w:r>
      <w:r>
        <w:rPr>
          <w:rFonts w:ascii="Times New Roman;Times;serif" w:hAnsi="Times New Roman;Times;serif"/>
          <w:sz w:val="20"/>
        </w:rPr>
        <w:t>”</w:t>
      </w:r>
      <w:r>
        <w:rPr>
          <w:rFonts w:ascii="Times New Roman;Times;serif" w:hAnsi="Times New Roman;Times;serif"/>
          <w:sz w:val="24"/>
        </w:rPr>
        <w:t>), is hereby subordinated to all of the Obligations under this Agreement and the Notes, and that, except as expressly permitted by this Agreement, the Guaranty Subordinated Debt shall not be paid in whole or in part until such Obligations (excluding contingent obligations as to which no claim has been made) have been paid in full in cash and no Letter of Credit shall be outstanding or subject to any pending draw (other than Letters of Credit that have been Cash Collateralized or backstopped or deemed reissued under another agreement reasonably acceptable to the applicable Issuing Bank) and this Agreement is terminated and of no further force or effect. No Guarantor shall accept any payment of or on account of any Guaranty Subordinated Debt at any time in contravention of the foregoing. Upon the occurrence and during the continuance of an Event of Default, any applicable Borrower and any applicable Guarantor shall pay to the Administrative Agent any payment of all or any part of the Guaranty Subordinated Debt and any amount so paid to the Administrative Agent shall be applied to payment of the Obligations as provided herein. Each payment on the Guaranty Subordinated Debt received in violation of any of the provisions hereof shall be deemed to have been received by the Guarantors as trustee for the Administrative Agent and the Lenders and shall be paid over to the Administrative Agent immediately on account of the Obligations, but without otherwise affecting in any manner the Guarantors’ liability under this Agreement. Each Guarantor agrees to file all claims against any applicable Borrower or any applicable Guarantor in any bankruptcy or other proceeding in which the filing of claims is required by law in respect of any Guaranty Subordinated Debt, and the Administrative Agent shall be entitled to all of such Guarantor’s rights thereunder. If for any reason any Guarantor fails to file such claim at least ten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 Business Days prior to the last date on which such claim should be filed, such Guarantor hereby irrevocably appoints the Administrative Agent as its true and lawful attorney-in-fact and is hereby authorized to act as attorney-in-fact in such Guarantor’s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Guarantor hereby assigns to the Administrative Agent all of such Guarantor’s rights to any payments or distributions to which such Guarantor otherwise would be entitled. If the amount so paid is greater than such Guarantor’s liability hereunder, the Administrative Agent shall pay the excess amount to the party entitled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9.03</w:t>
      </w:r>
      <w:r>
        <w:rPr>
          <w:rFonts w:ascii="Times New Roman;Times;serif" w:hAnsi="Times New Roman;Times;serif"/>
          <w:sz w:val="24"/>
          <w:u w:val="single"/>
        </w:rPr>
        <w:t>Information</w:t>
      </w:r>
      <w:r>
        <w:rPr>
          <w:rFonts w:ascii="Times New Roman;Times;serif" w:hAnsi="Times New Roman;Times;serif"/>
          <w:sz w:val="24"/>
        </w:rPr>
        <w:t>. Each Guarantor assumes all responsibility for being and keeping itself informed of the Borrowers’ financial condition and assets, and of all other circumstances bearing upon the risk of nonpayment of the Obligations and the nature, scope and extent of the risks that such Guarantor assumes and incurs hereunder, and agrees that neither the Administrative Agent nor any Lender will have any duty to advise such Guarantor of information known to it or any of them regarding such circumstances or risks.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9.04</w:t>
      </w:r>
      <w:r>
        <w:rPr>
          <w:rFonts w:ascii="Times New Roman;Times;serif" w:hAnsi="Times New Roman;Times;serif"/>
          <w:sz w:val="24"/>
          <w:u w:val="single"/>
        </w:rPr>
        <w:t>Guarantor Notices</w:t>
      </w:r>
      <w:r>
        <w:rPr>
          <w:rFonts w:ascii="Times New Roman;Times;serif" w:hAnsi="Times New Roman;Times;serif"/>
          <w:sz w:val="24"/>
        </w:rPr>
        <w:t xml:space="preserve">. All communications and notices to any Guarantor shall be given to it in care of the Parent Borrower as provided in </w:t>
      </w:r>
      <w:r>
        <w:rPr>
          <w:rFonts w:ascii="Times New Roman;Times;serif" w:hAnsi="Times New Roman;Times;serif"/>
          <w:sz w:val="24"/>
          <w:u w:val="single"/>
        </w:rPr>
        <w:t>Section 10.01</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9.05</w:t>
      </w:r>
      <w:r>
        <w:rPr>
          <w:rFonts w:ascii="Times New Roman;Times;serif" w:hAnsi="Times New Roman;Times;serif"/>
          <w:sz w:val="24"/>
          <w:u w:val="single"/>
        </w:rPr>
        <w:t>Termination</w:t>
      </w:r>
      <w:r>
        <w:rPr>
          <w:rFonts w:ascii="Times New Roman;Times;serif" w:hAnsi="Times New Roman;Times;serif"/>
          <w:sz w:val="24"/>
        </w:rPr>
        <w:t xml:space="preserve">. The Guarantees set forth in this </w:t>
      </w:r>
      <w:r>
        <w:rPr>
          <w:rFonts w:ascii="Times New Roman;Times;serif" w:hAnsi="Times New Roman;Times;serif"/>
          <w:sz w:val="24"/>
          <w:u w:val="single"/>
        </w:rPr>
        <w:t>Article 9</w:t>
      </w:r>
      <w:r>
        <w:rPr>
          <w:rFonts w:ascii="Times New Roman;Times;serif" w:hAnsi="Times New Roman;Times;serif"/>
          <w:sz w:val="20"/>
        </w:rPr>
        <w:t xml:space="preserve"> </w:t>
      </w:r>
      <w:r>
        <w:rPr>
          <w:rFonts w:ascii="Times New Roman;Times;serif" w:hAnsi="Times New Roman;Times;serif"/>
          <w:sz w:val="24"/>
        </w:rPr>
        <w:t>shall terminate when all the Obligations (excluding contingent obligations as to which no claim has been made) have been paid in full in cash and no Letter of Credit shall be outstanding or subject to any pending draw (other than Letters of Credit that have been Cash Collateralized or backstopped or deemed reissued under another agreement reasonably acceptable to the applicable Issuing Bank), and the Lenders have no further commitment to lend and the Issuing Banks has no further obligation to issue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9.06</w:t>
      </w:r>
      <w:r>
        <w:rPr>
          <w:rFonts w:ascii="Times New Roman;Times;serif" w:hAnsi="Times New Roman;Times;serif"/>
          <w:sz w:val="24"/>
          <w:u w:val="single"/>
        </w:rPr>
        <w:t>[Reserved]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9.07</w:t>
      </w:r>
      <w:r>
        <w:rPr>
          <w:rFonts w:ascii="Times New Roman;Times;serif" w:hAnsi="Times New Roman;Times;serif"/>
          <w:sz w:val="24"/>
          <w:u w:val="single"/>
        </w:rPr>
        <w:t>Additional Guarantors</w:t>
      </w:r>
      <w:r>
        <w:rPr>
          <w:rFonts w:ascii="Times New Roman;Times;serif" w:hAnsi="Times New Roman;Times;serif"/>
          <w:sz w:val="24"/>
        </w:rPr>
        <w:t xml:space="preserve">. It is understood and agreed that any Subsidiary of the Parent that is required to execute a counterpart of, or joinder to, this Agreement after the Effective Date pursuant to </w:t>
      </w:r>
      <w:r>
        <w:rPr>
          <w:rFonts w:ascii="Times New Roman;Times;serif" w:hAnsi="Times New Roman;Times;serif"/>
          <w:sz w:val="24"/>
          <w:u w:val="single"/>
        </w:rPr>
        <w:t>Section 5.11</w:t>
      </w:r>
      <w:r>
        <w:rPr>
          <w:rFonts w:ascii="Times New Roman;Times;serif" w:hAnsi="Times New Roman;Times;serif"/>
          <w:sz w:val="20"/>
        </w:rPr>
        <w:t xml:space="preserve"> </w:t>
      </w:r>
      <w:r>
        <w:rPr>
          <w:rFonts w:ascii="Times New Roman;Times;serif" w:hAnsi="Times New Roman;Times;serif"/>
          <w:sz w:val="24"/>
        </w:rPr>
        <w:t xml:space="preserve">shall become a Guarantor hereunder by (x) executing and delivering a guaranty supplement in the form of </w:t>
      </w:r>
      <w:r>
        <w:rPr>
          <w:rFonts w:ascii="Times New Roman;Times;serif" w:hAnsi="Times New Roman;Times;serif"/>
          <w:sz w:val="24"/>
          <w:u w:val="single"/>
        </w:rPr>
        <w:t>Exhibit E</w:t>
      </w:r>
      <w:r>
        <w:rPr>
          <w:rFonts w:ascii="Times New Roman;Times;serif" w:hAnsi="Times New Roman;Times;serif"/>
          <w:sz w:val="20"/>
        </w:rPr>
        <w:t xml:space="preserve"> </w:t>
      </w:r>
      <w:r>
        <w:rPr>
          <w:rFonts w:ascii="Times New Roman;Times;serif" w:hAnsi="Times New Roman;Times;serif"/>
          <w:sz w:val="24"/>
        </w:rPr>
        <w:t>hereto and delivering the same to the Administrative Agent and (y) taking all actions as specified in this Agreement as would have been taken by such Guarantor had it been an original party to this Agreement, in each case with all documents and actions required to be taken above to be taken to the reasonable satisfaction of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9.08</w:t>
      </w:r>
      <w:r>
        <w:rPr>
          <w:rFonts w:ascii="Times New Roman;Times;serif" w:hAnsi="Times New Roman;Times;serif"/>
          <w:sz w:val="24"/>
          <w:u w:val="single"/>
        </w:rPr>
        <w:t>Article 9 Severability</w:t>
      </w:r>
      <w:r>
        <w:rPr>
          <w:rFonts w:ascii="Times New Roman;Times;serif" w:hAnsi="Times New Roman;Times;serif"/>
          <w:sz w:val="24"/>
        </w:rPr>
        <w:t xml:space="preserve">. In the event any one or more of the provisions contained in this </w:t>
      </w:r>
      <w:r>
        <w:rPr>
          <w:rFonts w:ascii="Times New Roman;Times;serif" w:hAnsi="Times New Roman;Times;serif"/>
          <w:sz w:val="24"/>
          <w:u w:val="single"/>
        </w:rPr>
        <w:t>Article 9</w:t>
      </w:r>
      <w:r>
        <w:rPr>
          <w:rFonts w:ascii="Times New Roman;Times;serif" w:hAnsi="Times New Roman;Times;serif"/>
          <w:sz w:val="20"/>
        </w:rPr>
        <w:t xml:space="preserve"> </w:t>
      </w:r>
      <w:r>
        <w:rPr>
          <w:rFonts w:ascii="Times New Roman;Times;serif" w:hAnsi="Times New Roman;Times;serif"/>
          <w:sz w:val="24"/>
        </w:rPr>
        <w:t xml:space="preserve">should be held invalid, illegal or unenforceable in any respect, the validity, legality and enforceability of the remaining provisions contained in this </w:t>
      </w:r>
      <w:r>
        <w:rPr>
          <w:rFonts w:ascii="Times New Roman;Times;serif" w:hAnsi="Times New Roman;Times;serif"/>
          <w:sz w:val="24"/>
          <w:u w:val="single"/>
        </w:rPr>
        <w:t>Article 9</w:t>
      </w:r>
      <w:r>
        <w:rPr>
          <w:rFonts w:ascii="Times New Roman;Times;serif" w:hAnsi="Times New Roman;Times;serif"/>
          <w:sz w:val="20"/>
        </w:rPr>
        <w:t xml:space="preserve"> </w:t>
      </w:r>
      <w:r>
        <w:rPr>
          <w:rFonts w:ascii="Times New Roman;Times;serif" w:hAnsi="Times New Roman;Times;serif"/>
          <w:sz w:val="24"/>
        </w:rPr>
        <w:t>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invalid, illegal or unenforceable provisions with valid provisions the economic effect of which comes as close as possible to that of the invalid, illegal or unenforceable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9.09</w:t>
      </w:r>
      <w:r>
        <w:rPr>
          <w:rFonts w:ascii="Times New Roman;Times;serif" w:hAnsi="Times New Roman;Times;serif"/>
          <w:sz w:val="24"/>
          <w:u w:val="single"/>
        </w:rPr>
        <w:t>Guaranty Limitation of the German Guarantors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Notwithstanding anything to the contrary in this Agreement, the Secured Parties agree not to enforce the guarantee against a Guarantor incorporated in Germany as a limited liability company (</w:t>
      </w:r>
      <w:r>
        <w:rPr>
          <w:rFonts w:ascii="Times New Roman;Times;serif" w:hAnsi="Times New Roman;Times;serif"/>
          <w:i/>
          <w:sz w:val="24"/>
        </w:rPr>
        <w:t>GmbH</w:t>
      </w:r>
      <w:r>
        <w:rPr>
          <w:rFonts w:ascii="Times New Roman;Times;serif" w:hAnsi="Times New Roman;Times;serif"/>
          <w:sz w:val="24"/>
        </w:rPr>
        <w:t>) (a “</w:t>
      </w:r>
      <w:r>
        <w:rPr>
          <w:rFonts w:ascii="Times New Roman;Times;serif" w:hAnsi="Times New Roman;Times;serif"/>
          <w:b/>
          <w:sz w:val="24"/>
        </w:rPr>
        <w:t>German GmbH Guarantor</w:t>
      </w:r>
      <w:r>
        <w:rPr>
          <w:rFonts w:ascii="Times New Roman;Times;serif" w:hAnsi="Times New Roman;Times;serif"/>
          <w:sz w:val="20"/>
        </w:rPr>
        <w:t>”</w:t>
      </w:r>
      <w:r>
        <w:rPr>
          <w:rFonts w:ascii="Times New Roman;Times;serif" w:hAnsi="Times New Roman;Times;serif"/>
          <w:sz w:val="24"/>
        </w:rPr>
        <w:t>), or as a limited partnership (</w:t>
      </w:r>
      <w:r>
        <w:rPr>
          <w:rFonts w:ascii="Times New Roman;Times;serif" w:hAnsi="Times New Roman;Times;serif"/>
          <w:i/>
          <w:sz w:val="24"/>
        </w:rPr>
        <w:t>Kommanditgesellschaft</w:t>
      </w:r>
      <w:r>
        <w:rPr>
          <w:rFonts w:ascii="Times New Roman;Times;serif" w:hAnsi="Times New Roman;Times;serif"/>
          <w:sz w:val="24"/>
        </w:rPr>
        <w:t>) with a limited liability company as sole general partner (GmbH &amp; Co. KG) (the “</w:t>
      </w:r>
      <w:r>
        <w:rPr>
          <w:rFonts w:ascii="Times New Roman;Times;serif" w:hAnsi="Times New Roman;Times;serif"/>
          <w:b/>
          <w:sz w:val="24"/>
        </w:rPr>
        <w:t>German GmbH &amp; Co. KG Guarantor</w:t>
      </w:r>
      <w:r>
        <w:rPr>
          <w:rFonts w:ascii="Times New Roman;Times;serif" w:hAnsi="Times New Roman;Times;serif"/>
          <w:sz w:val="20"/>
        </w:rPr>
        <w:t>”</w:t>
      </w:r>
      <w:r>
        <w:rPr>
          <w:rFonts w:ascii="Times New Roman;Times;serif" w:hAnsi="Times New Roman;Times;serif"/>
          <w:sz w:val="24"/>
        </w:rPr>
        <w:t>, together with any German GmbH Guarantor hereinafter referred to as a “</w:t>
      </w:r>
      <w:r>
        <w:rPr>
          <w:rFonts w:ascii="Times New Roman;Times;serif" w:hAnsi="Times New Roman;Times;serif"/>
          <w:b/>
          <w:sz w:val="24"/>
        </w:rPr>
        <w:t>German Guarantor</w:t>
      </w:r>
      <w:r>
        <w:rPr>
          <w:rFonts w:ascii="Times New Roman;Times;serif" w:hAnsi="Times New Roman;Times;serif"/>
          <w:sz w:val="20"/>
        </w:rPr>
        <w:t>”</w:t>
      </w:r>
      <w:r>
        <w:rPr>
          <w:rFonts w:ascii="Times New Roman;Times;serif" w:hAnsi="Times New Roman;Times;serif"/>
          <w:sz w:val="24"/>
        </w:rPr>
        <w:t>) if and to the extent that such Guarantee secures liabilities of direct or indirect shareholders of the German Guarantor or Subsidiaries of such shareholders (other than the German Guarantor and the German Guarantor’s Subsidiaries) and if and to the extent that such enforcement would: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reduce the German Guarantor’s net assets (</w:t>
      </w:r>
      <w:r>
        <w:rPr>
          <w:rFonts w:ascii="Times New Roman;Times;serif" w:hAnsi="Times New Roman;Times;serif"/>
          <w:i/>
          <w:sz w:val="24"/>
        </w:rPr>
        <w:t>Nettovermögen</w:t>
      </w:r>
      <w:r>
        <w:rPr>
          <w:rFonts w:ascii="Times New Roman;Times;serif" w:hAnsi="Times New Roman;Times;serif"/>
          <w:sz w:val="24"/>
        </w:rPr>
        <w:t>) (the “</w:t>
      </w:r>
      <w:r>
        <w:rPr>
          <w:rFonts w:ascii="Times New Roman;Times;serif" w:hAnsi="Times New Roman;Times;serif"/>
          <w:b/>
          <w:sz w:val="24"/>
        </w:rPr>
        <w:t>Net Assets</w:t>
      </w:r>
      <w:r>
        <w:rPr>
          <w:rFonts w:ascii="Times New Roman;Times;serif" w:hAnsi="Times New Roman;Times;serif"/>
          <w:sz w:val="20"/>
        </w:rPr>
        <w:t>”</w:t>
      </w:r>
      <w:r>
        <w:rPr>
          <w:rFonts w:ascii="Times New Roman;Times;serif" w:hAnsi="Times New Roman;Times;serif"/>
          <w:sz w:val="24"/>
        </w:rPr>
        <w:t>) to an amount less than its stated share capital (</w:t>
      </w:r>
      <w:r>
        <w:rPr>
          <w:rFonts w:ascii="Times New Roman;Times;serif" w:hAnsi="Times New Roman;Times;serif"/>
          <w:i/>
          <w:sz w:val="24"/>
        </w:rPr>
        <w:t>Stammkapital</w:t>
      </w:r>
      <w:r>
        <w:rPr>
          <w:rFonts w:ascii="Times New Roman;Times;serif" w:hAnsi="Times New Roman;Times;serif"/>
          <w:sz w:val="24"/>
        </w:rPr>
        <w: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(if its Net Assets are already lower than its stated share capital) cause such amount to be further reduced,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and thereby lead to the situation in which the German Guarantor’s assets which are required for the preservation of its stated share capital according to sections 30, 31 of the German Limited Liability Companies Act (</w:t>
      </w:r>
      <w:r>
        <w:rPr>
          <w:rFonts w:ascii="Times New Roman;Times;serif" w:hAnsi="Times New Roman;Times;serif"/>
          <w:i/>
          <w:sz w:val="24"/>
        </w:rPr>
        <w:t>GmbHG</w:t>
      </w:r>
      <w:r>
        <w:rPr>
          <w:rFonts w:ascii="Times New Roman;Times;serif" w:hAnsi="Times New Roman;Times;serif"/>
          <w:sz w:val="24"/>
        </w:rPr>
        <w:t>) are affected (each a “</w:t>
      </w:r>
      <w:r>
        <w:rPr>
          <w:rFonts w:ascii="Times New Roman;Times;serif" w:hAnsi="Times New Roman;Times;serif"/>
          <w:b/>
          <w:sz w:val="24"/>
        </w:rPr>
        <w:t>Limitation Event</w:t>
      </w:r>
      <w:r>
        <w:rPr>
          <w:rFonts w:ascii="Times New Roman;Times;serif" w:hAnsi="Times New Roman;Times;serif"/>
          <w:sz w:val="20"/>
        </w:rPr>
        <w:t xml:space="preserve">” </w:t>
      </w:r>
      <w:r>
        <w:rPr>
          <w:rFonts w:ascii="Times New Roman;Times;serif" w:hAnsi="Times New Roman;Times;serif"/>
          <w:sz w:val="24"/>
        </w:rPr>
        <w:t>or a “</w:t>
      </w:r>
      <w:r>
        <w:rPr>
          <w:rFonts w:ascii="Times New Roman;Times;serif" w:hAnsi="Times New Roman;Times;serif"/>
          <w:b/>
          <w:sz w:val="24"/>
        </w:rPr>
        <w:t>Capital Impairment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value of the Net Assets shall only take into account the sum of the values of the assets of the German Guarantor that are equivalent to those items listed in section 266 subsection (2) A, B, C, D and E of the German Commercial Code (</w:t>
      </w:r>
      <w:r>
        <w:rPr>
          <w:rFonts w:ascii="Times New Roman;Times;serif" w:hAnsi="Times New Roman;Times;serif"/>
          <w:i/>
          <w:sz w:val="24"/>
        </w:rPr>
        <w:t>Handelsgesetzbuch</w:t>
      </w:r>
      <w:r>
        <w:rPr>
          <w:rFonts w:ascii="Times New Roman;Times;serif" w:hAnsi="Times New Roman;Times;serif"/>
          <w:sz w:val="24"/>
        </w:rPr>
        <w:t>) less the German Guarantor’s liabilities (the calculation of which shall only take into account the items listed in accordance with section 266 subsection (3) B, C (but, for the avoidance of doubt, disregarding any guarantee obligations to the extent that this is required in order to avoid a “double counting” of the effect of the actual enforcement of the Guarantee on the balance sheet of the German Guarantor for purposes of this paragraph (b)), D and E of the German Commercial Code (</w:t>
      </w:r>
      <w:r>
        <w:rPr>
          <w:rFonts w:ascii="Times New Roman;Times;serif" w:hAnsi="Times New Roman;Times;serif"/>
          <w:i/>
          <w:sz w:val="24"/>
        </w:rPr>
        <w:t>Handelsgesetzbuch</w:t>
      </w:r>
      <w:r>
        <w:rPr>
          <w:rFonts w:ascii="Times New Roman;Times;serif" w:hAnsi="Times New Roman;Times;serif"/>
          <w:sz w:val="24"/>
        </w:rPr>
        <w:t>)), in each case in accordance with the accounting principles consistently applied by the German Guarantor. For the purposes of the calculation of the Net Assets the following balance sheet items shall be adjusted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amount of any increase of the stated share capital after the Amendment No. 3 Effective Date (aa) that has been effected without the prior written consent of the Administrative Agent (acting on behalf of the Required Lenders) and (bb) that has been effected out of retained earnings (</w:t>
      </w:r>
      <w:r>
        <w:rPr>
          <w:rFonts w:ascii="Times New Roman;Times;serif" w:hAnsi="Times New Roman;Times;serif"/>
          <w:i/>
          <w:sz w:val="24"/>
        </w:rPr>
        <w:t>Kapitalerhöhung aus Gesellschaftsmitteln</w:t>
      </w:r>
      <w:r>
        <w:rPr>
          <w:rFonts w:ascii="Times New Roman;Times;serif" w:hAnsi="Times New Roman;Times;serif"/>
          <w:sz w:val="24"/>
        </w:rPr>
        <w:t>) shall be deducted from the stated share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in case the registered share capital of the German Guarantor is not fully paid up (</w:t>
      </w:r>
      <w:r>
        <w:rPr>
          <w:rFonts w:ascii="Times New Roman;Times;serif" w:hAnsi="Times New Roman;Times;serif"/>
          <w:i/>
          <w:sz w:val="24"/>
        </w:rPr>
        <w:t>nicht voll eingezahlt</w:t>
      </w:r>
      <w:r>
        <w:rPr>
          <w:rFonts w:ascii="Times New Roman;Times;serif" w:hAnsi="Times New Roman;Times;serif"/>
          <w:sz w:val="24"/>
        </w:rPr>
        <w:t>), the amount which is not paid up shall be deducted from the relevant registered share capital (</w:t>
      </w:r>
      <w:r>
        <w:rPr>
          <w:rFonts w:ascii="Times New Roman;Times;serif" w:hAnsi="Times New Roman;Times;serif"/>
          <w:i/>
          <w:sz w:val="24"/>
        </w:rPr>
        <w:t>Stammkapital</w:t>
      </w:r>
      <w:r>
        <w:rPr>
          <w:rFonts w:ascii="Times New Roman;Times;serif" w:hAnsi="Times New Roman;Times;serif"/>
          <w:sz w:val="24"/>
        </w:rPr>
        <w:t>) to the extent that the not fully paid up amount is not shown as an asset in the balance sheet;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the amount of any loans and other contractual liabilities incurred in violation of the provisions of this Agreement shall be deducted from the company’s liabilities;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loans provided to the German Guarantor vis-à-vis any member of the Group or a Holding Company and other liabilities shall be disregarded to the extent such loans are, or would be, subordinated (including, for the avoidance of doubt, pursuant to section 39 subsection 1, no. 5 and/or subsection 2 of the German Insolvency Code (InsO)) to any financial indebtedness outstanding under this Agreement (including indebtedness in respect of guarantees for financial indebtedness which is so subordinated).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In addition, in the event of enforcement of the Guarantee, the German Guarantor shall, within three months after a written request of the Administrative Agent, realize (including, if appropriate, by sale-and-lease-back), to the extent legally permitted any and all of its assets that are shown in the balance sheet with a book value (</w:t>
      </w:r>
      <w:r>
        <w:rPr>
          <w:rFonts w:ascii="Times New Roman;Times;serif" w:hAnsi="Times New Roman;Times;serif"/>
          <w:i/>
          <w:sz w:val="24"/>
        </w:rPr>
        <w:t>Buchwert</w:t>
      </w:r>
      <w:r>
        <w:rPr>
          <w:rFonts w:ascii="Times New Roman;Times;serif" w:hAnsi="Times New Roman;Times;serif"/>
          <w:sz w:val="24"/>
        </w:rPr>
        <w:t>) that is significantly lower than the market value of the assets if, as a result of the enforcement of the guarantee, a Limitation Event would occur, unless the asset is indispensable for the German Guarantor’s business (</w:t>
      </w:r>
      <w:r>
        <w:rPr>
          <w:rFonts w:ascii="Times New Roman;Times;serif" w:hAnsi="Times New Roman;Times;serif"/>
          <w:i/>
          <w:sz w:val="24"/>
        </w:rPr>
        <w:t>betriebsnotwendig</w:t>
      </w:r>
      <w:r>
        <w:rPr>
          <w:rFonts w:ascii="Times New Roman;Times;serif" w:hAnsi="Times New Roman;Times;serif"/>
          <w:sz w:val="24"/>
        </w:rPr>
        <w:t>). The Parent shall ensure that the person realizing the asset will, prior to such realization, assign its claim for the purchase price or other proceeds from the realisation to the Administrative Agent for security purposes (</w:t>
      </w:r>
      <w:r>
        <w:rPr>
          <w:rFonts w:ascii="Times New Roman;Times;serif" w:hAnsi="Times New Roman;Times;serif"/>
          <w:i/>
          <w:sz w:val="24"/>
        </w:rPr>
        <w:t>Sicherungsabtretung</w:t>
      </w:r>
      <w:r>
        <w:rPr>
          <w:rFonts w:ascii="Times New Roman;Times;serif" w:hAnsi="Times New Roman;Times;serif"/>
          <w:sz w:val="24"/>
        </w:rPr>
        <w:t>). After the expiry of the three-month period, the German Guarantor shall, within three Business Days, (i) notify the Administrative Agent of the amount of the net proceeds obtained from the relevant sale or other disposition by means of which the conversion into cash was effected and (ii) submit to the Administrative Agent an updated Auditors’ Determination (as defined in paragraph (g) below) in relation to the German Guarantor itself, taking into account such proceeds. Any such updated Auditors’ Determination shall supersede that Auditors’ Determination previously applicable for the limitations of the enforcement of the guarantee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If the German Guarantor does not notify the Administrative Agent in writing that a Capital Impairment or a Liquidity Impairment (as defined in paragraph (i) below) would occur (setting out in reasonable detail to what extent a Capital Impairment or a Liquidity Impairment would occur) (the “</w:t>
      </w:r>
      <w:r>
        <w:rPr>
          <w:rFonts w:ascii="Times New Roman;Times;serif" w:hAnsi="Times New Roman;Times;serif"/>
          <w:b/>
          <w:sz w:val="24"/>
        </w:rPr>
        <w:t>Management Notification</w:t>
      </w:r>
      <w:r>
        <w:rPr>
          <w:rFonts w:ascii="Times New Roman;Times;serif" w:hAnsi="Times New Roman;Times;serif"/>
          <w:sz w:val="20"/>
        </w:rPr>
        <w:t>”</w:t>
      </w:r>
      <w:r>
        <w:rPr>
          <w:rFonts w:ascii="Times New Roman;Times;serif" w:hAnsi="Times New Roman;Times;serif"/>
          <w:sz w:val="24"/>
        </w:rPr>
        <w:t xml:space="preserve">) within thirty (30) Business Days after the Administrative Agent notified such German Guarantor of its intention to demand payment under the Guarantee, then the restrictions set out in paragraph (a) above shall not apply,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Administrative Agent shall (acting on the instructions of the Required Lenders) in any event be entitled to enforce the Guarantee for any amounts where such enforcement would, in accordance with the Management Notification, not cause a Capital Impairment or a Liquidity Impairment.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Following the Administrative Agent’s receipt of the Management Notification, any further enforcement of the guarantee (i.e. any enforcement to which the Administrative Agent is not already entitled pursuant to paragraph (d) above) shall be excluded pursuant to paragraph (a) above for a period of no more than thirty (30) Business Days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If, upon the Administrative Agent’s request, the Administrative Agent receives within such thirty (30) Business Day period the Auditors’ Determination, the enforcement of the Guarantee shall be limited, if and to the extent such enforcement would, in accordance with the Auditors’ Determination cause a Limitation Event or a Liquidity Impairment. The balance sheet and determination of the Net Assets shall be prepared in accordance with paragraph (b) above,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taking into account the adjustments pursuant to paragraphs (b)(i), (b)(ii), (b)(iii), (b)(iv) and (b)(v)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The determination by the auditors (as set forth above, the “</w:t>
      </w:r>
      <w:r>
        <w:rPr>
          <w:rFonts w:ascii="Times New Roman;Times;serif" w:hAnsi="Times New Roman;Times;serif"/>
          <w:b/>
          <w:sz w:val="24"/>
        </w:rPr>
        <w:t>Auditors’ Determination</w:t>
      </w:r>
      <w:r>
        <w:rPr>
          <w:rFonts w:ascii="Times New Roman;Times;serif" w:hAnsi="Times New Roman;Times;serif"/>
          <w:sz w:val="20"/>
        </w:rPr>
        <w:t>”</w:t>
      </w:r>
      <w:r>
        <w:rPr>
          <w:rFonts w:ascii="Times New Roman;Times;serif" w:hAnsi="Times New Roman;Times;serif"/>
          <w:sz w:val="24"/>
        </w:rPr>
        <w:t>) pertaining to the German Guarantor shall be up to date and in any event such Auditors’ Determination shall have been prepared as of a date not earlier than 15 Business Days prior to the date of the enforcement of the guarantee. Should the German Guarantor fail to deliver such Auditors’ Determination in the time period set out herein, the Administrative Agent shall be entitled to demand payment under the guarantee,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rPr>
        <w:t>The limitation under paragraph (a) above does not apply if, at the time a demand or payment is made under this Agreement, (i) a domination agreement (</w:t>
      </w:r>
      <w:r>
        <w:rPr>
          <w:rFonts w:ascii="Times New Roman;Times;serif" w:hAnsi="Times New Roman;Times;serif"/>
          <w:i/>
          <w:sz w:val="24"/>
        </w:rPr>
        <w:t>Beherrschungsvertrag</w:t>
      </w:r>
      <w:r>
        <w:rPr>
          <w:rFonts w:ascii="Times New Roman;Times;serif" w:hAnsi="Times New Roman;Times;serif"/>
          <w:sz w:val="24"/>
        </w:rPr>
        <w:t>) is in force between the German Guarantor (with the German Guarantor as dominated entity) and the relevant Subsidiary or a holding company of the relevant Subsidiary (or an uninterrupted chain of domination agreements) is in force between the German Guarantor and the relevant obligor or a Holding Company of the relevant obligor (with the German Guarantor as dominated entity) whose obligations and liabilities are guaranteed, unless if and to the extent the payment under the guarantee or indemnity is not covered by a fully valuable counter-obligation vis-à-vis such Holding Company (</w:t>
      </w:r>
      <w:r>
        <w:rPr>
          <w:rFonts w:ascii="Times New Roman;Times;serif" w:hAnsi="Times New Roman;Times;serif"/>
          <w:i/>
          <w:sz w:val="24"/>
        </w:rPr>
        <w:t>vollwertiger Gegenleistungsanspruch gegen die herrschende Gesellschaft gedeckt ist</w:t>
      </w:r>
      <w:r>
        <w:rPr>
          <w:rFonts w:ascii="Times New Roman;Times;serif" w:hAnsi="Times New Roman;Times;serif"/>
          <w:sz w:val="24"/>
        </w:rPr>
        <w:t>), (ii) with respect to payments or transactions (</w:t>
      </w:r>
      <w:r>
        <w:rPr>
          <w:rFonts w:ascii="Times New Roman;Times;serif" w:hAnsi="Times New Roman;Times;serif"/>
          <w:i/>
          <w:sz w:val="24"/>
        </w:rPr>
        <w:t>Leistungen</w:t>
      </w:r>
      <w:r>
        <w:rPr>
          <w:rFonts w:ascii="Times New Roman;Times;serif" w:hAnsi="Times New Roman;Times;serif"/>
          <w:sz w:val="24"/>
        </w:rPr>
        <w:t>) that are covered by a fully valuable counter-obligation vis-à-vis the relevant affiliate which claims are secured by the guarantee or indemnity (</w:t>
      </w:r>
      <w:r>
        <w:rPr>
          <w:rFonts w:ascii="Times New Roman;Times;serif" w:hAnsi="Times New Roman;Times;serif"/>
          <w:i/>
          <w:sz w:val="24"/>
        </w:rPr>
        <w:t>die durch einen vollwertigen Gegenleistungs- oder Rückgewähranspruch gedeckt sind</w:t>
      </w:r>
      <w:r>
        <w:rPr>
          <w:rFonts w:ascii="Times New Roman;Times;serif" w:hAnsi="Times New Roman;Times;serif"/>
          <w:sz w:val="24"/>
        </w:rPr>
        <w:t>), and (iii) the Administrative Agent demands payment under this Guaranty which relates to funds borrowed under a Loan Document which have been lent, on-lent or otherwise made available to the German Guarantor or any of its Subsidiaries and that are still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enforcement of the guarantee and indemnity created hereunder against the German Guarantor shall be further excluded (pactum de non petendo it being understood, however, that the claims arising under such guarantee shall in all other aspects continue to exist due and payable both before and after the commencement of insolvency proceedings) to the extent that such enforcement would result in the German Guarantor becoming illiquid (</w:t>
      </w:r>
      <w:r>
        <w:rPr>
          <w:rFonts w:ascii="Times New Roman;Times;serif" w:hAnsi="Times New Roman;Times;serif"/>
          <w:i/>
          <w:sz w:val="24"/>
        </w:rPr>
        <w:t>zahlungsunfähig</w:t>
      </w:r>
      <w:r>
        <w:rPr>
          <w:rFonts w:ascii="Times New Roman;Times;serif" w:hAnsi="Times New Roman;Times;serif"/>
          <w:sz w:val="24"/>
        </w:rPr>
        <w:t>) (such situation hereinafter referred to as a “</w:t>
      </w:r>
      <w:r>
        <w:rPr>
          <w:rFonts w:ascii="Times New Roman;Times;serif" w:hAnsi="Times New Roman;Times;serif"/>
          <w:b/>
          <w:sz w:val="24"/>
        </w:rPr>
        <w:t>Liquidity Impairment</w:t>
      </w:r>
      <w:r>
        <w:rPr>
          <w:rFonts w:ascii="Times New Roman;Times;serif" w:hAnsi="Times New Roman;Times;serif"/>
          <w:sz w:val="20"/>
        </w:rPr>
        <w:t>”</w:t>
      </w:r>
      <w:r>
        <w:rPr>
          <w:rFonts w:ascii="Times New Roman;Times;serif" w:hAnsi="Times New Roman;Times;serif"/>
          <w:sz w:val="24"/>
        </w:rPr>
        <w:t>) and would for that reason constitute an unlawful payment within the meaning of paragraph 5 of section 15b of the German Insolvency Code (</w:t>
      </w:r>
      <w:r>
        <w:rPr>
          <w:rFonts w:ascii="Times New Roman;Times;serif" w:hAnsi="Times New Roman;Times;serif"/>
          <w:i/>
          <w:sz w:val="24"/>
        </w:rPr>
        <w:t>Insolvenzordnung</w:t>
      </w:r>
      <w:r>
        <w:rPr>
          <w:rFonts w:ascii="Times New Roman;Times;serif" w:hAnsi="Times New Roman;Times;serif"/>
          <w:sz w:val="24"/>
        </w:rPr>
        <w:t>) and therefore result in a personal liability of the directors of the German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rPr>
        <w:t>The Administrative Agent is not prevented from enforcing the guarantee due to the occurrence of a Liquidity Impairment if the German Guarantor does not make payments in accordance with the liquidity schedule referred to in paragraph (k) below or in accordance with any other payment schedule subsequently delivered to the Administrative Agent (on behalf of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rPr>
        <w:t>For the purpose of determination if and to which extent a payment under this Agreement would result in a Liquidity Impairment, the German Guarantor will deliver (within 30 days after receipt from the Administrative Agent of a notice stating that the Administrative Agent intends to demand payment under the guarantee) to the Administrative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 liquidity status and a liquidity forecast for the next following 13 weeks together with a payment schedule showing at what times and in what instalments the German Guarantor will be able to make payments under this guarantee followed by weekly updates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evidence to the satisfaction of the Administrative Agent that all acceptable (</w:t>
      </w:r>
      <w:r>
        <w:rPr>
          <w:rFonts w:ascii="Times New Roman;Times;serif" w:hAnsi="Times New Roman;Times;serif"/>
          <w:i/>
          <w:sz w:val="24"/>
        </w:rPr>
        <w:t>zumutbare</w:t>
      </w:r>
      <w:r>
        <w:rPr>
          <w:rFonts w:ascii="Times New Roman;Times;serif" w:hAnsi="Times New Roman;Times;serif"/>
          <w:sz w:val="24"/>
        </w:rPr>
        <w:t>) measures have been taken or will promptly (</w:t>
      </w:r>
      <w:r>
        <w:rPr>
          <w:rFonts w:ascii="Times New Roman;Times;serif" w:hAnsi="Times New Roman;Times;serif"/>
          <w:i/>
          <w:sz w:val="24"/>
        </w:rPr>
        <w:t>unverzüglich</w:t>
      </w:r>
      <w:r>
        <w:rPr>
          <w:rFonts w:ascii="Times New Roman;Times;serif" w:hAnsi="Times New Roman;Times;serif"/>
          <w:sz w:val="24"/>
        </w:rPr>
        <w:t>) be taken in order to increase the German Guarantor’s liquidity,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 confirmation by a firm of auditors of international standard and repute if and to which extent payment under this Agreement (taken into account payment by instalments) would result in a Liquidity Impairment.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rPr>
        <w:t>The limitations set out in paragraphs (a) and (i) above shall not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to any amounts due and payable under the Guarantee, which relate (A) to funds borrowed under a Loan Document which have been lent, on-lent or otherwise made available to the German Guarantor or any of its Subsidiaries and are still outstanding and (B) to letters of credit or similar instruments to the extent issued for the benefit of the German Guarantor or any of its Subsidiaries and which are still outstanding, whereas the German Guarantor shall at any time upon the Administrative Agent’s request produce evidence to the Administrative Agent (in form and substance satisfactory to the Administrative Agent acting reasonably) as to whether any monies borrowed under this Agreement have been on-lent or otherwise made available to it or any of its Subsidiaries;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if and to the extent that, at the time of enforcement of the Guarantee, due to statutory law or according to case-law of the German Federal Court (</w:t>
      </w:r>
      <w:r>
        <w:rPr>
          <w:rFonts w:ascii="Times New Roman;Times;serif" w:hAnsi="Times New Roman;Times;serif"/>
          <w:i/>
          <w:sz w:val="24"/>
        </w:rPr>
        <w:t>Bundesgerichtshof</w:t>
      </w:r>
      <w:r>
        <w:rPr>
          <w:rFonts w:ascii="Times New Roman;Times;serif" w:hAnsi="Times New Roman;Times;serif"/>
          <w:sz w:val="24"/>
        </w:rPr>
        <w:t>), such limitations are not required to protect the managing directors of the German Guarantor from the risk of personal liability resulting from a violation of the German Guarantor’s obligation to maintain its registered share capital due to the enforcement or from violation of obligations or similar provisions under the then applicable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(m)</w:t>
      </w:r>
      <w:r>
        <w:rPr>
          <w:rFonts w:ascii="Times New Roman;Times;serif" w:hAnsi="Times New Roman;Times;serif"/>
          <w:sz w:val="24"/>
        </w:rPr>
        <w:t xml:space="preserve">The restrictions set out in this </w:t>
      </w:r>
      <w:r>
        <w:rPr>
          <w:rFonts w:ascii="Times New Roman;Times;serif" w:hAnsi="Times New Roman;Times;serif"/>
          <w:sz w:val="24"/>
          <w:u w:val="single"/>
        </w:rPr>
        <w:t>Section 9.09</w:t>
      </w:r>
      <w:r>
        <w:rPr>
          <w:rFonts w:ascii="Times New Roman;Times;serif" w:hAnsi="Times New Roman;Times;serif"/>
          <w:sz w:val="20"/>
        </w:rPr>
        <w:t xml:space="preserve"> </w:t>
      </w:r>
      <w:r>
        <w:rPr>
          <w:rFonts w:ascii="Times New Roman;Times;serif" w:hAnsi="Times New Roman;Times;serif"/>
          <w:sz w:val="24"/>
        </w:rPr>
        <w:t xml:space="preserve">do not affect the rights of the Secured Parties to claim any outstanding amount under the Guarantee again at a later point in time if and to the extent the restrictions set out in this </w:t>
      </w:r>
      <w:r>
        <w:rPr>
          <w:rFonts w:ascii="Times New Roman;Times;serif" w:hAnsi="Times New Roman;Times;serif"/>
          <w:sz w:val="24"/>
          <w:u w:val="single"/>
        </w:rPr>
        <w:t>Section 9.09</w:t>
      </w:r>
      <w:r>
        <w:rPr>
          <w:rFonts w:ascii="Times New Roman;Times;serif" w:hAnsi="Times New Roman;Times;serif"/>
          <w:sz w:val="20"/>
        </w:rPr>
        <w:t xml:space="preserve"> </w:t>
      </w:r>
      <w:r>
        <w:rPr>
          <w:rFonts w:ascii="Times New Roman;Times;serif" w:hAnsi="Times New Roman;Times;serif"/>
          <w:sz w:val="24"/>
        </w:rPr>
        <w:t>would allow such claim at that later point in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9.10</w:t>
      </w:r>
      <w:r>
        <w:rPr>
          <w:rFonts w:ascii="Times New Roman;Times;serif" w:hAnsi="Times New Roman;Times;serif"/>
          <w:sz w:val="24"/>
          <w:u w:val="single"/>
        </w:rPr>
        <w:t>Philippines Entities</w:t>
      </w:r>
      <w:r>
        <w:rPr>
          <w:rFonts w:ascii="Times New Roman;Times;serif" w:hAnsi="Times New Roman;Times;serif"/>
          <w:sz w:val="24"/>
        </w:rPr>
        <w:t>. It is understood and agreed that notwithstanding anything contrary in this Agreement, all references to the Guarantors under this Article 9 shall not include any Philippines Guarantors.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9.11</w:t>
      </w:r>
      <w:r>
        <w:rPr>
          <w:rFonts w:ascii="Times New Roman;Times;serif" w:hAnsi="Times New Roman;Times;serif"/>
          <w:sz w:val="24"/>
          <w:u w:val="single"/>
        </w:rPr>
        <w:t>Australian Ipso Facto provisions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Guarantor that is incorporated in Australia irrevocably and unconditionally jointly and severally undertakes with each Lender and the Administrative Agent that if an Ipso Facto Event has occurred, then immediately on demand that Guarantor shall pay all Obligations of the Borrowers as if it was the principal obligor.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In this </w:t>
      </w:r>
      <w:r>
        <w:rPr>
          <w:rFonts w:ascii="Times New Roman;Times;serif" w:hAnsi="Times New Roman;Times;serif"/>
          <w:sz w:val="24"/>
          <w:u w:val="single"/>
        </w:rPr>
        <w:t>Section 9.11</w:t>
      </w:r>
      <w:r>
        <w:rPr>
          <w:rFonts w:ascii="Times New Roman;Times;serif" w:hAnsi="Times New Roman;Times;serif"/>
          <w:sz w:val="24"/>
        </w:rPr>
        <w:t>, ‘Ipso Facto Event’ means an Australian Loan Party is the subject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 announcement, application, compromise, arrangement, managing controller, or administration as described in section 415D(1), 434J(1) or 451E(1) of the Australian Corporations Act;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any process which under any law with a similar purpose may give rise to a stay on, or prevention of, the exercise of contractual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9.12</w:t>
      </w:r>
      <w:r>
        <w:rPr>
          <w:rFonts w:ascii="Times New Roman;Times;serif" w:hAnsi="Times New Roman;Times;serif"/>
          <w:sz w:val="24"/>
          <w:u w:val="single"/>
        </w:rPr>
        <w:t>Limitations for Swiss Loan Parties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Notwithstanding anything to the contrary in this Agreement or any other Loan Document, the fulfilment of any obligation of, and the application of proceeds from the enforcement of any security interest or guarantee granted by, any Swiss Loan Party under this Agreement or under any other Loan Document to satisfy obligations of another Loan Party being a direct or indirect parent company (up-stream liabilities) or sister company (cross-stream liabilities) of any of such Swiss Loan Party (i.e. other than obligations of any of that Swiss Loan Party’s wholly-owned direct or indirect subsidiaries) where complying with such obligations would be restricted under then applicable Swiss corporate law (“</w:t>
      </w:r>
      <w:r>
        <w:rPr>
          <w:rFonts w:ascii="Times New Roman;Times;serif" w:hAnsi="Times New Roman;Times;serif"/>
          <w:b/>
          <w:sz w:val="24"/>
        </w:rPr>
        <w:t>Swiss Restricted Obligations</w:t>
      </w:r>
      <w:r>
        <w:rPr>
          <w:rFonts w:ascii="Times New Roman;Times;serif" w:hAnsi="Times New Roman;Times;serif"/>
          <w:sz w:val="20"/>
        </w:rPr>
        <w:t>”</w:t>
      </w:r>
      <w:r>
        <w:rPr>
          <w:rFonts w:ascii="Times New Roman;Times;serif" w:hAnsi="Times New Roman;Times;serif"/>
          <w:sz w:val="24"/>
        </w:rPr>
        <w:t>) shall be limited to the maximum amount of the Swiss Loan Party’s freely disposable equity at the time it becomes liable, as determined and permitted by applicable mandatory Swiss law at the time of fulfilment or enforcement (as the case may be) (“</w:t>
      </w:r>
      <w:r>
        <w:rPr>
          <w:rFonts w:ascii="Times New Roman;Times;serif" w:hAnsi="Times New Roman;Times;serif"/>
          <w:b/>
          <w:sz w:val="24"/>
        </w:rPr>
        <w:t>Swiss Limitation</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Swiss Limitation shall not release any Swiss Loan Party from the fulfilment of its obligations or the application of enforcement proceeds in excess of the Swiss Limitation, but merely postpone the performance date thereof until such time as it is again permitted notwithstanding the Swiss Limitation and any and all indemnities, guarantees, subordination or other form of support of such Swiss Loan Party contained in any Loan Document shall be construed in a manner consistent with the provisions of this </w:t>
      </w:r>
      <w:r>
        <w:rPr>
          <w:rFonts w:ascii="Times New Roman;Times;serif" w:hAnsi="Times New Roman;Times;serif"/>
          <w:sz w:val="24"/>
          <w:u w:val="single"/>
        </w:rPr>
        <w:t>Section 9.12</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Immediately after having been requested to perform the Swiss Restricted Obligations under this Agreement or under any other Loan Document, the Swiss Loan Party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perform any obligations which are not affected by the Swiss Limitation;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in respect of any balance, if and to the extent requested by the Administrative Agent or required under then applicable Swiss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provide the Administrative Agent with an interim balance sheet audited by the statutory auditors of the Swiss Loan Party setting out the maximum amount of the Swiss Limitation;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take any further corporate and other action as may be required by the Administrative Agent (such as board and shareholder’s approvals and the receipt of any confirmations from the Swiss Loan Party’s statutory auditors) and other measures required to allow the Swiss Loan Party to make the payments agreed hereunder with a minimum of limitations;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immediately thereafter, pay up to the maximum amount of the Swiss Limitation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Each Swiss Loan Party shall take all action and cause all action to be taken to enable the fulfilment of its obligations or the application of enforcement proceeds as soon as possible, in an amount as large as possible and with a minimum of limitations notwithstanding the Swiss Limitation. In particular, to the extent permitted by then applicable law and Swiss accounting standards and upon request by the Administrative Agent, each Swiss Loan Party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write up or sell any of its assets that are shown on its balance sheet with a book value that is significantly lower than the market value of the assets, in case of a sale, however, only if such assets are not necessary for the Swiss Loan Party’s business (</w:t>
      </w:r>
      <w:r>
        <w:rPr>
          <w:rFonts w:ascii="Times New Roman;Times;serif" w:hAnsi="Times New Roman;Times;serif"/>
          <w:i/>
          <w:sz w:val="24"/>
        </w:rPr>
        <w:t>nicht betriebsnotwendig</w:t>
      </w:r>
      <w:r>
        <w:rPr>
          <w:rFonts w:ascii="Times New Roman;Times;serif" w:hAnsi="Times New Roman;Times;serif"/>
          <w:sz w:val="24"/>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reduce its share capital to the minimum allowed under then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To the extent that the fulfilment of any obligation or the application of proceeds from the enforcement of any security or guarantee to satisfy Swiss Restricted Obligations are subject to Swiss Withholding Tax, the Swiss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shall: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use its best efforts to procure that the fulfilment of such obligation or the application of such enforcement proceeds can be made without deduction of Swiss Withholding Tax by discharging the liability of such tax by notification pursuant to applicable law rather than payment of the tax;</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if the notification procedure pursuant to sub-paragraph (A) above does not apply, deduct the Swiss Withholding Tax at such rate (i) as in force from time to time or (ii) as provided by any applicable double tax treaties, from the respective amount to be paid and promptly pay any such Swiss Withholding Tax deducted to the Swiss Federal Tax Administration;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notify and provide the Administrative Agent with evidence that such a notification of the Swiss Federal Tax Administration has been made or, as the case may be, such Swiss Withholding Tax deducted has been paid to the Swiss Federal Tax Administration;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shall use its best efforts to procure that any person who is entitled to a full or partial refund of the Swiss Withholding Tax deducted pursuant to this paragraph (ii):</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requests a refund of the Swiss Withholding Tax under applicable law as soon as possible;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pays promptly to the Administrative Agent upon receipt any amount so refunded to cover any outstanding part of the Swiss Restricted Obligations;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notwithstanding anything to the contrary in any Loan Document, shall not be required to gross up, indemnify or hold harmless any Lender or Issuing Bank for the deduction of Swiss Withholding Tax in an amount exceeding the Swiss Limitation, provided that this should not in any way limit any obligations of any other Loan Party under the Loan Documents to indemnify the Lenders and Issuing Banks in respect of the deduction of the Swiss Withholding Tax.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9.13</w:t>
      </w:r>
      <w:r>
        <w:rPr>
          <w:rFonts w:ascii="Times New Roman;Times;serif" w:hAnsi="Times New Roman;Times;serif"/>
          <w:sz w:val="24"/>
          <w:u w:val="single"/>
        </w:rPr>
        <w:t>Irish Law Guarantee Limitations</w:t>
      </w:r>
      <w:r>
        <w:rPr>
          <w:rFonts w:ascii="Times New Roman;Times;serif" w:hAnsi="Times New Roman;Times;serif"/>
          <w:sz w:val="20"/>
        </w:rPr>
        <w:t xml:space="preserve"> </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Notwithstanding anything to the contrary in this Agreement, and any other provisions in the Security Documents to the contrary, the guarantee obligations of any Guarantor incorporated under the laws of Ireland or having its registered office in Ireland under this Agreement and any Security Document shall be deemed not to have been undertaken or incurred to the extent that if they apply to a liability the same would constitute unlawful financial assistance within the meaning of Section 82 of the Irish Companies Act or would result in a breach of Section 239 of the Irish Companies Act.</w:t>
      </w:r>
    </w:p>
    <w:p>
      <w:pPr>
        <w:pStyle w:val="TextBody"/>
        <w:bidi w:val="0"/>
        <w:spacing w:before="0" w:after="0"/>
        <w:ind w:left="0" w:right="0" w:hanging="0"/>
        <w:jc w:val="center"/>
        <w:rPr>
          <w:rFonts w:ascii="Times New Roman;Times;serif" w:hAnsi="Times New Roman;Times;serif"/>
          <w:b/>
          <w:caps/>
          <w:sz w:val="24"/>
        </w:rPr>
      </w:pPr>
      <w:r>
        <w:rPr>
          <w:rFonts w:ascii="Times New Roman;Times;serif" w:hAnsi="Times New Roman;Times;serif"/>
          <w:b/>
          <w:caps/>
          <w:sz w:val="24"/>
        </w:rPr>
        <w:t>Article 10</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10.01</w:t>
      </w:r>
      <w:r>
        <w:rPr>
          <w:rFonts w:ascii="Times New Roman;Times;serif" w:hAnsi="Times New Roman;Times;serif"/>
          <w:sz w:val="24"/>
          <w:u w:val="single"/>
        </w:rPr>
        <w:t>Notices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Except in the case of notices and other communications expressly permitted to be given by telephone (and subject to paragraph (b) below), all notices and other communications provided for herein shall be in writing (including electronic communications) and shall be delivered by hand or overnight courier service, mailed by certified or registered mail or sent by electronic communications,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if to any Loan Party, in care of the Parent Borrower (including in its capacity as the Borrower Representative) at:</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Fluence Energy, LLC</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4601 Fairfax Drive, Suite 600</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Arlington, VA 22203</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United States</w:t>
        <w:br/>
        <w:t xml:space="preserve">Attention:  Ahmed Pasha and Jie Yuan </w:t>
        <w:br/>
        <w:t xml:space="preserve">Email:  Ahmed.pasha@fluenceenergy.com and </w:t>
        <w:br/>
        <w:t>Jie.Yuan@fluenceenergy.com</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With copies (which shall not constitute notice) to:</w:t>
      </w:r>
    </w:p>
    <w:p>
      <w:pPr>
        <w:pStyle w:val="TextBody"/>
        <w:bidi w:val="0"/>
        <w:spacing w:before="0" w:after="0"/>
        <w:ind w:left="2160" w:right="0" w:hanging="0"/>
        <w:jc w:val="left"/>
        <w:rPr/>
      </w:pPr>
      <w:r>
        <w:rPr/>
        <w:t>​</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McGuireWoods LLP</w:t>
        <w:br/>
        <w:t>201 N. Tryon Street</w:t>
        <w:br/>
        <w:t>Charlotte, NC 28202</w:t>
        <w:br/>
        <w:t>Attention: Kyle Luebke</w:t>
        <w:br/>
        <w:t>Email: kluebke@mcguirewoods.com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if to the Administrative Agent, to it 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 xml:space="preserve">Citibank, N.A. </w:t>
        <w:br/>
        <w:t>1 Penns Way, OPS 2/2</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 xml:space="preserve">New Castle, DE 19720 </w:t>
        <w:br/>
        <w:t>Email: usagencyservicing@citi.com</w:t>
      </w:r>
    </w:p>
    <w:p>
      <w:pPr>
        <w:pStyle w:val="TextBody"/>
        <w:bidi w:val="0"/>
        <w:spacing w:before="0" w:after="0"/>
        <w:ind w:left="2160" w:right="0" w:hanging="0"/>
        <w:jc w:val="left"/>
        <w:rPr/>
      </w:pPr>
      <w:r>
        <w:rPr/>
        <w:t>​</w:t>
      </w:r>
    </w:p>
    <w:p>
      <w:pPr>
        <w:pStyle w:val="TextBody"/>
        <w:bidi w:val="0"/>
        <w:spacing w:before="0" w:after="0"/>
        <w:ind w:left="2160" w:right="0" w:hanging="0"/>
        <w:jc w:val="left"/>
        <w:rPr>
          <w:rFonts w:ascii="Times New Roman;Times;serif" w:hAnsi="Times New Roman;Times;serif"/>
          <w:sz w:val="24"/>
        </w:rPr>
      </w:pPr>
      <w:r>
        <w:rPr>
          <w:rFonts w:ascii="Times New Roman;Times;serif" w:hAnsi="Times New Roman;Times;serif"/>
          <w:sz w:val="24"/>
        </w:rPr>
        <w:t>With copies (which shall not constitute notice) to:</w:t>
      </w:r>
    </w:p>
    <w:p>
      <w:pPr>
        <w:pStyle w:val="TextBody"/>
        <w:bidi w:val="0"/>
        <w:spacing w:before="0" w:after="0"/>
        <w:ind w:left="2160" w:right="0" w:hanging="0"/>
        <w:jc w:val="left"/>
        <w:rPr/>
      </w:pPr>
      <w:r>
        <w:rPr/>
        <w:t>​</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Paul Hastings LLP</w:t>
        <w:br/>
        <w:t>695 Town Center Drive, Seventeenth Floor</w:t>
        <w:br/>
        <w:t>Costa Mesa, CA 92626</w:t>
        <w:br/>
        <w:t>Attention: Katherine Bell</w:t>
        <w:br/>
        <w:t>Email: katherinebell@paulhastings.com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if to any other Lender, to it at its address (or telecopy number) set forth in its Administrative Questionnaire.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With respect to any Issuing Bank, at its address provided by notice to the other parties hereto.</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Notices and other communications sent by hand or overnight courier service, or mailed by certified or registered mail, shall be deemed to have been given when received. Notices and other communications delivered through electronic communications to the extent provided in subsection (b) below, shall be effective as provided in such subsection (b).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Notices and other communications to the Lenders and the Issuing Banks hereunder may be delivered or furnished by electronic communications pursuant to procedures approved by the Administrative Agent;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the foregoing shall not apply to notices pursuant to </w:t>
      </w:r>
      <w:r>
        <w:rPr>
          <w:rFonts w:ascii="Times New Roman;Times;serif" w:hAnsi="Times New Roman;Times;serif"/>
          <w:sz w:val="24"/>
          <w:u w:val="single"/>
        </w:rPr>
        <w:t>Article 2</w:t>
      </w:r>
      <w:r>
        <w:rPr>
          <w:rFonts w:ascii="Times New Roman;Times;serif" w:hAnsi="Times New Roman;Times;serif"/>
          <w:sz w:val="20"/>
        </w:rPr>
        <w:t xml:space="preserve"> </w:t>
      </w:r>
      <w:r>
        <w:rPr>
          <w:rFonts w:ascii="Times New Roman;Times;serif" w:hAnsi="Times New Roman;Times;serif"/>
          <w:sz w:val="24"/>
        </w:rPr>
        <w:t xml:space="preserve">unless otherwise agreed by the Administrative Agent and the applicable Lender. The Administrative Agent or the Parent Borrower may, in its discretion, agree to accept notices and other communications to it hereunder by electronic communications pursuant to procedures approved by it;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Any party hereto may change its address or telecopy number for notices and other communications hereunder by notice to the other parties 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Loan Parties agree that the Administrative Agent may make the Communications (as defined below) available to the Lenders and the Issuing Banks by posting the Communications on Debt Domain, IntraLinks, Syndtrak, or another similar electronic system (the “</w:t>
      </w:r>
      <w:r>
        <w:rPr>
          <w:rFonts w:ascii="Times New Roman;Times;serif" w:hAnsi="Times New Roman;Times;serif"/>
          <w:b/>
          <w:sz w:val="24"/>
        </w:rPr>
        <w:t>Platform</w:t>
      </w:r>
      <w:r>
        <w:rPr>
          <w:rFonts w:ascii="Times New Roman;Times;serif" w:hAnsi="Times New Roman;Times;serif"/>
          <w:sz w:val="20"/>
        </w:rPr>
        <w:t>”</w:t>
      </w:r>
      <w:r>
        <w:rPr>
          <w:rFonts w:ascii="Times New Roman;Times;serif" w:hAnsi="Times New Roman;Times;serif"/>
          <w:sz w:val="24"/>
        </w:rPr>
        <w:t>). THE PLATFORM IS PROVIDED “AS IS” AND “AS AVAILABLE.” The Agent Parties (as defined below) do not warrant the adequacy of the Platform and expressly disclaim liability for errors or omissions in the communications effected thereby (the “</w:t>
      </w:r>
      <w:r>
        <w:rPr>
          <w:rFonts w:ascii="Times New Roman;Times;serif" w:hAnsi="Times New Roman;Times;serif"/>
          <w:b/>
          <w:sz w:val="24"/>
        </w:rPr>
        <w:t>Communications</w:t>
      </w:r>
      <w:r>
        <w:rPr>
          <w:rFonts w:ascii="Times New Roman;Times;serif" w:hAnsi="Times New Roman;Times;serif"/>
          <w:sz w:val="20"/>
        </w:rPr>
        <w:t>”</w:t>
      </w:r>
      <w:r>
        <w:rPr>
          <w:rFonts w:ascii="Times New Roman;Times;serif" w:hAnsi="Times New Roman;Times;serif"/>
          <w:sz w:val="24"/>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b/>
          <w:sz w:val="24"/>
        </w:rPr>
        <w:t>Agent Parties</w:t>
      </w:r>
      <w:r>
        <w:rPr>
          <w:rFonts w:ascii="Times New Roman;Times;serif" w:hAnsi="Times New Roman;Times;serif"/>
          <w:sz w:val="20"/>
        </w:rPr>
        <w:t>”</w:t>
      </w:r>
      <w:r>
        <w:rPr>
          <w:rFonts w:ascii="Times New Roman;Times;serif" w:hAnsi="Times New Roman;Times;serif"/>
          <w:sz w:val="24"/>
        </w:rPr>
        <w:t>) be responsible or liable for damages arising from the unauthorized use by others of information or other materials obtained through internet, electronic, telecommunications or other information transmission, except to the extent that such damages have resulted from the willful misconduct or gross negligence of such Agent Party (as determined in a final, non-appealable judgment by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10.02</w:t>
      </w:r>
      <w:r>
        <w:rPr>
          <w:rFonts w:ascii="Times New Roman;Times;serif" w:hAnsi="Times New Roman;Times;serif"/>
          <w:sz w:val="24"/>
          <w:u w:val="single"/>
        </w:rPr>
        <w:t>Waivers; Amendments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No notice or demand on any Loan Party in any case shall entitle such Loan Party to any other or further notice or demand in similar or other circumstances. Without limiting the generality of the foregoing, the making of a Loan or issuance of a Letter of Credit shall not be construed as a waiver of any Default, regardless of whether the Administrative Agent, any Issuing Bank or any Lender may have had notice or knowledge of such Default at the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Subject to </w:t>
      </w:r>
      <w:r>
        <w:rPr>
          <w:rFonts w:ascii="Times New Roman;Times;serif" w:hAnsi="Times New Roman;Times;serif"/>
          <w:sz w:val="24"/>
          <w:u w:val="single"/>
        </w:rPr>
        <w:t>Section 2.11(b),</w:t>
      </w:r>
      <w:r>
        <w:rPr>
          <w:rFonts w:ascii="Times New Roman;Times;serif" w:hAnsi="Times New Roman;Times;serif"/>
          <w:sz w:val="20"/>
        </w:rPr>
        <w:t xml:space="preserve"> </w:t>
      </w:r>
      <w:r>
        <w:rPr>
          <w:rFonts w:ascii="Times New Roman;Times;serif" w:hAnsi="Times New Roman;Times;serif"/>
          <w:sz w:val="24"/>
          <w:u w:val="single"/>
        </w:rPr>
        <w:t>Section 10.02(c)</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10.02(d)</w:t>
      </w:r>
      <w:r>
        <w:rPr>
          <w:rFonts w:ascii="Times New Roman;Times;serif" w:hAnsi="Times New Roman;Times;serif"/>
          <w:sz w:val="20"/>
        </w:rPr>
        <w:t xml:space="preserve"> </w:t>
      </w:r>
      <w:r>
        <w:rPr>
          <w:rFonts w:ascii="Times New Roman;Times;serif" w:hAnsi="Times New Roman;Times;serif"/>
          <w:sz w:val="24"/>
        </w:rPr>
        <w:t xml:space="preserve">below, none of this Agreement, any other Loan Document or any provision hereof or thereof may be waived, amended or modified except pursuant to an agreement or agreements in writing entered into by the Loan Parties and the Required Lenders or by the Loan Parties and the Administrative Agent with the consent of the Required Lenders;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no such amendment, waiver or consent shall: (i) amend the definition of “Applicable Percentage” without the consent of each Lender, or extend or increase the Commitment of any Lender without the written consent of such Lender, or modify the definition of “Revolving Loan Cap” without the written consent of each Lender, (ii) reduce the principal amount of any Loan or LC Disbursement or reduce the rate of interest thereon, or reduce any fees payable hereunder, without the written consent of each Lender directly affected thereby, (iii) postpone the scheduled date of payment of the principal amount of any Loan or LC Disbursement, or any interest thereon, or any fees payable hereunder, or reduce the amount of, waive or excuse any such payment, or postpone the scheduled date of expiration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any Commitment, without the written consent of each Lender directly affected thereby;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notwithstanding clause (ii) or (iii) of this </w:t>
      </w:r>
      <w:r>
        <w:rPr>
          <w:rFonts w:ascii="Times New Roman;Times;serif" w:hAnsi="Times New Roman;Times;serif"/>
          <w:sz w:val="24"/>
          <w:u w:val="single"/>
        </w:rPr>
        <w:t>Section 10.02(b)</w:t>
      </w:r>
      <w:r>
        <w:rPr>
          <w:rFonts w:ascii="Times New Roman;Times;serif" w:hAnsi="Times New Roman;Times;serif"/>
          <w:sz w:val="24"/>
        </w:rPr>
        <w:t xml:space="preserve">, only the consent of the Required Lenders shall be necessary to waive any obligation of the Borrowers to pay interest at the default rate set forth in </w:t>
      </w:r>
      <w:r>
        <w:rPr>
          <w:rFonts w:ascii="Times New Roman;Times;serif" w:hAnsi="Times New Roman;Times;serif"/>
          <w:sz w:val="24"/>
          <w:u w:val="single"/>
        </w:rPr>
        <w:t>Section 2.10(c)</w:t>
      </w:r>
      <w:r>
        <w:rPr>
          <w:rFonts w:ascii="Times New Roman;Times;serif" w:hAnsi="Times New Roman;Times;serif"/>
          <w:sz w:val="24"/>
        </w:rPr>
        <w:t xml:space="preserve">, (iv) change </w:t>
      </w:r>
      <w:r>
        <w:rPr>
          <w:rFonts w:ascii="Times New Roman;Times;serif" w:hAnsi="Times New Roman;Times;serif"/>
          <w:sz w:val="24"/>
          <w:u w:val="single"/>
        </w:rPr>
        <w:t>Section 2.15(b)</w:t>
      </w:r>
      <w:r>
        <w:rPr>
          <w:rFonts w:ascii="Times New Roman;Times;serif" w:hAnsi="Times New Roman;Times;serif"/>
          <w:sz w:val="24"/>
        </w:rPr>
        <w:t xml:space="preserve">, </w:t>
      </w:r>
      <w:r>
        <w:rPr>
          <w:rFonts w:ascii="Times New Roman;Times;serif" w:hAnsi="Times New Roman;Times;serif"/>
          <w:sz w:val="24"/>
          <w:u w:val="single"/>
        </w:rPr>
        <w:t>Section 2.15(c)</w:t>
      </w:r>
      <w:r>
        <w:rPr>
          <w:rFonts w:ascii="Times New Roman;Times;serif" w:hAnsi="Times New Roman;Times;serif"/>
          <w:sz w:val="20"/>
        </w:rPr>
        <w:t xml:space="preserve"> </w:t>
      </w:r>
      <w:r>
        <w:rPr>
          <w:rFonts w:ascii="Times New Roman;Times;serif" w:hAnsi="Times New Roman;Times;serif"/>
          <w:sz w:val="24"/>
        </w:rPr>
        <w:t xml:space="preserve">or any other Section hereof providing for the ratable treatment of the Lenders (including, without limitation, the provisions providing for the ratable treatment of the Lenders set forth in </w:t>
      </w:r>
      <w:r>
        <w:rPr>
          <w:rFonts w:ascii="Times New Roman;Times;serif" w:hAnsi="Times New Roman;Times;serif"/>
          <w:sz w:val="24"/>
          <w:u w:val="single"/>
        </w:rPr>
        <w:t>Section 2.06(c)</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2.08(b)</w:t>
      </w:r>
      <w:r>
        <w:rPr>
          <w:rFonts w:ascii="Times New Roman;Times;serif" w:hAnsi="Times New Roman;Times;serif"/>
          <w:sz w:val="24"/>
        </w:rPr>
        <w:t xml:space="preserve">), in each case in a manner that would alter the </w:t>
      </w:r>
      <w:r>
        <w:rPr>
          <w:rFonts w:ascii="Times New Roman;Times;serif" w:hAnsi="Times New Roman;Times;serif"/>
          <w:i/>
          <w:sz w:val="24"/>
        </w:rPr>
        <w:t>pro rata</w:t>
      </w:r>
      <w:r>
        <w:rPr>
          <w:rFonts w:ascii="Times New Roman;Times;serif" w:hAnsi="Times New Roman;Times;serif"/>
          <w:sz w:val="20"/>
        </w:rPr>
        <w:t xml:space="preserve"> </w:t>
      </w:r>
      <w:r>
        <w:rPr>
          <w:rFonts w:ascii="Times New Roman;Times;serif" w:hAnsi="Times New Roman;Times;serif"/>
          <w:sz w:val="24"/>
        </w:rPr>
        <w:t xml:space="preserve">sharing of payments required thereby, without the written consent of each Lender, (v) release all or substantially all of the Guarantors or the value of the Guaranty or release all or substantially all of the Collateral, without the written consent of each Lender, except to the extent the release of any Guarantor or the Collateral is permitted pursuant to </w:t>
      </w:r>
      <w:r>
        <w:rPr>
          <w:rFonts w:ascii="Times New Roman;Times;serif" w:hAnsi="Times New Roman;Times;serif"/>
          <w:sz w:val="24"/>
          <w:u w:val="single"/>
        </w:rPr>
        <w:t>Article 8</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10.17</w:t>
      </w:r>
      <w:r>
        <w:rPr>
          <w:rFonts w:ascii="Times New Roman;Times;serif" w:hAnsi="Times New Roman;Times;serif"/>
          <w:sz w:val="20"/>
        </w:rPr>
        <w:t xml:space="preserve"> </w:t>
      </w:r>
      <w:r>
        <w:rPr>
          <w:rFonts w:ascii="Times New Roman;Times;serif" w:hAnsi="Times New Roman;Times;serif"/>
          <w:sz w:val="24"/>
        </w:rPr>
        <w:t xml:space="preserve">(in which case such release may be made by the Administrative Agent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subordinate all or any portion of the Administrative Agent’s Liens on all or any of the Collateral, or contractually subordinate all or any portion of the Obligations in right of payment or otherwise adversely affect the priority of payment of all or any portion of the Obligations, in each case without the written consent of each Lender, (viii) amend </w:t>
      </w:r>
      <w:r>
        <w:rPr>
          <w:rFonts w:ascii="Times New Roman;Times;serif" w:hAnsi="Times New Roman;Times;serif"/>
          <w:sz w:val="24"/>
          <w:u w:val="single"/>
        </w:rPr>
        <w:t>Section 7.03</w:t>
      </w:r>
      <w:r>
        <w:rPr>
          <w:rFonts w:ascii="Times New Roman;Times;serif" w:hAnsi="Times New Roman;Times;serif"/>
          <w:sz w:val="20"/>
        </w:rPr>
        <w:t xml:space="preserve"> </w:t>
      </w:r>
      <w:r>
        <w:rPr>
          <w:rFonts w:ascii="Times New Roman;Times;serif" w:hAnsi="Times New Roman;Times;serif"/>
          <w:sz w:val="24"/>
        </w:rPr>
        <w:t>without the written consent of the Administrative Agent and each Lender adversely affected thereby, (ix) amend the definition of “Alternative Currency” without the written consent of the Administrative Agent and each Lender adversely affected thereby, or (x) amend the Super-Priority Covenant without the written consent of the Supermajority Lenders. Notwithstanding anything to the contrary herein, no such agreement shall amend, modify or otherwise affect the rights or duties of the Administrative Agent or any Issuing Bank hereunder without the prior written consent of the Administrative Agent or such Issuing Bank,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This Agreement may be amended (i) as contemplated by </w:t>
      </w:r>
      <w:r>
        <w:rPr>
          <w:rFonts w:ascii="Times New Roman;Times;serif" w:hAnsi="Times New Roman;Times;serif"/>
          <w:sz w:val="24"/>
          <w:u w:val="single"/>
        </w:rPr>
        <w:t>Section 2.18</w:t>
      </w:r>
      <w:r>
        <w:rPr>
          <w:rFonts w:ascii="Times New Roman;Times;serif" w:hAnsi="Times New Roman;Times;serif"/>
          <w:sz w:val="20"/>
        </w:rPr>
        <w:t xml:space="preserve"> </w:t>
      </w:r>
      <w:r>
        <w:rPr>
          <w:rFonts w:ascii="Times New Roman;Times;serif" w:hAnsi="Times New Roman;Times;serif"/>
          <w:sz w:val="24"/>
        </w:rPr>
        <w:t>to effect New Commitments pursuant to a Lender Joinder Agreement with the consent only of the Administrative Agent, the Borrower Representative and the New Lenders providing New Commitments and (ii) as contemplated by the Agreed Security Principles with the consent only of the Administrative Agent</w:t>
      </w:r>
      <w:r>
        <w:rPr>
          <w:rFonts w:ascii="Times New Roman;Times;serif" w:hAnsi="Times New Roman;Times;serif"/>
          <w:b/>
          <w:color w:val="FF0000"/>
          <w:sz w:val="24"/>
        </w:rPr>
        <w:t>, the Collateral Agent</w:t>
      </w:r>
      <w:r>
        <w:rPr>
          <w:rFonts w:ascii="Times New Roman;Times;serif" w:hAnsi="Times New Roman;Times;serif"/>
          <w:sz w:val="20"/>
        </w:rPr>
        <w:t xml:space="preserve"> </w:t>
      </w:r>
      <w:r>
        <w:rPr>
          <w:rFonts w:ascii="Times New Roman;Times;serif" w:hAnsi="Times New Roman;Times;serif"/>
          <w:sz w:val="24"/>
        </w:rPr>
        <w:t>and the Borrower Representative to the extent necessary to reflect any requirements of applicable local laws in any relevant jurisdiction and to include guarantee limitations applicable to any Foreign Loan Party in accordance with the requirements of the Agreed Security Principles in each relevant jurisdiction. If the Administrative Agent and the Borrower Representative acting together identify any ambiguity, omission, mistake, typographical error or other defect in any provision of this Agreement or any other Loan Document, then the Administrative Agent and the Borrower Representative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Except as provided in Section 5.11 or </w:t>
      </w:r>
      <w:r>
        <w:rPr>
          <w:rFonts w:ascii="Times New Roman;Times;serif" w:hAnsi="Times New Roman;Times;serif"/>
          <w:sz w:val="24"/>
          <w:u w:val="single"/>
        </w:rPr>
        <w:t>Section 9.07</w:t>
      </w:r>
      <w:r>
        <w:rPr>
          <w:rFonts w:ascii="Times New Roman;Times;serif" w:hAnsi="Times New Roman;Times;serif"/>
          <w:sz w:val="24"/>
        </w:rPr>
        <w:t xml:space="preserve">, no provision of </w:t>
      </w:r>
      <w:r>
        <w:rPr>
          <w:rFonts w:ascii="Times New Roman;Times;serif" w:hAnsi="Times New Roman;Times;serif"/>
          <w:sz w:val="24"/>
          <w:u w:val="single"/>
        </w:rPr>
        <w:t>Article 9</w:t>
      </w:r>
      <w:r>
        <w:rPr>
          <w:rFonts w:ascii="Times New Roman;Times;serif" w:hAnsi="Times New Roman;Times;serif"/>
          <w:sz w:val="20"/>
        </w:rPr>
        <w:t xml:space="preserve"> </w:t>
      </w:r>
      <w:r>
        <w:rPr>
          <w:rFonts w:ascii="Times New Roman;Times;serif" w:hAnsi="Times New Roman;Times;serif"/>
          <w:sz w:val="24"/>
        </w:rPr>
        <w:t xml:space="preserve">may be waived, amended or modified except pursuant to an agreement or agreements in writing entered into between the Administrative Agent and each Guarantor with respect to which such waiver, amendment or modification is to apply, in accordance with this </w:t>
      </w:r>
      <w:r>
        <w:rPr>
          <w:rFonts w:ascii="Times New Roman;Times;serif" w:hAnsi="Times New Roman;Times;serif"/>
          <w:sz w:val="24"/>
          <w:u w:val="single"/>
        </w:rPr>
        <w:t>Section 10.02</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10.03</w:t>
      </w:r>
      <w:r>
        <w:rPr>
          <w:rFonts w:ascii="Times New Roman;Times;serif" w:hAnsi="Times New Roman;Times;serif"/>
          <w:sz w:val="24"/>
          <w:u w:val="single"/>
        </w:rPr>
        <w:t>Expenses; Indemnity; Damage Waiver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Borrowers shall pay (i) all reasonable and documented out-of-pocket expenses incurred by the Administrative Agent and its Affiliates, including the reasonable and documented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syndication of the credit facilities provided for herein, the preparation, execution, delivery and administration of this Agreement, any other Loan Document or any amendments, modifications or waivers of the provisions hereof or thereof (whether or not the transactions contemplated hereby or thereby shall be consummated), (ii) costs, expenses, Taxes, assessments and other charges incurred by the Administrative Agent or any Lender in connection with any filing, registration, recording, or perfection of any security interest contemplated by this Agreement, (iii) all reasonable out-of-pocket expenses incurred by any Issuing Bank in connection with the issuance, amendment, renewal or extension of any Letter of Credit or any demand for payment thereunder and (iv) all out-of-pocket expenses incurred by the Administrative Agent, any Issuing Bank or any Lender, including the fees, disbursements and other charges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 include a single special counsel acting in multiple jurisdictions) and one specialty counsel in each reasonably necessary specialty area) to all affected Persons), in connection with the enforcement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Loan Party, jointly and severally, shall indemnify the Administrative Agent, the Arrangers, any Issuing Bank and each Lender, any Australian Controller appointed by the Australian Security Trustee, and each Related Party, successor or assign of any of the foregoing Persons (each such Person being called an “</w:t>
      </w:r>
      <w:r>
        <w:rPr>
          <w:rFonts w:ascii="Times New Roman;Times;serif" w:hAnsi="Times New Roman;Times;serif"/>
          <w:b/>
          <w:sz w:val="24"/>
        </w:rPr>
        <w:t>Indemnitee</w:t>
      </w:r>
      <w:r>
        <w:rPr>
          <w:rFonts w:ascii="Times New Roman;Times;serif" w:hAnsi="Times New Roman;Times;serif"/>
          <w:sz w:val="20"/>
        </w:rPr>
        <w:t>”</w:t>
      </w:r>
      <w:r>
        <w:rPr>
          <w:rFonts w:ascii="Times New Roman;Times;serif" w:hAnsi="Times New Roman;Times;serif"/>
          <w:sz w:val="24"/>
        </w:rPr>
        <w:t>) against, and hold each Indemnitee harmless from, any and all losses, claims, damages, liabilities and related expenses, including the reasonable and documented out-of-pocket fees, charges and disbursements of one firm of primary counsel for all such Persons taken as a whole, one firm of local counsel in each relevant jurisdiction (which may include a single special counsel acting in multiple jurisdictions) as may be necessary in the reasonable judgment of the Administrative Agent, and one firm of specialty counsel in each reasonably necessary specialty area, as determined in the reasonable judgment of the Administrative Agent (and, solely in the case of an actual or perceived conflict of interest, one additional counsel (and, if necessary, one local counsel in each relevant jurisdiction (which may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include a single special counsel acting in multiple jurisdictions) and one specialty counsel in each reasonably necessary specialty area) to all affected Persons) for any Indemnitee, incurred by or asserted against any Indemnitee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Parent or any of its Subsidiaries, or any Environmental Liability related in any way to the Parent or any of its Subsidiaries, or (iv) any actual or prospective claim, litigation, investigation or proceeding relating to any of the foregoing, whether or not such claim, litigation, investigation or proceeding is brought by the Parent, the Parent Borrower or their respective equity holders, Affiliates, creditors or any other third Person and whether based on contract, tort or any other theory and regardless of whether any Indemnitee is a party thereto;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indemnity shall not, as to any Indemnitee, be available, (x) with respect to Taxes and amounts relating thereto (other than any Taxes that represent losses, claims, damages, etc. arising from any non-Tax claim), the indemnification for which shall be governed solely and exclusively by </w:t>
      </w:r>
      <w:r>
        <w:rPr>
          <w:rFonts w:ascii="Times New Roman;Times;serif" w:hAnsi="Times New Roman;Times;serif"/>
          <w:sz w:val="24"/>
          <w:u w:val="single"/>
        </w:rPr>
        <w:t>Section 2.14</w:t>
      </w:r>
      <w:r>
        <w:rPr>
          <w:rFonts w:ascii="Times New Roman;Times;serif" w:hAnsi="Times New Roman;Times;serif"/>
          <w:sz w:val="24"/>
        </w:rPr>
        <w:t>, (y) to the extent that such losses, claims, damages, liabilities or related expenses are determined by a court of competent jurisdiction by final and non-appealable judgment to have resulted from the bad faith, gross negligence, willful misconduct or material breach of the Loan Documents by such Indemnitee or (z) to the extent that such losses, claims, damages, liabilities or related expenses arise from any proceeding that does not involve the Parent, the Parent Borrower or any of their respective Affiliates and that is brought by an Indemnitee against any other Indemnitee, other than any proceeding against the Administrative Agent or any Arranger, in each case acting in such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To the extent that any Loan Party fails to pay any amount required to be paid by it to the Administrative Agent or any Issuing Bank under </w:t>
      </w:r>
      <w:r>
        <w:rPr>
          <w:rFonts w:ascii="Times New Roman;Times;serif" w:hAnsi="Times New Roman;Times;serif"/>
          <w:sz w:val="24"/>
          <w:u w:val="single"/>
        </w:rPr>
        <w:t>paragraph (a)</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(b)</w:t>
      </w:r>
      <w:r>
        <w:rPr>
          <w:rFonts w:ascii="Times New Roman;Times;serif" w:hAnsi="Times New Roman;Times;serif"/>
          <w:sz w:val="20"/>
        </w:rPr>
        <w:t xml:space="preserve"> </w:t>
      </w:r>
      <w:r>
        <w:rPr>
          <w:rFonts w:ascii="Times New Roman;Times;serif" w:hAnsi="Times New Roman;Times;serif"/>
          <w:sz w:val="24"/>
        </w:rPr>
        <w:t xml:space="preserve">of this Section, each Lender severally agrees to pay to the Administrative Agent and the applicable Issuing Bank, as the case may be, such Lender’s Applicable Percentage (determined as of the time that the applicable unreimbursed expense or indemnity payment is sought) of such unpaid amount;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the unreimbursed expense or indemnified loss, claim, damage, liability or related expense, as the case may be, was incurred by or asserted against the Administrative Agent or such Issuing Bank in their capacity as such;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notwithstanding anything to the contrary herein, no Lender shall be liable for any portion of any such unreimbursed expenses or indemnified loss, claim, damage, liability or related expense, as the case may be, of the Administrative Agent and/or the Issuing Banks (or, in each case, any Affiliate thereof) as a result of the bad faith, gross negligence or willful misconduct of the relevant Person or Persons, as determined by a court of competent jurisdiction by a final or non-appealable judgment.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Without limiting in any way the indemnification obligations of the Loan Parties pursuant to </w:t>
      </w:r>
      <w:r>
        <w:rPr>
          <w:rFonts w:ascii="Times New Roman;Times;serif" w:hAnsi="Times New Roman;Times;serif"/>
          <w:sz w:val="24"/>
          <w:u w:val="single"/>
        </w:rPr>
        <w:t>Section 10.03(b)</w:t>
      </w:r>
      <w:r>
        <w:rPr>
          <w:rFonts w:ascii="Times New Roman;Times;serif" w:hAnsi="Times New Roman;Times;serif"/>
          <w:sz w:val="20"/>
        </w:rPr>
        <w:t xml:space="preserve"> </w:t>
      </w:r>
      <w:r>
        <w:rPr>
          <w:rFonts w:ascii="Times New Roman;Times;serif" w:hAnsi="Times New Roman;Times;serif"/>
          <w:sz w:val="24"/>
        </w:rPr>
        <w:t xml:space="preserve">or of the Lenders pursuant to </w:t>
      </w:r>
      <w:r>
        <w:rPr>
          <w:rFonts w:ascii="Times New Roman;Times;serif" w:hAnsi="Times New Roman;Times;serif"/>
          <w:sz w:val="24"/>
          <w:u w:val="single"/>
        </w:rPr>
        <w:t>Section 8.06</w:t>
      </w:r>
      <w:r>
        <w:rPr>
          <w:rFonts w:ascii="Times New Roman;Times;serif" w:hAnsi="Times New Roman;Times;serif"/>
          <w:sz w:val="24"/>
        </w:rPr>
        <w:t>, to the extent permitted by applicable law, each party hereto shall not assert, and hereby waives, any claim against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Indemnitee or any Loan Party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Letter of Credit or the use of the proceeds thereof;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nothing in this clause (d) shall relieve any Loan Party of any obligation it may have to indemnify an Indemnitee against special, indirect, consequential or punitive damages asserted against such Indemnitee by a third party.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All amounts due under this Section shall be payable promptly after written demand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10.04</w:t>
      </w:r>
      <w:r>
        <w:rPr>
          <w:rFonts w:ascii="Times New Roman;Times;serif" w:hAnsi="Times New Roman;Times;serif"/>
          <w:sz w:val="24"/>
          <w:u w:val="single"/>
        </w:rPr>
        <w:t>Successors and Assigns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(ii) no Guarantor shall have the right to assign or transfer any of its rights or obligations hereunder or any interest herein (and any such assignment or transfer shall be void) except as expressly contemplated by this Agreement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(including any Affiliate of any Issuing Bank that issues any Letter of Credit), the Related Parties of each of the Administrative Agent, the Issuing Banks and the Lenders) any legal or equitable right, remedy or claim under or by reason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(i)Subject to the conditions set forth in paragraph (b)(ii) below, any Lender may assign to one or more assignees (but not to any Loan Party or an Affiliate thereof)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the Parent Borrower;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 consent of the Parent Borrower shall be required for an assignment to a Lender, an Affiliate of a Lender, an Approved Fund or, if an Event of Default has occurred and is continuing, any other assignee; and </w:t>
      </w:r>
      <w:r>
        <w:rPr>
          <w:rFonts w:ascii="Times New Roman;Times;serif" w:hAnsi="Times New Roman;Times;serif"/>
          <w:i/>
          <w:sz w:val="24"/>
        </w:rPr>
        <w:t>provided further</w:t>
      </w:r>
      <w:r>
        <w:rPr>
          <w:rFonts w:ascii="Times New Roman;Times;serif" w:hAnsi="Times New Roman;Times;serif"/>
          <w:sz w:val="20"/>
        </w:rPr>
        <w:t xml:space="preserve"> </w:t>
      </w:r>
      <w:r>
        <w:rPr>
          <w:rFonts w:ascii="Times New Roman;Times;serif" w:hAnsi="Times New Roman;Times;serif"/>
          <w:sz w:val="24"/>
        </w:rPr>
        <w:t>that the Parent Borrower shall be deemed to have consented to any such assignment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unless it shall object thereto by written notice to the Administrative Agent within 10 Business Days after having received notice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Administrative Agent;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consent of the Administrative Agent shall be required for an assignment of any Commitment to an assignee that is a Lender with a Commitment immediately prior to giving effect to such assignment, an Affiliate of a Lender, or an Approved Fund;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Issuing Bank.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Assignments shall be subject to the following additional conditions: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Parent Borrower and the Administrative Agent otherwise consent;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such consent of the Parent Borrower shall be required if an Event of Default has occurred and is continuing;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partial assignment shall be made as an assignment of a proportionate part of all the assigning Lender’s rights and obligations under this Agreement, including, for greater certainty, such assigning Lender’s obligation to make Loans and other extensions of credit available to all Borrowers in each Agreed Currency;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parties to each assignment shall execute and deliver to the Administrative Agent an Assignment and Assumption, together with a processing and recordation fee of $3,500;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the Parent Borrower and their respective Affiliates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no such assignment shall be made to (i) any Loan Party nor any Affiliate of a Loan Party, and (ii) any Defaulting Lender or any of its subsidiaries, or any Person, who, upon becoming a Lender hereunder, would constitute any of the foregoing Persons described in this </w:t>
      </w:r>
      <w:r>
        <w:rPr>
          <w:rFonts w:ascii="Times New Roman;Times;serif" w:hAnsi="Times New Roman;Times;serif"/>
          <w:sz w:val="24"/>
          <w:u w:val="single"/>
        </w:rPr>
        <w:t>subsection (E)(ii)</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sufficient, upon distribution thereof as appropriate (which may be outright payment, purchases by the assignee of participations or subparticipations, or other compensating actions, including funding, with the consent of the Parent Borrower and the Administrative Agent, the applicable </w:t>
      </w:r>
      <w:r>
        <w:rPr>
          <w:rFonts w:ascii="Times New Roman;Times;serif" w:hAnsi="Times New Roman;Times;serif"/>
          <w:i/>
          <w:sz w:val="24"/>
        </w:rPr>
        <w:t>pro rata</w:t>
      </w:r>
      <w:r>
        <w:rPr>
          <w:rFonts w:ascii="Times New Roman;Times;serif" w:hAnsi="Times New Roman;Times;serif"/>
          <w:sz w:val="20"/>
        </w:rPr>
        <w:t xml:space="preserve"> </w:t>
      </w:r>
      <w:r>
        <w:rPr>
          <w:rFonts w:ascii="Times New Roman;Times;serif" w:hAnsi="Times New Roman;Times;serif"/>
          <w:sz w:val="24"/>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Times;serif" w:hAnsi="Times New Roman;Times;serif"/>
          <w:i/>
          <w:sz w:val="24"/>
        </w:rPr>
        <w:t>pro rata</w:t>
      </w:r>
      <w:r>
        <w:rPr>
          <w:rFonts w:ascii="Times New Roman;Times;serif" w:hAnsi="Times New Roman;Times;serif"/>
          <w:sz w:val="20"/>
        </w:rPr>
        <w:t xml:space="preserve"> </w:t>
      </w:r>
      <w:r>
        <w:rPr>
          <w:rFonts w:ascii="Times New Roman;Times;serif" w:hAnsi="Times New Roman;Times;serif"/>
          <w:sz w:val="24"/>
        </w:rPr>
        <w:t>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no assignment shall be made to any Disqualified Lender;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notwithstanding anything in this Agreement or any other Loan Document to the contrary, each Loan Party and the Lenders acknowledge and agree that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w:t>
      </w:r>
      <w:r>
        <w:rPr>
          <w:rFonts w:ascii="Times New Roman;Times;serif" w:hAnsi="Times New Roman;Times;serif"/>
          <w:sz w:val="24"/>
          <w:u w:val="single"/>
        </w:rPr>
        <w:t>x</w:t>
      </w:r>
      <w:r>
        <w:rPr>
          <w:rFonts w:ascii="Times New Roman;Times;serif" w:hAnsi="Times New Roman;Times;serif"/>
          <w:sz w:val="24"/>
        </w:rPr>
        <w:t>) be obligated to ascertain, monitor or inquire as to whether any Lender or Participant or potential Lender or Participant is a Disqualified Lender or (</w:t>
      </w:r>
      <w:r>
        <w:rPr>
          <w:rFonts w:ascii="Times New Roman;Times;serif" w:hAnsi="Times New Roman;Times;serif"/>
          <w:sz w:val="24"/>
          <w:u w:val="single"/>
        </w:rPr>
        <w:t>y</w:t>
      </w:r>
      <w:r>
        <w:rPr>
          <w:rFonts w:ascii="Times New Roman;Times;serif" w:hAnsi="Times New Roman;Times;serif"/>
          <w:sz w:val="24"/>
        </w:rPr>
        <w:t>) have any liability with respect to or arising out of any assignment or participation of Loans, or disclosure of confidential information, to, or the restrictions on any exercise of rights or remedies of, any Disqualified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sz w:val="24"/>
          <w:u w:val="single"/>
        </w:rPr>
        <w:t>Section 2.12</w:t>
      </w:r>
      <w:r>
        <w:rPr>
          <w:rFonts w:ascii="Times New Roman;Times;serif" w:hAnsi="Times New Roman;Times;serif"/>
          <w:sz w:val="24"/>
        </w:rPr>
        <w:t xml:space="preserve">, </w:t>
      </w:r>
      <w:r>
        <w:rPr>
          <w:rFonts w:ascii="Times New Roman;Times;serif" w:hAnsi="Times New Roman;Times;serif"/>
          <w:sz w:val="24"/>
          <w:u w:val="single"/>
        </w:rPr>
        <w:t>Section 2.13</w:t>
      </w:r>
      <w:r>
        <w:rPr>
          <w:rFonts w:ascii="Times New Roman;Times;serif" w:hAnsi="Times New Roman;Times;serif"/>
          <w:sz w:val="24"/>
        </w:rPr>
        <w:t xml:space="preserve">, </w:t>
      </w:r>
      <w:r>
        <w:rPr>
          <w:rFonts w:ascii="Times New Roman;Times;serif" w:hAnsi="Times New Roman;Times;serif"/>
          <w:sz w:val="24"/>
          <w:u w:val="single"/>
        </w:rPr>
        <w:t>Section 2.14</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10.03)</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4"/>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amounts (including interest) on the Loans and LC Disbursements owing to, each Lender pursuant to the terms hereof from time to time (the “</w:t>
      </w:r>
      <w:r>
        <w:rPr>
          <w:rFonts w:ascii="Times New Roman;Times;serif" w:hAnsi="Times New Roman;Times;serif"/>
          <w:b/>
          <w:sz w:val="24"/>
        </w:rPr>
        <w:t>Register</w:t>
      </w:r>
      <w:r>
        <w:rPr>
          <w:rFonts w:ascii="Times New Roman;Times;serif" w:hAnsi="Times New Roman;Times;serif"/>
          <w:sz w:val="20"/>
        </w:rPr>
        <w:t>”</w:t>
      </w:r>
      <w:r>
        <w:rPr>
          <w:rFonts w:ascii="Times New Roman;Times;serif" w:hAnsi="Times New Roman;Times;serif"/>
          <w:sz w:val="24"/>
        </w:rPr>
        <w:t>). The entries 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any Borrower, any Issuing Bank and any Lender, at any reasonable time and from time to time upon reasonable prior notice. The Loans (including principal and interest) are registered obligations and the right, title, and interest of any Lender or its assigns in and to such Loans shall be transferable only upon notation of such transfer in the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w:t>
      </w:r>
      <w:r>
        <w:rPr>
          <w:rFonts w:ascii="Times New Roman;Times;serif" w:hAnsi="Times New Roman;Times;serif"/>
          <w:sz w:val="24"/>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if either the assigning Lender or the assignee shall have failed to make any payment required to be made by it pursuant to </w:t>
      </w:r>
      <w:r>
        <w:rPr>
          <w:rFonts w:ascii="Times New Roman;Times;serif" w:hAnsi="Times New Roman;Times;serif"/>
          <w:sz w:val="24"/>
          <w:u w:val="single"/>
        </w:rPr>
        <w:t>Section 2.04(b)</w:t>
      </w:r>
      <w:r>
        <w:rPr>
          <w:rFonts w:ascii="Times New Roman;Times;serif" w:hAnsi="Times New Roman;Times;serif"/>
          <w:sz w:val="24"/>
        </w:rPr>
        <w:t xml:space="preserve">, </w:t>
      </w:r>
      <w:r>
        <w:rPr>
          <w:rFonts w:ascii="Times New Roman;Times;serif" w:hAnsi="Times New Roman;Times;serif"/>
          <w:sz w:val="24"/>
          <w:u w:val="single"/>
        </w:rPr>
        <w:t>Section 2.15(d)</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Section 8.06</w:t>
      </w:r>
      <w:r>
        <w:rPr>
          <w:rFonts w:ascii="Times New Roman;Times;serif" w:hAnsi="Times New Roman;Times;serif"/>
          <w:sz w:val="24"/>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(i)Any Lender may, without the consent of, or notice to, any Borrower or the Administrative Agent or any Issuing Bank, sell participations to one or more banks or other entities (but not to any Loan Party, an Affiliate thereof or a Disqualified Lender) (a “</w:t>
      </w:r>
      <w:r>
        <w:rPr>
          <w:rFonts w:ascii="Times New Roman;Times;serif" w:hAnsi="Times New Roman;Times;serif"/>
          <w:b/>
          <w:sz w:val="24"/>
        </w:rPr>
        <w:t>Participant</w:t>
      </w:r>
      <w:r>
        <w:rPr>
          <w:rFonts w:ascii="Times New Roman;Times;serif" w:hAnsi="Times New Roman;Times;serif"/>
          <w:sz w:val="20"/>
        </w:rPr>
        <w:t>”</w:t>
      </w:r>
      <w:r>
        <w:rPr>
          <w:rFonts w:ascii="Times New Roman;Times;serif" w:hAnsi="Times New Roman;Times;serif"/>
          <w:sz w:val="24"/>
        </w:rPr>
        <w:t xml:space="preserve">) in all or a portion of such Lender’s rights and obligations under this Agreement (including all or a portion of its Commitment and the Loans owing to it);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such agreement or instrument may provide that such Lender will not, without the consent of the Participant, agree to any amendment, modification or waiver described in the first proviso to </w:t>
      </w:r>
      <w:r>
        <w:rPr>
          <w:rFonts w:ascii="Times New Roman;Times;serif" w:hAnsi="Times New Roman;Times;serif"/>
          <w:sz w:val="24"/>
          <w:u w:val="single"/>
        </w:rPr>
        <w:t>Section 10.02(b)</w:t>
      </w:r>
      <w:r>
        <w:rPr>
          <w:rFonts w:ascii="Times New Roman;Times;serif" w:hAnsi="Times New Roman;Times;serif"/>
          <w:sz w:val="20"/>
        </w:rPr>
        <w:t xml:space="preserve"> </w:t>
      </w:r>
      <w:r>
        <w:rPr>
          <w:rFonts w:ascii="Times New Roman;Times;serif" w:hAnsi="Times New Roman;Times;serif"/>
          <w:sz w:val="24"/>
        </w:rPr>
        <w:t xml:space="preserve">that affects such Participant. Subject to paragraph (c)(ii) of this Section, each Borrower agrees that each Participant shall be entitled to the benefits of </w:t>
      </w:r>
      <w:r>
        <w:rPr>
          <w:rFonts w:ascii="Times New Roman;Times;serif" w:hAnsi="Times New Roman;Times;serif"/>
          <w:sz w:val="24"/>
          <w:u w:val="single"/>
        </w:rPr>
        <w:t>Sections 2.12</w:t>
      </w:r>
      <w:r>
        <w:rPr>
          <w:rFonts w:ascii="Times New Roman;Times;serif" w:hAnsi="Times New Roman;Times;serif"/>
          <w:sz w:val="24"/>
        </w:rPr>
        <w:t xml:space="preserve">, </w:t>
      </w:r>
      <w:r>
        <w:rPr>
          <w:rFonts w:ascii="Times New Roman;Times;serif" w:hAnsi="Times New Roman;Times;serif"/>
          <w:sz w:val="24"/>
          <w:u w:val="single"/>
        </w:rPr>
        <w:t>2.13</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2.14</w:t>
      </w:r>
      <w:r>
        <w:rPr>
          <w:rFonts w:ascii="Times New Roman;Times;serif" w:hAnsi="Times New Roman;Times;serif"/>
          <w:sz w:val="20"/>
        </w:rPr>
        <w:t xml:space="preserve"> </w:t>
      </w:r>
      <w:r>
        <w:rPr>
          <w:rFonts w:ascii="Times New Roman;Times;serif" w:hAnsi="Times New Roman;Times;serif"/>
          <w:sz w:val="24"/>
        </w:rPr>
        <w:t xml:space="preserve">to the same extent as if it were a Lender and had acquired its interest by assignment pursuant to paragraph (b) of this Section. To the extent permitted by law, each Participant also shall be entitled to the benefits of </w:t>
      </w:r>
      <w:r>
        <w:rPr>
          <w:rFonts w:ascii="Times New Roman;Times;serif" w:hAnsi="Times New Roman;Times;serif"/>
          <w:sz w:val="24"/>
          <w:u w:val="single"/>
        </w:rPr>
        <w:t>Section 10.08</w:t>
      </w:r>
      <w:r>
        <w:rPr>
          <w:rFonts w:ascii="Times New Roman;Times;serif" w:hAnsi="Times New Roman;Times;serif"/>
          <w:sz w:val="20"/>
        </w:rPr>
        <w:t xml:space="preserve"> </w:t>
      </w:r>
      <w:r>
        <w:rPr>
          <w:rFonts w:ascii="Times New Roman;Times;serif" w:hAnsi="Times New Roman;Times;serif"/>
          <w:sz w:val="24"/>
        </w:rPr>
        <w:t xml:space="preserve">as though it were a Lender, provided such Participant agrees to be subject to </w:t>
      </w:r>
      <w:r>
        <w:rPr>
          <w:rFonts w:ascii="Times New Roman;Times;serif" w:hAnsi="Times New Roman;Times;serif"/>
          <w:sz w:val="24"/>
          <w:u w:val="single"/>
        </w:rPr>
        <w:t>Section 2.15(c)</w:t>
      </w:r>
      <w:r>
        <w:rPr>
          <w:rFonts w:ascii="Times New Roman;Times;serif" w:hAnsi="Times New Roman;Times;serif"/>
          <w:sz w:val="20"/>
        </w:rPr>
        <w:t xml:space="preserve"> </w:t>
      </w:r>
      <w:r>
        <w:rPr>
          <w:rFonts w:ascii="Times New Roman;Times;serif" w:hAnsi="Times New Roman;Times;serif"/>
          <w:sz w:val="24"/>
        </w:rPr>
        <w:t>as though it were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 xml:space="preserve">A Participant shall not be entitled to receive any greater payment under </w:t>
      </w:r>
      <w:r>
        <w:rPr>
          <w:rFonts w:ascii="Times New Roman;Times;serif" w:hAnsi="Times New Roman;Times;serif"/>
          <w:sz w:val="24"/>
          <w:u w:val="single"/>
        </w:rPr>
        <w:t>Sections 2.12</w:t>
      </w:r>
      <w:r>
        <w:rPr>
          <w:rFonts w:ascii="Times New Roman;Times;serif" w:hAnsi="Times New Roman;Times;serif"/>
          <w:sz w:val="20"/>
        </w:rPr>
        <w:t xml:space="preserve"> </w:t>
      </w:r>
      <w:r>
        <w:rPr>
          <w:rFonts w:ascii="Times New Roman;Times;serif" w:hAnsi="Times New Roman;Times;serif"/>
          <w:sz w:val="24"/>
        </w:rPr>
        <w:t xml:space="preserve">or </w:t>
      </w:r>
      <w:r>
        <w:rPr>
          <w:rFonts w:ascii="Times New Roman;Times;serif" w:hAnsi="Times New Roman;Times;serif"/>
          <w:sz w:val="24"/>
          <w:u w:val="single"/>
        </w:rPr>
        <w:t>2.14</w:t>
      </w:r>
      <w:r>
        <w:rPr>
          <w:rFonts w:ascii="Times New Roman;Times;serif" w:hAnsi="Times New Roman;Times;serif"/>
          <w:sz w:val="20"/>
        </w:rPr>
        <w:t xml:space="preserve"> </w:t>
      </w:r>
      <w:r>
        <w:rPr>
          <w:rFonts w:ascii="Times New Roman;Times;serif" w:hAnsi="Times New Roman;Times;serif"/>
          <w:sz w:val="24"/>
        </w:rPr>
        <w:t xml:space="preserve">than the applicable Lender would have been entitled to receive with respect to the participation sold to such Participant except to the extent such entitlement to receive a greater payment results from a Change in Law requiring a payment under </w:t>
      </w:r>
      <w:r>
        <w:rPr>
          <w:rFonts w:ascii="Times New Roman;Times;serif" w:hAnsi="Times New Roman;Times;serif"/>
          <w:sz w:val="24"/>
          <w:u w:val="single"/>
        </w:rPr>
        <w:t>Section 2.12</w:t>
      </w:r>
      <w:r>
        <w:rPr>
          <w:rFonts w:ascii="Times New Roman;Times;serif" w:hAnsi="Times New Roman;Times;serif"/>
          <w:sz w:val="20"/>
        </w:rPr>
        <w:t xml:space="preserve"> </w:t>
      </w:r>
      <w:r>
        <w:rPr>
          <w:rFonts w:ascii="Times New Roman;Times;serif" w:hAnsi="Times New Roman;Times;serif"/>
          <w:sz w:val="24"/>
        </w:rPr>
        <w:t>that occurs after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the Participant acquired the applicable participation. Participants entitled to the benefits of </w:t>
      </w:r>
      <w:r>
        <w:rPr>
          <w:rFonts w:ascii="Times New Roman;Times;serif" w:hAnsi="Times New Roman;Times;serif"/>
          <w:sz w:val="24"/>
          <w:u w:val="single"/>
        </w:rPr>
        <w:t>Sections 2.12</w:t>
      </w:r>
      <w:r>
        <w:rPr>
          <w:rFonts w:ascii="Times New Roman;Times;serif" w:hAnsi="Times New Roman;Times;serif"/>
          <w:sz w:val="24"/>
        </w:rPr>
        <w:t xml:space="preserve">, </w:t>
      </w:r>
      <w:r>
        <w:rPr>
          <w:rFonts w:ascii="Times New Roman;Times;serif" w:hAnsi="Times New Roman;Times;serif"/>
          <w:sz w:val="24"/>
          <w:u w:val="single"/>
        </w:rPr>
        <w:t>2.13</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2.14</w:t>
      </w:r>
      <w:r>
        <w:rPr>
          <w:rFonts w:ascii="Times New Roman;Times;serif" w:hAnsi="Times New Roman;Times;serif"/>
          <w:sz w:val="20"/>
        </w:rPr>
        <w:t xml:space="preserve"> </w:t>
      </w:r>
      <w:r>
        <w:rPr>
          <w:rFonts w:ascii="Times New Roman;Times;serif" w:hAnsi="Times New Roman;Times;serif"/>
          <w:sz w:val="24"/>
        </w:rPr>
        <w:t xml:space="preserve">are entitled to such benefits subject to the requirements and limitations therein, including the requirements under </w:t>
      </w:r>
      <w:r>
        <w:rPr>
          <w:rFonts w:ascii="Times New Roman;Times;serif" w:hAnsi="Times New Roman;Times;serif"/>
          <w:sz w:val="24"/>
          <w:u w:val="single"/>
        </w:rPr>
        <w:t>Section 2.14(f)</w:t>
      </w:r>
      <w:r>
        <w:rPr>
          <w:rFonts w:ascii="Times New Roman;Times;serif" w:hAnsi="Times New Roman;Times;serif"/>
          <w:sz w:val="20"/>
        </w:rPr>
        <w:t xml:space="preserve"> </w:t>
      </w:r>
      <w:r>
        <w:rPr>
          <w:rFonts w:ascii="Times New Roman;Times;serif" w:hAnsi="Times New Roman;Times;serif"/>
          <w:sz w:val="24"/>
        </w:rPr>
        <w:t xml:space="preserve">(it being understood that the documentation required under </w:t>
      </w:r>
      <w:r>
        <w:rPr>
          <w:rFonts w:ascii="Times New Roman;Times;serif" w:hAnsi="Times New Roman;Times;serif"/>
          <w:sz w:val="24"/>
          <w:u w:val="single"/>
        </w:rPr>
        <w:t>Section 2.14(f)</w:t>
      </w:r>
      <w:r>
        <w:rPr>
          <w:rFonts w:ascii="Times New Roman;Times;serif" w:hAnsi="Times New Roman;Times;serif"/>
          <w:sz w:val="20"/>
        </w:rPr>
        <w:t xml:space="preserve"> </w:t>
      </w:r>
      <w:r>
        <w:rPr>
          <w:rFonts w:ascii="Times New Roman;Times;serif" w:hAnsi="Times New Roman;Times;serif"/>
          <w:sz w:val="24"/>
        </w:rPr>
        <w:t>shall be delivered to the participating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sz w:val="24"/>
        </w:rPr>
        <w:t>Participant Register</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Proposed Treasury Regulations Section 1.163-5(b) (and,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having jurisdiction over such Lender, and this Section shall not apply to any such pledge or assignment of a security interest;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no such pledge or assignment of a security interest shall release a Lender from any of its obligations hereunder or substitute any such pledgee or assignee for such Lender as a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10.05</w:t>
      </w:r>
      <w:r>
        <w:rPr>
          <w:rFonts w:ascii="Times New Roman;Times;serif" w:hAnsi="Times New Roman;Times;serif"/>
          <w:sz w:val="24"/>
          <w:u w:val="single"/>
        </w:rPr>
        <w:t>Survival</w:t>
      </w:r>
      <w:r>
        <w:rPr>
          <w:rFonts w:ascii="Times New Roman;Times;serif" w:hAnsi="Times New Roman;Times;serif"/>
          <w:sz w:val="24"/>
        </w:rPr>
        <w:t xml:space="preserve">. All covenants, agreements, representations and warranties made by any of the Loan Parties herein and in the certificates or other instruments delivered in connection with or pursuant to this Agreement or any other Loan Document shall be considered to have been relied upon by the other parties hereto and shall survive the execution and delivery of this Agreement,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or subject to any pending draw and so long as the Commitments have not expired or terminated. The provisions of </w:t>
      </w:r>
      <w:r>
        <w:rPr>
          <w:rFonts w:ascii="Times New Roman;Times;serif" w:hAnsi="Times New Roman;Times;serif"/>
          <w:sz w:val="24"/>
          <w:u w:val="single"/>
        </w:rPr>
        <w:t>Section 2.12</w:t>
      </w:r>
      <w:r>
        <w:rPr>
          <w:rFonts w:ascii="Times New Roman;Times;serif" w:hAnsi="Times New Roman;Times;serif"/>
          <w:sz w:val="24"/>
        </w:rPr>
        <w:t xml:space="preserve">, </w:t>
      </w:r>
      <w:r>
        <w:rPr>
          <w:rFonts w:ascii="Times New Roman;Times;serif" w:hAnsi="Times New Roman;Times;serif"/>
          <w:sz w:val="24"/>
          <w:u w:val="single"/>
        </w:rPr>
        <w:t>Section 2.13</w:t>
      </w:r>
      <w:r>
        <w:rPr>
          <w:rFonts w:ascii="Times New Roman;Times;serif" w:hAnsi="Times New Roman;Times;serif"/>
          <w:sz w:val="24"/>
        </w:rPr>
        <w:t xml:space="preserve">, </w:t>
      </w:r>
      <w:r>
        <w:rPr>
          <w:rFonts w:ascii="Times New Roman;Times;serif" w:hAnsi="Times New Roman;Times;serif"/>
          <w:sz w:val="24"/>
          <w:u w:val="single"/>
        </w:rPr>
        <w:t>Section 2.14</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Section 10.03</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Article 8</w:t>
      </w:r>
      <w:r>
        <w:rPr>
          <w:rFonts w:ascii="Times New Roman;Times;serif" w:hAnsi="Times New Roman;Times;serif"/>
          <w:sz w:val="20"/>
        </w:rPr>
        <w:t xml:space="preserve"> </w:t>
      </w:r>
      <w:r>
        <w:rPr>
          <w:rFonts w:ascii="Times New Roman;Times;serif" w:hAnsi="Times New Roman;Times;serif"/>
          <w:sz w:val="24"/>
        </w:rPr>
        <w:t>shall survive and remain in full force and effect regardless of the consummation of the transactions contemplated hereby, the repayment of the Loans, the expiration or termination of the Letters of Credit and the Commitments, the resignation of the Administrative Agent, the replacement of any Lender, or the termination of this Agreement or any provision 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10.06</w:t>
      </w:r>
      <w:r>
        <w:rPr>
          <w:rFonts w:ascii="Times New Roman;Times;serif" w:hAnsi="Times New Roman;Times;serif"/>
          <w:sz w:val="24"/>
          <w:u w:val="single"/>
        </w:rPr>
        <w:t>Counterparts; Integration; Effectiveness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4"/>
          <w:u w:val="single"/>
        </w:rPr>
        <w:t>Section 4.01</w:t>
      </w:r>
      <w:r>
        <w:rPr>
          <w:rFonts w:ascii="Times New Roman;Times;serif" w:hAnsi="Times New Roman;Times;serif"/>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This Agreement shall be construed as a separate agreement with respect to each Loan Party and may be amended, modified, supplemented, waived or released with respect to any Loan Party without the approval of any other Loan Party and without affecting the obligations of any other Loan Party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Times;serif" w:hAnsi="Times New Roman;Times;serif"/>
          <w:sz w:val="24"/>
          <w:u w:val="single"/>
        </w:rPr>
        <w:t>Section 10.01</w:t>
      </w:r>
      <w:r>
        <w:rPr>
          <w:rFonts w:ascii="Times New Roman;Times;serif" w:hAnsi="Times New Roman;Times;serif"/>
          <w:sz w:val="24"/>
        </w:rPr>
        <w:t>), certificate, request, statement, disclosure or authorization related to this Agreement, any other Loan Document and/or the transactions contemplated hereby and/or thereby (each an “</w:t>
      </w:r>
      <w:r>
        <w:rPr>
          <w:rFonts w:ascii="Times New Roman;Times;serif" w:hAnsi="Times New Roman;Times;serif"/>
          <w:b/>
          <w:sz w:val="24"/>
        </w:rPr>
        <w:t>Ancillary Document</w:t>
      </w:r>
      <w:r>
        <w:rPr>
          <w:rFonts w:ascii="Times New Roman;Times;serif" w:hAnsi="Times New Roman;Times;serif"/>
          <w:sz w:val="20"/>
        </w:rPr>
        <w:t>”</w:t>
      </w:r>
      <w:r>
        <w:rPr>
          <w:rFonts w:ascii="Times New Roman;Times;serif" w:hAnsi="Times New Roman;Times;serif"/>
          <w:sz w:val="24"/>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nothing herein shall require the Administrative Agent to accept Electronic Signatures in any form or format without its prior written consent and pursuant to procedures approved by it;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Loan Party hereby (A) agrees that, for all purposes, including without limitation, in connection with any workout, restructuring, enforcement of remedies, bankruptcy proceedings or litigation among the Administrative Agent, the Lenders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enforceability as any paper original, (B) agrees that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10.07</w:t>
      </w:r>
      <w:r>
        <w:rPr>
          <w:rFonts w:ascii="Times New Roman;Times;serif" w:hAnsi="Times New Roman;Times;serif"/>
          <w:sz w:val="24"/>
          <w:u w:val="single"/>
        </w:rPr>
        <w:t>Severability</w:t>
      </w:r>
      <w:r>
        <w:rPr>
          <w:rFonts w:ascii="Times New Roman;Times;serif" w:hAnsi="Times New Roman;Times;serif"/>
          <w:sz w:val="24"/>
        </w:rPr>
        <w:t xml:space="preserve">. Subject to </w:t>
      </w:r>
      <w:r>
        <w:rPr>
          <w:rFonts w:ascii="Times New Roman;Times;serif" w:hAnsi="Times New Roman;Times;serif"/>
          <w:sz w:val="24"/>
          <w:u w:val="single"/>
        </w:rPr>
        <w:t>Section 9.08</w:t>
      </w:r>
      <w:r>
        <w:rPr>
          <w:rFonts w:ascii="Times New Roman;Times;serif" w:hAnsi="Times New Roman;Times;serif"/>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10.08</w:t>
      </w:r>
      <w:r>
        <w:rPr>
          <w:rFonts w:ascii="Times New Roman;Times;serif" w:hAnsi="Times New Roman;Times;serif"/>
          <w:sz w:val="24"/>
          <w:u w:val="single"/>
        </w:rPr>
        <w:t>Right of Setoff</w:t>
      </w:r>
      <w:r>
        <w:rPr>
          <w:rFonts w:ascii="Times New Roman;Times;serif" w:hAnsi="Times New Roman;Times;serif"/>
          <w:sz w:val="24"/>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by, and other obligations (in whatever currency) at any time owing by such Lender or Affiliate to or for the credit or the account of any Loan Party against any of and all the obligations of the Loan Parties now or hereafter existing under this Agreement held by such Lender, irrespective of whether or not such Lender shall have made any demand under this Agreement and although such obligations may be unmatured;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sz w:val="24"/>
          <w:u w:val="single"/>
        </w:rPr>
        <w:t>Section 2.17</w:t>
      </w:r>
      <w:r>
        <w:rPr>
          <w:rFonts w:ascii="Times New Roman;Times;serif" w:hAnsi="Times New Roman;Times;serif"/>
          <w:sz w:val="20"/>
        </w:rPr>
        <w:t xml:space="preserve"> </w:t>
      </w:r>
      <w:r>
        <w:rPr>
          <w:rFonts w:ascii="Times New Roman;Times;serif" w:hAnsi="Times New Roman;Times;serif"/>
          <w:sz w:val="24"/>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under this Section are in addition to other rights and remedies (including other rights of setoff) which such Lender may have. Each Lender agrees to notify the Borrowers and the Administrative Agent promptly after any such setoff and application;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the failure to give such notice shall not affect the validity of such setoff and application. Notwithstanding the foregoing, to the extent prohibited by applicable law as described 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definition of “Excluded Swap Obligation,” no amounts received from, or set off with respect to, any Guarantor shall be applied to any Excluded Swap Obligations of such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10.09</w:t>
      </w:r>
      <w:r>
        <w:rPr>
          <w:rFonts w:ascii="Times New Roman;Times;serif" w:hAnsi="Times New Roman;Times;serif"/>
          <w:sz w:val="24"/>
          <w:u w:val="single"/>
        </w:rPr>
        <w:t>Governing Law; Jurisdiction; Consent to Service of Process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Subject to </w:t>
      </w:r>
      <w:r>
        <w:rPr>
          <w:rFonts w:ascii="Times New Roman;Times;serif" w:hAnsi="Times New Roman;Times;serif"/>
          <w:sz w:val="24"/>
          <w:u w:val="single"/>
        </w:rPr>
        <w:t>Section 8.13</w:t>
      </w:r>
      <w:r>
        <w:rPr>
          <w:rFonts w:ascii="Times New Roman;Times;serif" w:hAnsi="Times New Roman;Times;serif"/>
          <w:sz w:val="24"/>
        </w:rPr>
        <w:t>, this Agreement shall be construed in accordance with and governed by the law of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Each of the parties hereto hereby irrevocably and unconditionally submits, for itself and its property, to the exclusive jurisdiction of any Federal court of the United States of America sitting in New York County, Borough of Manhattan (or, in the event such court lacks subject matter jurisdiction, the Supreme Court of the State of New York sitting in New York County,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any Loan Party or its properties in the courts of any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Each party to this Agreement irrevocably consents to service of process in the manner provided for notices in </w:t>
      </w:r>
      <w:r>
        <w:rPr>
          <w:rFonts w:ascii="Times New Roman;Times;serif" w:hAnsi="Times New Roman;Times;serif"/>
          <w:sz w:val="24"/>
          <w:u w:val="single"/>
        </w:rPr>
        <w:t>Section 10.01</w:t>
      </w:r>
      <w:r>
        <w:rPr>
          <w:rFonts w:ascii="Times New Roman;Times;serif" w:hAnsi="Times New Roman;Times;serif"/>
          <w:sz w:val="24"/>
        </w:rPr>
        <w:t>. Nothing in this Agreement will affect the right of any party to this Agreement to serve process in any other manner permitted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10.10</w:t>
      </w:r>
      <w:r>
        <w:rPr>
          <w:rFonts w:ascii="Times New Roman;Times;serif" w:hAnsi="Times New Roman;Times;serif"/>
          <w:sz w:val="24"/>
          <w:u w:val="single"/>
        </w:rPr>
        <w:t>Waiver Of Jury Trial</w:t>
      </w:r>
      <w:r>
        <w:rPr>
          <w:rFonts w:ascii="Times New Roman;Times;serif" w:hAnsi="Times New Roman;Times;serif"/>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10.11</w:t>
      </w:r>
      <w:r>
        <w:rPr>
          <w:rFonts w:ascii="Times New Roman;Times;serif" w:hAnsi="Times New Roman;Times;serif"/>
          <w:sz w:val="24"/>
          <w:u w:val="single"/>
        </w:rPr>
        <w:t>Headings</w:t>
      </w:r>
      <w:r>
        <w:rPr>
          <w:rFonts w:ascii="Times New Roman;Times;serif" w:hAnsi="Times New Roman;Times;serif"/>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10.12</w:t>
      </w:r>
      <w:r>
        <w:rPr>
          <w:rFonts w:ascii="Times New Roman;Times;serif" w:hAnsi="Times New Roman;Times;serif"/>
          <w:sz w:val="24"/>
          <w:u w:val="single"/>
        </w:rPr>
        <w:t>Confidentiality</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Each of the Administrative Agent, the Issuing Banks and the Lenders agrees to maintain the confidentiality of the Information (as defined below) and to not use the Information for any purpose except in connection with the Loan Documents, except that Information may be disclosed (i) to its and its Affiliates’ directors, shareholders, officers, employees, controlling Persons, representatives and agents, including accountants, legal counsel and other professionals, experts or advisors or to any credit insurance provider relating to any Loan Party and its obligations, in each case whom it reasonably determines needs to know such information in connection with this Agreement and the transactions contemplated hereby and who are informed of the confidential nature of such Information and instructed to keep such Information confidential, (ii) to the extent requested by any regulatory authority, examiner regulating banks or banking, or other self-regulatory authority having oversight over the Administrative Agent, any Issuing Bank, any Lender or any of their respective Affiliates, (iii) pursuant to the order of any court or administrative agency or in any pending legal, judicial or administrative proceeding, or otherwise as required by applicable laws or regulations or by any subpoena or similar legal process based on the advice of counsel (in which case the Administrative Agent, such Issuing Bank or such Lender, as applicable, agrees, to the extent practicable and not prohibited by applicable law and other than with respect to any audit or examination conducted by bank accountants or any governmental bank authority exercising routine examinations or regulatory authority, to inform the Borrowers promptly thereof), (iv) to any other party to this Agreement, (v) in connection with the exercise of any remedies hereunder or any suit, action or proceeding relating to this Agreement or the enforcement of rights hereunder, (vi) subject to an agreement containing provisions substantially the same as those of this Section, to (A) any assignee of or Participant in, or any prospective assignee of or prospective Participant in, any of its rights or obligations under this Agreement, or (B) any actual or prospective counterparty (or its advisors) to any swap, derivative or securitization transaction relating to any Loan Party and its obligations, (vii) with the consent of the Parent Borrower, (viii) to the extent such Information (A) becomes publicly available other than as a result of a breach of this Section, (B) becomes available to the Administrative Agent, any Issuing Bank or any Lender on a non-confidential basis from a source other than the Borrowers or (C) is independently developed by the Administrative Agent, an Issuing Bank or a Lender without use of or reference to any such confidential information and otherwise without violating this </w:t>
      </w:r>
      <w:r>
        <w:rPr>
          <w:rFonts w:ascii="Times New Roman;Times;serif" w:hAnsi="Times New Roman;Times;serif"/>
          <w:sz w:val="24"/>
          <w:u w:val="single"/>
        </w:rPr>
        <w:t>Section 10.12</w:t>
      </w:r>
      <w:r>
        <w:rPr>
          <w:rFonts w:ascii="Times New Roman;Times;serif" w:hAnsi="Times New Roman;Times;serif"/>
          <w:sz w:val="24"/>
        </w:rPr>
        <w:t>, (ix) on a confidential basis to any rating agency in connection with rating any Borrower or any of its Subsidiaries or the Loans hereunder, (x) to the CUSIP bureau, solely to the extent such confidential information is necessary to obtain CUSIP numbers and in consultation with the Borrower Representative, or (xi) for purposes of establishing a “due diligence” defense. In addition, the Administrative Agent, the Issuing Banks and the Lenders may disclose the existence of this Agreement and information about this Agreement to market data collectors, similar service providers to the lending industry and service providers to the Administrative Agent, the Issuing Banks and the Lenders in connection with the administration of this Agreement, the other Loan Documents, the Letters of Credit and the Loans. For the purposes of this Section, “</w:t>
      </w:r>
      <w:r>
        <w:rPr>
          <w:rFonts w:ascii="Times New Roman;Times;serif" w:hAnsi="Times New Roman;Times;serif"/>
          <w:b/>
          <w:sz w:val="24"/>
        </w:rPr>
        <w:t>Information</w:t>
      </w:r>
      <w:r>
        <w:rPr>
          <w:rFonts w:ascii="Times New Roman;Times;serif" w:hAnsi="Times New Roman;Times;serif"/>
          <w:sz w:val="20"/>
        </w:rPr>
        <w:t xml:space="preserve">” </w:t>
      </w:r>
      <w:r>
        <w:rPr>
          <w:rFonts w:ascii="Times New Roman;Times;serif" w:hAnsi="Times New Roman;Times;serif"/>
          <w:sz w:val="24"/>
        </w:rPr>
        <w:t>means all memoranda or other information received from or on behalf of any Loan Party or any of its Subsidiaries relating to any Loan Party or any Subsidiary or any of their respective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that is identified by the Borrowers as confidential, other than any such information that is available to the Administrative Agent, any Issuing Bank or any Lender on a non-confidential basis prior to disclosure by any Loan Party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r>
        <w:rPr>
          <w:rFonts w:ascii="Times New Roman;Times;serif" w:hAnsi="Times New Roman;Times;serif"/>
          <w:color w:val="0000FF"/>
          <w:sz w:val="20"/>
        </w:rPr>
        <w:t xml:space="preserve"> </w:t>
      </w:r>
      <w:r>
        <w:rPr>
          <w:rFonts w:ascii="Times New Roman;Times;serif" w:hAnsi="Times New Roman;Times;serif"/>
          <w:b/>
          <w:color w:val="0000FF"/>
          <w:sz w:val="24"/>
        </w:rPr>
        <w:t>Nothing in this Agreement prohibits or restricts any party or its affiliates, employees or agents from communicating about violations of law or regulation directly to any governmental agency or entity, any self-regulatory organization, or any law enforcement authority to the extent such communication is protected under whistleblower provisions of the applicable laws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EACH LENDER ACKNOWLEDGES THAT INFORMATION AS DEFINED IN </w:t>
      </w:r>
      <w:r>
        <w:rPr>
          <w:rFonts w:ascii="Times New Roman;Times;serif" w:hAnsi="Times New Roman;Times;serif"/>
          <w:sz w:val="24"/>
          <w:u w:val="single"/>
        </w:rPr>
        <w:t>SECTION 10.12(A)</w:t>
      </w:r>
      <w:r>
        <w:rPr>
          <w:rFonts w:ascii="Times New Roman;Times;serif" w:hAnsi="Times New Roman;Times;serif"/>
          <w:sz w:val="20"/>
        </w:rPr>
        <w:t xml:space="preserve"> </w:t>
      </w:r>
      <w:r>
        <w:rPr>
          <w:rFonts w:ascii="Times New Roman;Times;serif" w:hAnsi="Times New Roman;Times;serif"/>
          <w:sz w:val="24"/>
        </w:rPr>
        <w:t>FURNISHED TO IT PURSUANT TO THIS AGREEMENT MAY INCLUDE MATERIAL NON-PUBLIC INFORMATION CONCERNING THE LOAN PARTIES AND THEIR AFFILIATES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ALL INFORMATION, INCLUDING REQUESTS FOR WAIVERS AND AMENDMENTS, FURNISHED BY ANY LOAN PARTY OR THE ADMINISTRATIVE AGENT PURSUANT TO, OR IN THE COURSE OF ADMINISTERING, THIS AGREEMENT WILL BE SYNDICATE-LEVEL INFORMATION, WHICH MAY CONTAIN MATERIAL NON-PUBLIC INFORMATION ABOUT THE LOAN PARTIES AND THEIR AFFILIATES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4"/>
        </w:rPr>
        <w:t>(d)</w:t>
      </w:r>
      <w:r>
        <w:rPr>
          <w:rFonts w:ascii="Times New Roman;Times;serif" w:hAnsi="Times New Roman;Times;serif"/>
          <w:b/>
          <w:color w:val="0000FF"/>
          <w:sz w:val="24"/>
        </w:rPr>
        <w:t xml:space="preserve">The parties hereto do not anticipate any disclosure of personal information of California residents to the Administrative Agent, or any collection or processing of personal information of California residents, in connection with this Agreement and the other Loan Documents and the Administrative Agent’s services contemplated under this Agreement and the other Loan Documents; </w:t>
      </w:r>
      <w:r>
        <w:rPr>
          <w:rFonts w:ascii="Times New Roman;Times;serif" w:hAnsi="Times New Roman;Times;serif"/>
          <w:b/>
          <w:i/>
          <w:color w:val="0000FF"/>
          <w:sz w:val="24"/>
          <w:u w:val="single"/>
        </w:rPr>
        <w:t>provided</w:t>
      </w:r>
      <w:r>
        <w:rPr>
          <w:rFonts w:ascii="Times New Roman;Times;serif" w:hAnsi="Times New Roman;Times;serif"/>
          <w:color w:val="0000FF"/>
          <w:sz w:val="20"/>
        </w:rPr>
        <w:t xml:space="preserve"> </w:t>
      </w:r>
      <w:r>
        <w:rPr>
          <w:rFonts w:ascii="Times New Roman;Times;serif" w:hAnsi="Times New Roman;Times;serif"/>
          <w:b/>
          <w:color w:val="0000FF"/>
          <w:sz w:val="24"/>
        </w:rPr>
        <w:t>that, to the extent any California personal information subject to the California Privacy Rights Act (“CPRA”) and its implementing regulations is disclosed by any Loan Party to the Administrative Agent, the Administrative Agent agrees to process such personal information only for the limited and specified business purposes of facilitating the performance of this Agreement and the other Loan Documents or as otherwise provided by, and in compliance with, the CPRA.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10.13</w:t>
      </w:r>
      <w:r>
        <w:rPr>
          <w:rFonts w:ascii="Times New Roman;Times;serif" w:hAnsi="Times New Roman;Times;serif"/>
          <w:sz w:val="24"/>
          <w:u w:val="single"/>
        </w:rPr>
        <w:t>Interest Rate Limitation</w:t>
      </w:r>
      <w:r>
        <w:rPr>
          <w:rFonts w:ascii="Times New Roman;Times;serif" w:hAnsi="Times New Roman;Times;serif"/>
          <w:sz w:val="24"/>
        </w:rPr>
        <w:t>. Notwithstanding anything herein to the contrary, if at any time the interest rate applicable to any Loan, together with all fees, charges and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amounts which are treated as interest on such Loan under applicable law (collectively the “</w:t>
      </w:r>
      <w:r>
        <w:rPr>
          <w:rFonts w:ascii="Times New Roman;Times;serif" w:hAnsi="Times New Roman;Times;serif"/>
          <w:b/>
          <w:sz w:val="24"/>
        </w:rPr>
        <w:t>Charges</w:t>
      </w:r>
      <w:r>
        <w:rPr>
          <w:rFonts w:ascii="Times New Roman;Times;serif" w:hAnsi="Times New Roman;Times;serif"/>
          <w:sz w:val="20"/>
        </w:rPr>
        <w:t>”</w:t>
      </w:r>
      <w:r>
        <w:rPr>
          <w:rFonts w:ascii="Times New Roman;Times;serif" w:hAnsi="Times New Roman;Times;serif"/>
          <w:sz w:val="24"/>
        </w:rPr>
        <w:t>), shall exceed the maximum lawful rate (the “</w:t>
      </w:r>
      <w:r>
        <w:rPr>
          <w:rFonts w:ascii="Times New Roman;Times;serif" w:hAnsi="Times New Roman;Times;serif"/>
          <w:b/>
          <w:sz w:val="24"/>
        </w:rPr>
        <w:t>Maximum Rate</w:t>
      </w:r>
      <w:r>
        <w:rPr>
          <w:rFonts w:ascii="Times New Roman;Times;serif" w:hAnsi="Times New Roman;Times;serif"/>
          <w:sz w:val="20"/>
        </w:rPr>
        <w:t>”</w:t>
      </w:r>
      <w:r>
        <w:rPr>
          <w:rFonts w:ascii="Times New Roman;Times;serif" w:hAnsi="Times New Roman;Times;serif"/>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10.14</w:t>
      </w:r>
      <w:r>
        <w:rPr>
          <w:rFonts w:ascii="Times New Roman;Times;serif" w:hAnsi="Times New Roman;Times;serif"/>
          <w:sz w:val="24"/>
          <w:u w:val="single"/>
        </w:rPr>
        <w:t>No Advisory or Fiduciary Responsibility</w:t>
      </w:r>
      <w:r>
        <w:rPr>
          <w:rFonts w:ascii="Times New Roman;Times;serif" w:hAnsi="Times New Roman;Times;serif"/>
          <w:sz w:val="24"/>
        </w:rPr>
        <w:t>. In connection with all aspects of each Transaction contemplated hereby (including in connection with any amendment, waiver or other modification hereof or of any other Loan Document), the Loan Parties acknowledge and agree, and acknowledge their respective Subsidiaries’ understanding, that: (a) (i) the arranging and other services regarding this Agreement provided by the Administrative Agent, the Arrangers, the Issuing Banks and the Lenders are arm’s-length commercial transactions between the Loan Parties and their Affiliates, on the one hand, and the Administrative Agent, the Arrangers, the Issuing Banks and the Lenders,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each of the Administrative Agent, the Arrangers, the Issuing Banks and the Lenders is and has been acting solely as a principal and, except as expressly agreed in writing by the relevant parties, has not been, is not, and will not be acting as an advisor, agent or fiduciary for any Loan Party or any of its Subsidiaries, or any other Person and (ii) neither the Administrative Agent, any Arranger, any Issuing Bank, nor any Lender has any obligation to any Loan Party or any of its Affiliates with respect to the Transactions contemplated hereby except those obligations expressly set forth herein and in the other Loan Documents; and (c) the Administrative Agent, the Arrangers, the Issuing Banks and the Lenders and their respective Affiliates may have economic interests that may conflict with those of the Loan Parties and their Affiliates and may be engaged in a broad range of transactions that involve interests that differ from those of the Loan Parties and their Affiliates, and neither the Administrative Agent, any Arranger, any Issuing Bank, nor any Lender has any obligation to disclose any of such interests to any Loan Party or its Affiliates. Each Loan Party, on behalf of itself and each of its Subsidiaries, agrees that nothing in the Loan Documents or otherwise will be deemed to create an advisory, fiduciary or agency relationship or fiduciary or other implied duty between the Administrative Agent, any Arranger, any Issuing Bank or any Lender, on the one hand, and any Loan Party, any of its Subsidiaries, or its stockholders or affiliates, on the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10.15</w:t>
      </w:r>
      <w:r>
        <w:rPr>
          <w:rFonts w:ascii="Times New Roman;Times;serif" w:hAnsi="Times New Roman;Times;serif"/>
          <w:sz w:val="24"/>
          <w:u w:val="single"/>
        </w:rPr>
        <w:t>Electronic Execution of Assignments and Certain Other Documents</w:t>
      </w:r>
      <w:r>
        <w:rPr>
          <w:rFonts w:ascii="Times New Roman;Times;serif" w:hAnsi="Times New Roman;Times;serif"/>
          <w:sz w:val="24"/>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as provided for in any applicable law, including the Federal Electronic Signatures in Global and National Commerce Act, the New York State Electronic Signatures and Records Act, or any other similar state or provincial laws based on the Uniform Electronic Transactions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10.16</w:t>
      </w:r>
      <w:r>
        <w:rPr>
          <w:rFonts w:ascii="Times New Roman;Times;serif" w:hAnsi="Times New Roman;Times;serif"/>
          <w:sz w:val="24"/>
          <w:u w:val="single"/>
        </w:rPr>
        <w:t>USA Patriot Act</w:t>
      </w:r>
      <w:r>
        <w:rPr>
          <w:rFonts w:ascii="Times New Roman;Times;serif" w:hAnsi="Times New Roman;Times;serif"/>
          <w:sz w:val="24"/>
        </w:rPr>
        <w:t>. Each Lender and each Issuing Bank that is subject to the requirements of the USA Patriot Act hereby notifies each Borrower and each Guarantor that pursuant to the requirements of the USA Patriot Act, it is required to obtain, verify and record information that identifies each Borrower and each Guarantor, which information includes the name and address of each Borrower and each Guarantor and other information that will allow such Lender or such Issuing Bank to identify each Borrower and each Guarantor in accordance with the USA Patriot Act. Each Borrower and each Guarantor shall, promptly following a request by the Administrative Agent, any Issuing Bank or any Lender, provide all documentation and other information that the Administrative Agent, such Issuing Bank or such Lender requests in order to comply with its ongoing obligations under applicable “know your customer” and anti-money laundering rules and regulations, including the USA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10.17</w:t>
      </w:r>
      <w:r>
        <w:rPr>
          <w:rFonts w:ascii="Times New Roman;Times;serif" w:hAnsi="Times New Roman;Times;serif"/>
          <w:sz w:val="24"/>
          <w:u w:val="single"/>
        </w:rPr>
        <w:t>Releases of Guarantors and Liens</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the event that (i) all the Equity Interests in any Guarantor (other than the Parent) are sold, transferred or otherwise disposed of to a Person (other than any Loan Party or its Subsidiaries) in a transaction permitted under this Agreement, or (ii) a Guarantor (other than the Parent) ceases to be a Subsidiary or becomes a non-Wholly Owned Subsidiary, in each case, as a result of a transaction permitted under this Agreement, in the case of this clause (ii), so long as such transaction is consummated to a bona fide third party that is not an Affiliate of any Loan Party, the consideration received for such transaction is at least fair market value and the primary purpose of such transaction is not the release of any guarantee or Lien, then (x) such Guarantor shall be immediately, automatically and irrevocably released from its guarantee under the Loan Documents without any action of any Person and (y) the Administrative Agent shall, at the Loan Parties’ expense, promptly take such action and execute such documents as the Borrowers may reasonably request to terminate the guarantee of such Guarantor and to release the Collateral owned by such Guarantor from the Liens created by the Security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If (i) any of the Collateral shall be sold, transferred or otherwise disposed of by any Loan Party to a Person (other than any Loan Party) in a transaction that is permitted under </w:t>
      </w:r>
      <w:r>
        <w:rPr>
          <w:rFonts w:ascii="Times New Roman;Times;serif" w:hAnsi="Times New Roman;Times;serif"/>
          <w:sz w:val="24"/>
          <w:u w:val="single"/>
        </w:rPr>
        <w:t>Section 6.09</w:t>
      </w:r>
      <w:r>
        <w:rPr>
          <w:rFonts w:ascii="Times New Roman;Times;serif" w:hAnsi="Times New Roman;Times;serif"/>
          <w:sz w:val="20"/>
        </w:rPr>
        <w:t xml:space="preserve"> </w:t>
      </w:r>
      <w:r>
        <w:rPr>
          <w:rFonts w:ascii="Times New Roman;Times;serif" w:hAnsi="Times New Roman;Times;serif"/>
          <w:sz w:val="24"/>
        </w:rPr>
        <w:t xml:space="preserve">of this Agreement and is not prohibited under any other provision of this Agreement, (ii) any of the Collateral is owned by a Guarantor that is released from the Guaranty in accordance with the terms hereof or (iii) otherwise approved, authorized or ratified in writing in accordance with </w:t>
      </w:r>
      <w:r>
        <w:rPr>
          <w:rFonts w:ascii="Times New Roman;Times;serif" w:hAnsi="Times New Roman;Times;serif"/>
          <w:sz w:val="24"/>
          <w:u w:val="single"/>
        </w:rPr>
        <w:t>Section 10.02</w:t>
      </w:r>
      <w:r>
        <w:rPr>
          <w:rFonts w:ascii="Times New Roman;Times;serif" w:hAnsi="Times New Roman;Times;serif"/>
          <w:sz w:val="24"/>
        </w:rPr>
        <w:t>, then (x) the Lien on such Collateral in favor of the Administrative Agent pursuant to the Loan Documents shall be immediately, automatically and irrevocably terminated and released without any action of any Person and (y) the Administrative Agent shall, at the Loan Parties’ expense, promptly take such action and execute such documents as the Borrowers may reasonably request to release the Liens created by the Security Documents on such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At such time as (i) all Obligations (including unreimbursed LC Disbursements, but excluding contingent obligations as to which no claim has been asserted) have been paid in full in cash, (ii) all Specified Swap Agreements have expired or been terminated (or other arrangements made to the satisfaction of the Approved Counterparties to such Specified Swap Agreements,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their sole discretion) and any Obligations owing thereunder have been paid in full and (iii) all Commitments have terminated or expired and no Letter of Credit shall be outstanding or subject to any pending draw (other than Letters of Credit that have been Cash Collateralized or backstopped or deemed reissued under another agreement reasonably acceptable to the applicable Issuing Bank),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The Administrative Agent may subordinate or release any Lien on any property granted to or held by the Administrative Agent under any Loan Document to the holder of any Lien on such property that is permitted by clauses (c), (d) and (r) of </w:t>
      </w:r>
      <w:r>
        <w:rPr>
          <w:rFonts w:ascii="Times New Roman;Times;serif" w:hAnsi="Times New Roman;Times;serif"/>
          <w:sz w:val="24"/>
          <w:u w:val="single"/>
        </w:rPr>
        <w:t>Section 6.02</w:t>
      </w:r>
      <w:r>
        <w:rPr>
          <w:rFonts w:ascii="Times New Roman;Times;serif" w:hAnsi="Times New Roman;Times;serif"/>
          <w:sz w:val="20"/>
        </w:rPr>
        <w:t xml:space="preserve"> </w:t>
      </w:r>
      <w:r>
        <w:rPr>
          <w:rFonts w:ascii="Times New Roman;Times;serif" w:hAnsi="Times New Roman;Times;serif"/>
          <w:sz w:val="24"/>
        </w:rPr>
        <w:t>to the extent the documents governing such Indebtedness do not permit any other Lien (or any senior Lien, as applicable) on such property, and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the Borrowers with respect to leases entered into by any Loan Party and its Subsidiaries, to the extent requested by the Borrowers and reasonably acceptable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10.18</w:t>
      </w:r>
      <w:r>
        <w:rPr>
          <w:rFonts w:ascii="Times New Roman;Times;serif" w:hAnsi="Times New Roman;Times;serif"/>
          <w:sz w:val="24"/>
          <w:u w:val="single"/>
        </w:rPr>
        <w:t>Acknowledgement Regarding Any Supported QFCs</w:t>
      </w:r>
      <w:r>
        <w:rPr>
          <w:rFonts w:ascii="Times New Roman;Times;serif" w:hAnsi="Times New Roman;Times;serif"/>
          <w:sz w:val="24"/>
        </w:rPr>
        <w:t>. To the extent that the Loan Documents provide support, through a guarantee or otherwise, for Swap Agreements or any other agreement or instrument that is a QFC (such support “</w:t>
      </w:r>
      <w:r>
        <w:rPr>
          <w:rFonts w:ascii="Times New Roman;Times;serif" w:hAnsi="Times New Roman;Times;serif"/>
          <w:b/>
          <w:sz w:val="24"/>
        </w:rPr>
        <w:t>QFC Credit Support</w:t>
      </w:r>
      <w:r>
        <w:rPr>
          <w:rFonts w:ascii="Times New Roman;Times;serif" w:hAnsi="Times New Roman;Times;serif"/>
          <w:sz w:val="20"/>
        </w:rPr>
        <w:t xml:space="preserve">” </w:t>
      </w:r>
      <w:r>
        <w:rPr>
          <w:rFonts w:ascii="Times New Roman;Times;serif" w:hAnsi="Times New Roman;Times;serif"/>
          <w:sz w:val="24"/>
        </w:rPr>
        <w:t>and each such QFC a “</w:t>
      </w:r>
      <w:r>
        <w:rPr>
          <w:rFonts w:ascii="Times New Roman;Times;serif" w:hAnsi="Times New Roman;Times;serif"/>
          <w:b/>
          <w:sz w:val="24"/>
        </w:rPr>
        <w:t>Supported QFC</w:t>
      </w:r>
      <w:r>
        <w:rPr>
          <w:rFonts w:ascii="Times New Roman;Times;serif" w:hAnsi="Times New Roman;Times;serif"/>
          <w:sz w:val="20"/>
        </w:rPr>
        <w:t>”</w:t>
      </w:r>
      <w:r>
        <w:rPr>
          <w:rFonts w:ascii="Times New Roman;Times;serif" w:hAnsi="Times New Roman;Times;serif"/>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sz w:val="24"/>
        </w:rPr>
        <w:t>U.S. Special Resolution Regimes</w:t>
      </w:r>
      <w:r>
        <w:rPr>
          <w:rFonts w:ascii="Times New Roman;Times;serif" w:hAnsi="Times New Roman;Times;serif"/>
          <w:sz w:val="20"/>
        </w:rPr>
        <w:t>”</w:t>
      </w:r>
      <w:r>
        <w:rPr>
          <w:rFonts w:ascii="Times New Roman;Times;serif" w:hAnsi="Times New Roman;Times;serif"/>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In the event a Covered Entity that is party to a Supported QFC (each, a “</w:t>
      </w:r>
      <w:r>
        <w:rPr>
          <w:rFonts w:ascii="Times New Roman;Times;serif" w:hAnsi="Times New Roman;Times;serif"/>
          <w:b/>
          <w:sz w:val="24"/>
        </w:rPr>
        <w:t>Covered Party</w:t>
      </w:r>
      <w:r>
        <w:rPr>
          <w:rFonts w:ascii="Times New Roman;Times;serif" w:hAnsi="Times New Roman;Times;serif"/>
          <w:sz w:val="20"/>
        </w:rPr>
        <w:t>”</w:t>
      </w:r>
      <w:r>
        <w:rPr>
          <w:rFonts w:ascii="Times New Roman;Times;serif" w:hAnsi="Times New Roman;Times;serif"/>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10.19</w:t>
      </w:r>
      <w:r>
        <w:rPr>
          <w:rFonts w:ascii="Times New Roman;Times;serif" w:hAnsi="Times New Roman;Times;serif"/>
          <w:sz w:val="24"/>
          <w:u w:val="single"/>
        </w:rPr>
        <w:t>Acknowledgement and Consent to Bail-In of Affected Financial Institutions</w:t>
      </w:r>
      <w:r>
        <w:rPr>
          <w:rFonts w:ascii="Times New Roman;Times;serif" w:hAnsi="Times New Roman;Times;serif"/>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effects of any Bail-In Action on any such liability, including,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 reduction in full or in part or cancellation of any such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the variation of the terms of such liability in connection with the exercise of the Write-Down and Conversion Powers of the applicable Resolution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10.20</w:t>
      </w:r>
      <w:r>
        <w:rPr>
          <w:rFonts w:ascii="Times New Roman;Times;serif" w:hAnsi="Times New Roman;Times;serif"/>
          <w:sz w:val="24"/>
          <w:u w:val="single"/>
        </w:rPr>
        <w:t>Parallel Debt (Covenant to pay the Administrative Agent)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Loan Party, by way of an independent payment obligation, hereby irrevocably and unconditionally undertakes to pay to the Administrative Agent, as creditor in its own right and not as representative of the other Secured Parties, amounts equal to and in the currency of each amount payable by such Loan Party to each of the Secured Parties under any Loan Document as and when that amount falls due for payment under the relevant Loan Document or would have fallen due but for any discharge from failure of another Secured Party to take appropriate steps, in insolvency proceedings affecting that Loan Party, to preserve its entitlement to be paid that amount (each such payment undertaking by such Loan Party, a “</w:t>
      </w:r>
      <w:r>
        <w:rPr>
          <w:rFonts w:ascii="Times New Roman;Times;serif" w:hAnsi="Times New Roman;Times;serif"/>
          <w:b/>
          <w:sz w:val="24"/>
        </w:rPr>
        <w:t>Parallel Debt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Parallel Debt of each Loan Party will become due and payable as and when and to the extent the relevant Obligations become due and payable. An Event of Default shall constitute a default with respect to the Parallel Debts without any notice being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Each Loan Party and the Administrative Agent acknowledge that the obligations of each Loan Party under paragraph (a) above are several and are separate and independent from, and shall not in any way limit or affect, the corresponding obligations of that Loan Party to any Secured Party under any Loan Document (its “</w:t>
      </w:r>
      <w:r>
        <w:rPr>
          <w:rFonts w:ascii="Times New Roman;Times;serif" w:hAnsi="Times New Roman;Times;serif"/>
          <w:b/>
          <w:sz w:val="24"/>
        </w:rPr>
        <w:t>Corresponding Debt</w:t>
      </w:r>
      <w:r>
        <w:rPr>
          <w:rFonts w:ascii="Times New Roman;Times;serif" w:hAnsi="Times New Roman;Times;serif"/>
          <w:sz w:val="20"/>
        </w:rPr>
        <w:t>”</w:t>
      </w:r>
      <w:r>
        <w:rPr>
          <w:rFonts w:ascii="Times New Roman;Times;serif" w:hAnsi="Times New Roman;Times;serif"/>
          <w:sz w:val="24"/>
        </w:rPr>
        <w:t>) nor shall the amounts for which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each Loan Party is liable under paragraph (a) above (its Parallel Debt) be limited or affected in any way by its Corresponding Debt; </w:t>
      </w:r>
      <w:r>
        <w:rPr>
          <w:rFonts w:ascii="Times New Roman;Times;serif" w:hAnsi="Times New Roman;Times;serif"/>
          <w:sz w:val="24"/>
          <w:u w:val="single"/>
        </w:rPr>
        <w:t>provided</w:t>
      </w:r>
      <w:r>
        <w:rPr>
          <w:rFonts w:ascii="Times New Roman;Times;serif" w:hAnsi="Times New Roman;Times;serif"/>
          <w:sz w:val="20"/>
        </w:rPr>
        <w:t xml:space="preserve"> </w:t>
      </w:r>
      <w:r>
        <w:rPr>
          <w:rFonts w:ascii="Times New Roman;Times;serif" w:hAnsi="Times New Roman;Times;serif"/>
          <w:sz w:val="24"/>
        </w:rPr>
        <w:t>that: (i) the Administrative Agent shall not demand payment with regard to the Parallel Debt of any Loan Party to the extent that such Loan Party’s Corresponding Debt has been irrevocably paid or (in the case of guarantee obligations) discharged; and (ii) neither the Administrative Agent nor any Secured Party shall demand payment with regard to the Corresponding Debt of any Loan Party to the extent that such Loan Party’s Parallel Debt has been irrevocably paid or (in the case of guarantee obligations) discharged.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For the purpose of this </w:t>
      </w:r>
      <w:r>
        <w:rPr>
          <w:rFonts w:ascii="Times New Roman;Times;serif" w:hAnsi="Times New Roman;Times;serif"/>
          <w:sz w:val="24"/>
          <w:u w:val="single"/>
        </w:rPr>
        <w:t>Section 10.20</w:t>
      </w:r>
      <w:r>
        <w:rPr>
          <w:rFonts w:ascii="Times New Roman;Times;serif" w:hAnsi="Times New Roman;Times;serif"/>
          <w:sz w:val="24"/>
        </w:rPr>
        <w:t xml:space="preserve">, the Administrative Agent acts in its own name and not as a trustee, and it shall have its own independent right to demand payment of the amounts payable by each Loan Party under this </w:t>
      </w:r>
      <w:r>
        <w:rPr>
          <w:rFonts w:ascii="Times New Roman;Times;serif" w:hAnsi="Times New Roman;Times;serif"/>
          <w:sz w:val="24"/>
          <w:u w:val="single"/>
        </w:rPr>
        <w:t>Section 10.20</w:t>
      </w:r>
      <w:r>
        <w:rPr>
          <w:rFonts w:ascii="Times New Roman;Times;serif" w:hAnsi="Times New Roman;Times;serif"/>
          <w:sz w:val="24"/>
        </w:rPr>
        <w:t>, irrespective of any discharge of such Loan Party’s obligation to pay those amounts to the other Secured Parties resulting from failure by them to take appropriate steps, in insolvency proceedings affecting that Loan Party, to preserve their entitlement to be paid those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The rights of the Secured Parties (other than the Administrative Agent) to receive payment of amounts payable by each Loan Party under the Loan Documents are several and are separate and independent from, and without prejudice to, the rights of the Administrative Agent to receive payment under this </w:t>
      </w:r>
      <w:r>
        <w:rPr>
          <w:rFonts w:ascii="Times New Roman;Times;serif" w:hAnsi="Times New Roman;Times;serif"/>
          <w:sz w:val="24"/>
          <w:u w:val="single"/>
        </w:rPr>
        <w:t>Section 10.20</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 xml:space="preserve">Without limiting or affecting the Administrative Agent’s rights against the Loan Parties (whether under this </w:t>
      </w:r>
      <w:r>
        <w:rPr>
          <w:rFonts w:ascii="Times New Roman;Times;serif" w:hAnsi="Times New Roman;Times;serif"/>
          <w:sz w:val="24"/>
          <w:u w:val="single"/>
        </w:rPr>
        <w:t>Section 10.20</w:t>
      </w:r>
      <w:r>
        <w:rPr>
          <w:rFonts w:ascii="Times New Roman;Times;serif" w:hAnsi="Times New Roman;Times;serif"/>
          <w:sz w:val="20"/>
        </w:rPr>
        <w:t xml:space="preserve"> </w:t>
      </w:r>
      <w:r>
        <w:rPr>
          <w:rFonts w:ascii="Times New Roman;Times;serif" w:hAnsi="Times New Roman;Times;serif"/>
          <w:sz w:val="24"/>
        </w:rPr>
        <w:t xml:space="preserve">or under any other provision of the Loan Documents), each Loan Party acknowledges that: (i) nothing in this </w:t>
      </w:r>
      <w:r>
        <w:rPr>
          <w:rFonts w:ascii="Times New Roman;Times;serif" w:hAnsi="Times New Roman;Times;serif"/>
          <w:sz w:val="24"/>
          <w:u w:val="single"/>
        </w:rPr>
        <w:t>Section 10.20</w:t>
      </w:r>
      <w:r>
        <w:rPr>
          <w:rFonts w:ascii="Times New Roman;Times;serif" w:hAnsi="Times New Roman;Times;serif"/>
          <w:sz w:val="20"/>
        </w:rPr>
        <w:t xml:space="preserve"> </w:t>
      </w:r>
      <w:r>
        <w:rPr>
          <w:rFonts w:ascii="Times New Roman;Times;serif" w:hAnsi="Times New Roman;Times;serif"/>
          <w:sz w:val="24"/>
        </w:rPr>
        <w:t>shall impose any obligation on the Administrative Agent to advance any sum to any Loan Party or otherwise under any Loan Document, except in its capacity as a Lender (other than as Administrative Agent); and (ii) for the purpose of any vote taken under any Loan Document, the Administrative Agent shall not be regarded as having any participation or commitment other than those which it has in its capacity as a Lender (other than as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10.21</w:t>
      </w:r>
      <w:r>
        <w:rPr>
          <w:rFonts w:ascii="Times New Roman;Times;serif" w:hAnsi="Times New Roman;Times;serif"/>
          <w:sz w:val="24"/>
          <w:u w:val="single"/>
        </w:rPr>
        <w:t>[Reserved]</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10.22</w:t>
      </w:r>
      <w:r>
        <w:rPr>
          <w:rFonts w:ascii="Times New Roman;Times;serif" w:hAnsi="Times New Roman;Times;serif"/>
          <w:sz w:val="24"/>
          <w:u w:val="single"/>
        </w:rPr>
        <w:t>Restricted Lender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relation to each Lender resident in Germany (</w:t>
      </w:r>
      <w:r>
        <w:rPr>
          <w:rFonts w:ascii="Times New Roman;Times;serif" w:hAnsi="Times New Roman;Times;serif"/>
          <w:i/>
          <w:sz w:val="24"/>
        </w:rPr>
        <w:t>Inländer</w:t>
      </w:r>
      <w:r>
        <w:rPr>
          <w:rFonts w:ascii="Times New Roman;Times;serif" w:hAnsi="Times New Roman;Times;serif"/>
          <w:sz w:val="24"/>
        </w:rPr>
        <w:t>) within the meaning of section 2 paragraph 15 German Foreign Trade Law (</w:t>
      </w:r>
      <w:r>
        <w:rPr>
          <w:rFonts w:ascii="Times New Roman;Times;serif" w:hAnsi="Times New Roman;Times;serif"/>
          <w:i/>
          <w:sz w:val="24"/>
        </w:rPr>
        <w:t>Außenwirtschaftsgesetz</w:t>
      </w:r>
      <w:r>
        <w:rPr>
          <w:rFonts w:ascii="Times New Roman;Times;serif" w:hAnsi="Times New Roman;Times;serif"/>
          <w:sz w:val="24"/>
        </w:rPr>
        <w:t xml:space="preserve">) or that otherwise notifies the Administrative Agent that it is a “Restricted Lender” for the purpose of this </w:t>
      </w:r>
      <w:r>
        <w:rPr>
          <w:rFonts w:ascii="Times New Roman;Times;serif" w:hAnsi="Times New Roman;Times;serif"/>
          <w:sz w:val="24"/>
          <w:u w:val="single"/>
        </w:rPr>
        <w:t>Section 10.22</w:t>
      </w:r>
      <w:r>
        <w:rPr>
          <w:rFonts w:ascii="Times New Roman;Times;serif" w:hAnsi="Times New Roman;Times;serif"/>
          <w:sz w:val="20"/>
        </w:rPr>
        <w:t xml:space="preserve"> </w:t>
      </w:r>
      <w:r>
        <w:rPr>
          <w:rFonts w:ascii="Times New Roman;Times;serif" w:hAnsi="Times New Roman;Times;serif"/>
          <w:sz w:val="24"/>
        </w:rPr>
        <w:t>(each a “</w:t>
      </w:r>
      <w:r>
        <w:rPr>
          <w:rFonts w:ascii="Times New Roman;Times;serif" w:hAnsi="Times New Roman;Times;serif"/>
          <w:b/>
          <w:sz w:val="24"/>
        </w:rPr>
        <w:t>Restricted Lender</w:t>
      </w:r>
      <w:r>
        <w:rPr>
          <w:rFonts w:ascii="Times New Roman;Times;serif" w:hAnsi="Times New Roman;Times;serif"/>
          <w:sz w:val="20"/>
        </w:rPr>
        <w:t>”</w:t>
      </w:r>
      <w:r>
        <w:rPr>
          <w:rFonts w:ascii="Times New Roman;Times;serif" w:hAnsi="Times New Roman;Times;serif"/>
          <w:sz w:val="24"/>
        </w:rPr>
        <w:t xml:space="preserve">), the representations and undertakings under </w:t>
      </w:r>
      <w:r>
        <w:rPr>
          <w:rFonts w:ascii="Times New Roman;Times;serif" w:hAnsi="Times New Roman;Times;serif"/>
          <w:sz w:val="24"/>
          <w:u w:val="single"/>
        </w:rPr>
        <w:t>Section 3.15</w:t>
      </w:r>
      <w:r>
        <w:rPr>
          <w:rFonts w:ascii="Times New Roman;Times;serif" w:hAnsi="Times New Roman;Times;serif"/>
          <w:sz w:val="24"/>
        </w:rPr>
        <w:t xml:space="preserve">, </w:t>
      </w:r>
      <w:r>
        <w:rPr>
          <w:rFonts w:ascii="Times New Roman;Times;serif" w:hAnsi="Times New Roman;Times;serif"/>
          <w:sz w:val="24"/>
          <w:u w:val="single"/>
        </w:rPr>
        <w:t>3.16</w:t>
      </w:r>
      <w:r>
        <w:rPr>
          <w:rFonts w:ascii="Times New Roman;Times;serif" w:hAnsi="Times New Roman;Times;serif"/>
          <w:sz w:val="20"/>
        </w:rPr>
        <w:t xml:space="preserve"> </w:t>
      </w:r>
      <w:r>
        <w:rPr>
          <w:rFonts w:ascii="Times New Roman;Times;serif" w:hAnsi="Times New Roman;Times;serif"/>
          <w:sz w:val="24"/>
        </w:rPr>
        <w:t xml:space="preserve">and </w:t>
      </w:r>
      <w:r>
        <w:rPr>
          <w:rFonts w:ascii="Times New Roman;Times;serif" w:hAnsi="Times New Roman;Times;serif"/>
          <w:sz w:val="24"/>
          <w:u w:val="single"/>
        </w:rPr>
        <w:t>5.09</w:t>
      </w:r>
      <w:r>
        <w:rPr>
          <w:rFonts w:ascii="Times New Roman;Times;serif" w:hAnsi="Times New Roman;Times;serif"/>
          <w:sz w:val="20"/>
        </w:rPr>
        <w:t xml:space="preserve"> </w:t>
      </w:r>
      <w:r>
        <w:rPr>
          <w:rFonts w:ascii="Times New Roman;Times;serif" w:hAnsi="Times New Roman;Times;serif"/>
          <w:sz w:val="24"/>
        </w:rPr>
        <w:t>and any other existing or future provision relating to sanctions in this Agreement or any other Loan Document (together, the “</w:t>
      </w:r>
      <w:r>
        <w:rPr>
          <w:rFonts w:ascii="Times New Roman;Times;serif" w:hAnsi="Times New Roman;Times;serif"/>
          <w:b/>
          <w:sz w:val="24"/>
        </w:rPr>
        <w:t>Sanctions Provisions</w:t>
      </w:r>
      <w:r>
        <w:rPr>
          <w:rFonts w:ascii="Times New Roman;Times;serif" w:hAnsi="Times New Roman;Times;serif"/>
          <w:sz w:val="20"/>
        </w:rPr>
        <w:t>”</w:t>
      </w:r>
      <w:r>
        <w:rPr>
          <w:rFonts w:ascii="Times New Roman;Times;serif" w:hAnsi="Times New Roman;Times;serif"/>
          <w:sz w:val="24"/>
        </w:rPr>
        <w:t>) shall only apply for the benefit of that Restricted Lender to the extent that it would not result in any violation of, conflict with or liability under (i) section 7 of the German Foreign Trade Regulation (</w:t>
      </w:r>
      <w:r>
        <w:rPr>
          <w:rFonts w:ascii="Times New Roman;Times;serif" w:hAnsi="Times New Roman;Times;serif"/>
          <w:i/>
          <w:sz w:val="24"/>
        </w:rPr>
        <w:t>Außenwirtschaftsverordnung</w:t>
      </w:r>
      <w:r>
        <w:rPr>
          <w:rFonts w:ascii="Times New Roman;Times;serif" w:hAnsi="Times New Roman;Times;serif"/>
          <w:sz w:val="24"/>
        </w:rPr>
        <w:t>) (in conjunction with section 4 paragraph 1) a no 3 German Foreign Trade Law (</w:t>
      </w:r>
      <w:r>
        <w:rPr>
          <w:rFonts w:ascii="Times New Roman;Times;serif" w:hAnsi="Times New Roman;Times;serif"/>
          <w:i/>
          <w:sz w:val="24"/>
        </w:rPr>
        <w:t>Außenwirtschaftsgesetz</w:t>
      </w:r>
      <w:r>
        <w:rPr>
          <w:rFonts w:ascii="Times New Roman;Times;serif" w:hAnsi="Times New Roman;Times;serif"/>
          <w:sz w:val="24"/>
        </w:rPr>
        <w:t>), (ii) any provision of the Council Regulation (EC) No 2271/96 of 22 November 1996 protecting against the effects of the extra-territorial application of legislation adopted by a third country, and actions based thereon or resulting therefrom and/or (iii) any other applicable anti-boycott laws or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In connection with any amendment, waiver, determination or direction relating to any part of a Sanctions Provision of which a Restricted Lender does not have the benefit pursuant to paragraph (a) above, the Commitments of that Restricted Lender will be excluded for the purpose of determining whether the consent of the Required Lenders has been obtained or whether the determination or direction by the Required Lenders has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Section 10.23</w:t>
      </w:r>
      <w:r>
        <w:rPr>
          <w:rFonts w:ascii="Times New Roman;Times;serif" w:hAnsi="Times New Roman;Times;serif"/>
          <w:sz w:val="24"/>
          <w:u w:val="single"/>
        </w:rPr>
        <w:t>Canadian Anti-Money Laundering Legislation</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Each Loan Party acknowledges that, pursuant to the Proceeds of Crime Act and other applicable anti-money laundering, anti-terrorist financing, government sanction and “know your client” laws (collectively, including any guidelines or orders thereunder, “</w:t>
      </w:r>
      <w:r>
        <w:rPr>
          <w:rFonts w:ascii="Times New Roman;Times;serif" w:hAnsi="Times New Roman;Times;serif"/>
          <w:b/>
          <w:sz w:val="24"/>
        </w:rPr>
        <w:t>AML Legislation</w:t>
      </w:r>
      <w:r>
        <w:rPr>
          <w:rFonts w:ascii="Times New Roman;Times;serif" w:hAnsi="Times New Roman;Times;serif"/>
          <w:sz w:val="20"/>
        </w:rPr>
        <w:t>”</w:t>
      </w:r>
      <w:r>
        <w:rPr>
          <w:rFonts w:ascii="Times New Roman;Times;serif" w:hAnsi="Times New Roman;Times;serif"/>
          <w:sz w:val="24"/>
        </w:rPr>
        <w:t>), the Secured Parties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any Secured Party or any prospective assignee or participant of a Secured Party, in order to comply with any applicable AML Legislation, whether now or hereafter in existence.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If the Administrative Agent has ascertained the identity of any Loan Party or any authorized signatories of any Loan Party for the purposes of applicable AML Legislation, then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shall be deemed to have done so as an agent for each Secured Party, and this Agreement shall constitute a “written agreement” in such regard between each Secured Party and the Administrative Agent within the meaning of the applicable AML Legislation;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shall provide to each Secured Party copies of all information obtained in such regard without any representation or warranty as to its accuracy or completeness.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the preceding sentence and except as may otherwise be agreed in writing, each of the Secured Parties agrees that the Administrative Agent has no obligation to ascertain the identity of the Loan Parties or any authorized signatories of the Loan Parties on behalf of any Secured Party, or to confirm the completeness or accuracy of any information it obtains from any Loan Party or any such authorized signatory in doing so.</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 signature pages follow]</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201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01" w:name="flnc-20260331xex31d1.htm"/>
      <w:bookmarkStart w:id="1902" w:name="ksflnc20260331xex31d1"/>
      <w:bookmarkEnd w:id="1901"/>
      <w:bookmarkEnd w:id="190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Julian Nebreda, certify that:</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Fluence Energy,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6, 2026</w:t>
      </w:r>
    </w:p>
    <w:tbl>
      <w:tblPr>
        <w:tblW w:w="3771" w:type="dxa"/>
        <w:jc w:val="center"/>
        <w:tblInd w:w="0" w:type="dxa"/>
        <w:tblLayout w:type="fixed"/>
        <w:tblCellMar>
          <w:top w:w="0" w:type="dxa"/>
          <w:left w:w="0" w:type="dxa"/>
          <w:bottom w:w="0" w:type="dxa"/>
          <w:right w:w="0" w:type="dxa"/>
        </w:tblCellMar>
      </w:tblPr>
      <w:tblGrid>
        <w:gridCol w:w="124"/>
        <w:gridCol w:w="406"/>
        <w:gridCol w:w="3241"/>
      </w:tblGrid>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57810" cy="175260"/>
                      <wp:effectExtent l="0" t="0" r="0" b="0"/>
                      <wp:wrapNone/>
                      <wp:docPr id="691" name="Frame69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58035" cy="175260"/>
                      <wp:effectExtent l="0" t="0" r="0" b="0"/>
                      <wp:wrapNone/>
                      <wp:docPr id="692" name="Frame691"/>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Fluence Energy, Inc. </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Julian Nebreda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Julian Nebreda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03" w:name="flnc-20260331xex31d2.htm"/>
      <w:bookmarkStart w:id="1904" w:name="ksflnc20260331xex31d2"/>
      <w:bookmarkEnd w:id="1903"/>
      <w:bookmarkEnd w:id="190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Ahmed Pasha, certify that:</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Fluence Energy,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6, 2026</w:t>
      </w:r>
    </w:p>
    <w:tbl>
      <w:tblPr>
        <w:tblW w:w="4776" w:type="dxa"/>
        <w:jc w:val="center"/>
        <w:tblInd w:w="0" w:type="dxa"/>
        <w:tblLayout w:type="fixed"/>
        <w:tblCellMar>
          <w:top w:w="0" w:type="dxa"/>
          <w:left w:w="0" w:type="dxa"/>
          <w:bottom w:w="0" w:type="dxa"/>
          <w:right w:w="0" w:type="dxa"/>
        </w:tblCellMar>
      </w:tblPr>
      <w:tblGrid>
        <w:gridCol w:w="124"/>
        <w:gridCol w:w="406"/>
        <w:gridCol w:w="4246"/>
      </w:tblGrid>
      <w:tr>
        <w:trPr/>
        <w:tc>
          <w:tcPr>
            <w:tcW w:w="124"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Fluence Energy,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Ahmed Pasha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Ahmed Pasha</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05" w:name="flnc-20260331xex32d1.htm"/>
      <w:bookmarkStart w:id="1906" w:name="ksflnc20260331xex32d1"/>
      <w:bookmarkEnd w:id="1905"/>
      <w:bookmarkEnd w:id="190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Fluence Energy, Inc. (the “Company”) for the period ended March 31, 2026 as filed with the Securities and Exchange Commission on the date hereof (the “Report”), I, Julian Nebreda, Chief Executive Officer and President of the Company, certify, pursuant to 18 U.S.C. Section 1350, as adopted pursuant to Section 906 of the Sarbanes-Oxley Act of 2002, that, to the best of my knowledge:</w:t>
      </w:r>
    </w:p>
    <w:p>
      <w:pPr>
        <w:pStyle w:val="TextBody"/>
        <w:pBdr/>
        <w:bidi w:val="0"/>
        <w:spacing w:before="0" w:after="240"/>
        <w:ind w:left="45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6, 2026</w:t>
      </w:r>
    </w:p>
    <w:tbl>
      <w:tblPr>
        <w:tblW w:w="3816" w:type="dxa"/>
        <w:jc w:val="left"/>
        <w:tblInd w:w="0" w:type="dxa"/>
        <w:tblLayout w:type="fixed"/>
        <w:tblCellMar>
          <w:top w:w="0" w:type="dxa"/>
          <w:left w:w="0" w:type="dxa"/>
          <w:bottom w:w="0" w:type="dxa"/>
          <w:right w:w="0" w:type="dxa"/>
        </w:tblCellMar>
      </w:tblPr>
      <w:tblGrid>
        <w:gridCol w:w="124"/>
        <w:gridCol w:w="451"/>
        <w:gridCol w:w="3241"/>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Julian Nebreda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Julian Nebreda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07" w:name="flnc-20260331xex32d2.htm"/>
      <w:bookmarkStart w:id="1908" w:name="ksflnc20260331xex32d2"/>
      <w:bookmarkEnd w:id="1907"/>
      <w:bookmarkEnd w:id="1908"/>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Fluence Energy, Inc. (the “Company”) for the period ended March 31, 2026 as filed with the Securities and Exchange Commission on the date hereof (the “Report”), I, Ahmed Pasha, Senior Vice President and Chief Financial Officer of the Company, certify, pursuant to 18 U.S.C. Section 1350, as adopted pursuant to Section 906 of the Sarbanes-Oxley Act of 2002, that, to the best of my knowledge:</w:t>
      </w:r>
    </w:p>
    <w:p>
      <w:pPr>
        <w:pStyle w:val="TextBody"/>
        <w:pBdr/>
        <w:bidi w:val="0"/>
        <w:spacing w:before="0" w:after="240"/>
        <w:ind w:left="45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May 6, 2026</w:t>
      </w:r>
    </w:p>
    <w:tbl>
      <w:tblPr>
        <w:tblW w:w="4821" w:type="dxa"/>
        <w:jc w:val="left"/>
        <w:tblInd w:w="0" w:type="dxa"/>
        <w:tblLayout w:type="fixed"/>
        <w:tblCellMar>
          <w:top w:w="0" w:type="dxa"/>
          <w:left w:w="0" w:type="dxa"/>
          <w:bottom w:w="0" w:type="dxa"/>
          <w:right w:w="0" w:type="dxa"/>
        </w:tblCellMar>
      </w:tblPr>
      <w:tblGrid>
        <w:gridCol w:w="124"/>
        <w:gridCol w:w="451"/>
        <w:gridCol w:w="4246"/>
      </w:tblGrid>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Ahmed Pasha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Ahmed Pasha</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hyperlink" Target="https://www.sec.gov/Archives/edgar/data/1868941/000110465926027051/tm268498d1_ex99-1.htm" TargetMode="Externa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148144</Words>
  <Characters>800675</Characters>
  <CharactersWithSpaces>950015</CharactersWithSpaces>
  <Paragraphs>10567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