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alibri" w:cs="Calibri" w:eastAsia="Calibri" w:hAnsi="Calibri"/>
          <w:sz w:val="11"/>
          <w:szCs w:val="11"/>
          <w:color w:val="003366"/>
        </w:rPr>
        <w:t>TABLE OF CONTENTS</w:t>
      </w:r>
    </w:p>
    <w:p>
      <w:pPr>
        <w:spacing w:after="0" w:line="378" w:lineRule="exact"/>
        <w:rPr>
          <w:sz w:val="24"/>
          <w:szCs w:val="24"/>
          <w:color w:val="auto"/>
        </w:rPr>
      </w:pPr>
    </w:p>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 As Filed Pursuant to Rule 424(b)(7)​</w:t>
      </w:r>
    </w:p>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 Registration No. 333-295786 ​</w:t>
      </w:r>
    </w:p>
    <w:p>
      <w:pPr>
        <w:spacing w:after="0" w:line="1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(to Prospectus dated May 12, 2026)</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20,000,000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1889760</wp:posOffset>
            </wp:positionH>
            <wp:positionV relativeFrom="paragraph">
              <wp:posOffset>85725</wp:posOffset>
            </wp:positionV>
            <wp:extent cx="1947545" cy="487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7545" cy="487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FLUENCE ENERGY, INC.</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Class A common stock</w:t>
      </w:r>
    </w:p>
    <w:p>
      <w:pPr>
        <w:spacing w:after="0" w:line="86" w:lineRule="exact"/>
        <w:rPr>
          <w:sz w:val="24"/>
          <w:szCs w:val="24"/>
          <w:color w:val="auto"/>
        </w:rPr>
      </w:pPr>
    </w:p>
    <w:p>
      <w:pPr>
        <w:ind w:left="660" w:right="699" w:firstLine="284"/>
        <w:spacing w:after="0" w:line="296" w:lineRule="auto"/>
        <w:rPr>
          <w:sz w:val="20"/>
          <w:szCs w:val="20"/>
          <w:color w:val="auto"/>
        </w:rPr>
      </w:pPr>
      <w:r>
        <w:rPr>
          <w:rFonts w:ascii="Times New Roman" w:cs="Times New Roman" w:eastAsia="Times New Roman" w:hAnsi="Times New Roman"/>
          <w:sz w:val="13"/>
          <w:szCs w:val="13"/>
          <w:color w:val="auto"/>
        </w:rPr>
        <w:t>The selling securityholders identified in this prospectus supplement (the “Selling Securityholders”) are offering 20,000,000 shares of our Class A common stock. We are not selling any shares of Class A common stock under this prospectus supplement.</w:t>
      </w:r>
    </w:p>
    <w:p>
      <w:pPr>
        <w:spacing w:after="0" w:line="25" w:lineRule="exact"/>
        <w:rPr>
          <w:sz w:val="24"/>
          <w:szCs w:val="24"/>
          <w:color w:val="auto"/>
        </w:rPr>
      </w:pPr>
    </w:p>
    <w:p>
      <w:pPr>
        <w:ind w:left="660" w:right="919" w:firstLine="284"/>
        <w:spacing w:after="0" w:line="296" w:lineRule="auto"/>
        <w:rPr>
          <w:sz w:val="20"/>
          <w:szCs w:val="20"/>
          <w:color w:val="auto"/>
        </w:rPr>
      </w:pPr>
      <w:r>
        <w:rPr>
          <w:rFonts w:ascii="Times New Roman" w:cs="Times New Roman" w:eastAsia="Times New Roman" w:hAnsi="Times New Roman"/>
          <w:sz w:val="13"/>
          <w:szCs w:val="13"/>
          <w:color w:val="auto"/>
        </w:rPr>
        <w:t>The Class A common stock of Fluence Energy, Inc. is listed on the Nasdaq Global Select Market (“Nasdaq”) under the symbol “FLNC.” On May 11, 2026, the last reported sale price of our Class A common stock on Nasdaq was $25.23 per share.</w:t>
      </w:r>
    </w:p>
    <w:p>
      <w:pPr>
        <w:spacing w:after="0" w:line="36" w:lineRule="exact"/>
        <w:rPr>
          <w:sz w:val="24"/>
          <w:szCs w:val="24"/>
          <w:color w:val="auto"/>
        </w:rPr>
      </w:pPr>
    </w:p>
    <w:p>
      <w:pPr>
        <w:ind w:left="660" w:right="939" w:firstLine="284"/>
        <w:spacing w:after="0" w:line="263" w:lineRule="auto"/>
        <w:rPr>
          <w:sz w:val="20"/>
          <w:szCs w:val="20"/>
          <w:color w:val="auto"/>
        </w:rPr>
      </w:pPr>
      <w:r>
        <w:rPr>
          <w:rFonts w:ascii="Times New Roman" w:cs="Times New Roman" w:eastAsia="Times New Roman" w:hAnsi="Times New Roman"/>
          <w:sz w:val="13"/>
          <w:szCs w:val="13"/>
          <w:color w:val="auto"/>
        </w:rPr>
        <w:t>We have three classes of common stock: Class A common stock, Class B-1 common stock and Class B-2 common stock. Each share of our Class A common stock entitles its holder to one vote per share, each share of our Class B -1 common stock entitles its holder to five votes per share and each share of our Class B-2 common stock entitles its holder to one vote per share on all matters presented to our stockholders generally.</w:t>
      </w:r>
    </w:p>
    <w:p>
      <w:pPr>
        <w:spacing w:after="0" w:line="48" w:lineRule="exact"/>
        <w:rPr>
          <w:sz w:val="24"/>
          <w:szCs w:val="24"/>
          <w:color w:val="auto"/>
        </w:rPr>
      </w:pPr>
    </w:p>
    <w:p>
      <w:pPr>
        <w:ind w:left="660" w:right="819" w:firstLine="284"/>
        <w:spacing w:after="0" w:line="267" w:lineRule="auto"/>
        <w:rPr>
          <w:sz w:val="20"/>
          <w:szCs w:val="20"/>
          <w:color w:val="auto"/>
        </w:rPr>
      </w:pPr>
      <w:r>
        <w:rPr>
          <w:rFonts w:ascii="Times New Roman" w:cs="Times New Roman" w:eastAsia="Times New Roman" w:hAnsi="Times New Roman"/>
          <w:sz w:val="13"/>
          <w:szCs w:val="13"/>
          <w:color w:val="auto"/>
        </w:rPr>
        <w:t>We are a holding company and our principal asset is common units of Fluence Energy, LLC (“LLC Interests”). We are the sole managing member of Fluence Energy, LLC. We operate and control all the business and affairs of Fluence Energy, LLC and its direct and indirect subsidiaries and, through Fluence Energy, LLC and its direct and indirect subsidiaries, conduct our business.</w:t>
      </w:r>
    </w:p>
    <w:p>
      <w:pPr>
        <w:spacing w:after="0" w:line="42" w:lineRule="exact"/>
        <w:rPr>
          <w:sz w:val="24"/>
          <w:szCs w:val="24"/>
          <w:color w:val="auto"/>
        </w:rPr>
      </w:pPr>
    </w:p>
    <w:p>
      <w:pPr>
        <w:ind w:left="940"/>
        <w:spacing w:after="0"/>
        <w:tabs>
          <w:tab w:leader="none" w:pos="6440" w:val="left"/>
          <w:tab w:leader="none" w:pos="7540" w:val="left"/>
          <w:tab w:leader="none" w:pos="804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 ​ Per Share  ​ ​</w:t>
      </w:r>
      <w:r>
        <w:rPr>
          <w:sz w:val="20"/>
          <w:szCs w:val="20"/>
          <w:color w:val="auto"/>
        </w:rPr>
        <w:tab/>
      </w:r>
      <w:r>
        <w:rPr>
          <w:rFonts w:ascii="Times New Roman" w:cs="Times New Roman" w:eastAsia="Times New Roman" w:hAnsi="Times New Roman"/>
          <w:sz w:val="11"/>
          <w:szCs w:val="11"/>
          <w:b w:val="1"/>
          <w:bCs w:val="1"/>
          <w:color w:val="auto"/>
        </w:rPr>
        <w:t>Total</w:t>
      </w:r>
      <w:r>
        <w:rPr>
          <w:sz w:val="20"/>
          <w:szCs w:val="20"/>
          <w:color w:val="auto"/>
        </w:rPr>
        <w:tab/>
      </w:r>
      <w:r>
        <w:rPr>
          <w:rFonts w:ascii="Times New Roman" w:cs="Times New Roman" w:eastAsia="Times New Roman" w:hAnsi="Times New Roman"/>
          <w:sz w:val="11"/>
          <w:szCs w:val="1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598170</wp:posOffset>
            </wp:positionH>
            <wp:positionV relativeFrom="paragraph">
              <wp:posOffset>19685</wp:posOffset>
            </wp:positionV>
            <wp:extent cx="4517390" cy="101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17390" cy="101600"/>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3"/>
          <w:szCs w:val="13"/>
          <w:color w:val="auto"/>
        </w:rPr>
        <w:t>Public offering price</w:t>
      </w:r>
    </w:p>
    <w:p>
      <w:pPr>
        <w:spacing w:after="0" w:line="3"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3"/>
          <w:szCs w:val="13"/>
          <w:color w:val="auto"/>
        </w:rPr>
        <w:t>Underwriting discounts and commissions</w:t>
      </w:r>
      <w:r>
        <w:rPr>
          <w:rFonts w:ascii="Times New Roman" w:cs="Times New Roman" w:eastAsia="Times New Roman" w:hAnsi="Times New Roman"/>
          <w:sz w:val="17"/>
          <w:szCs w:val="17"/>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598170</wp:posOffset>
            </wp:positionH>
            <wp:positionV relativeFrom="paragraph">
              <wp:posOffset>-4445</wp:posOffset>
            </wp:positionV>
            <wp:extent cx="4517390" cy="101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17390" cy="10160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3"/>
          <w:szCs w:val="13"/>
          <w:color w:val="auto"/>
        </w:rPr>
        <w:t>Proceeds to the Selling Securityholders, before expenses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422275</wp:posOffset>
            </wp:positionH>
            <wp:positionV relativeFrom="paragraph">
              <wp:posOffset>116840</wp:posOffset>
            </wp:positionV>
            <wp:extent cx="9734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3455" cy="6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5"/>
        </w:trPr>
        <w:tc>
          <w:tcPr>
            <w:tcW w:w="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21.00​​</w:t>
            </w:r>
          </w:p>
        </w:tc>
        <w:tc>
          <w:tcPr>
            <w:tcW w:w="8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​​$420,000,000​</w:t>
            </w:r>
          </w:p>
        </w:tc>
        <w:tc>
          <w:tcPr>
            <w:tcW w:w="40" w:type="dxa"/>
            <w:vAlign w:val="bottom"/>
          </w:tcPr>
          <w:p>
            <w:pPr>
              <w:spacing w:after="0"/>
              <w:rPr>
                <w:sz w:val="11"/>
                <w:szCs w:val="11"/>
                <w:color w:val="auto"/>
              </w:rPr>
            </w:pPr>
          </w:p>
        </w:tc>
      </w:tr>
      <w:tr>
        <w:trPr>
          <w:trHeight w:val="160"/>
        </w:trPr>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0.4725​​</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9,450,000​</w:t>
            </w:r>
          </w:p>
        </w:tc>
      </w:tr>
      <w:tr>
        <w:trPr>
          <w:trHeight w:val="174"/>
        </w:trPr>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 ​​$20.5275​​</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​​$410,550,000​</w:t>
            </w:r>
          </w:p>
        </w:tc>
      </w:tr>
    </w:tbl>
    <w:p>
      <w:pPr>
        <w:spacing w:after="0" w:line="200" w:lineRule="exact"/>
        <w:rPr>
          <w:sz w:val="24"/>
          <w:szCs w:val="24"/>
          <w:color w:val="auto"/>
        </w:rPr>
      </w:pPr>
    </w:p>
    <w:p>
      <w:pPr>
        <w:sectPr>
          <w:pgSz w:w="11900" w:h="16838" w:orient="portrait"/>
          <w:cols w:equalWidth="0" w:num="2">
            <w:col w:w="5740" w:space="720"/>
            <w:col w:w="2559"/>
          </w:cols>
          <w:pgMar w:left="1440" w:top="192" w:right="1440" w:bottom="1440" w:gutter="0" w:footer="0" w:header="0"/>
          <w:type w:val="continuous"/>
        </w:sectPr>
      </w:pPr>
    </w:p>
    <w:p>
      <w:pPr>
        <w:spacing w:after="0" w:line="73" w:lineRule="exact"/>
        <w:rPr>
          <w:sz w:val="24"/>
          <w:szCs w:val="24"/>
          <w:color w:val="auto"/>
        </w:rPr>
      </w:pPr>
    </w:p>
    <w:p>
      <w:pPr>
        <w:ind w:left="660"/>
        <w:spacing w:after="0"/>
        <w:tabs>
          <w:tab w:leader="none" w:pos="920" w:val="left"/>
        </w:tabs>
        <w:rPr>
          <w:sz w:val="20"/>
          <w:szCs w:val="20"/>
          <w:color w:val="auto"/>
        </w:rPr>
      </w:pPr>
      <w:r>
        <w:rPr>
          <w:rFonts w:ascii="Times New Roman" w:cs="Times New Roman" w:eastAsia="Times New Roman" w:hAnsi="Times New Roman"/>
          <w:sz w:val="13"/>
          <w:szCs w:val="13"/>
          <w:color w:val="auto"/>
        </w:rPr>
        <w:t>(1)</w:t>
        <w:tab/>
        <w:t>See “Underwriting” for a description of the compensation payable to the underwriters.</w:t>
      </w:r>
    </w:p>
    <w:p>
      <w:pPr>
        <w:spacing w:after="0" w:line="106" w:lineRule="exact"/>
        <w:rPr>
          <w:sz w:val="24"/>
          <w:szCs w:val="24"/>
          <w:color w:val="auto"/>
        </w:rPr>
      </w:pPr>
    </w:p>
    <w:p>
      <w:pPr>
        <w:ind w:left="660" w:right="679" w:firstLine="284"/>
        <w:spacing w:after="0" w:line="278" w:lineRule="auto"/>
        <w:rPr>
          <w:sz w:val="20"/>
          <w:szCs w:val="20"/>
          <w:color w:val="auto"/>
        </w:rPr>
      </w:pPr>
      <w:r>
        <w:rPr>
          <w:rFonts w:ascii="Times New Roman" w:cs="Times New Roman" w:eastAsia="Times New Roman" w:hAnsi="Times New Roman"/>
          <w:sz w:val="13"/>
          <w:szCs w:val="13"/>
          <w:color w:val="auto"/>
        </w:rPr>
        <w:t>The Selling Securityholders have granted the underwriters an option for a period of 30 days to purchase up to 3,000,000 additional shares of Class A common stock.</w:t>
      </w:r>
    </w:p>
    <w:p>
      <w:pPr>
        <w:spacing w:after="0" w:line="44" w:lineRule="exact"/>
        <w:rPr>
          <w:sz w:val="24"/>
          <w:szCs w:val="24"/>
          <w:color w:val="auto"/>
        </w:rPr>
      </w:pPr>
    </w:p>
    <w:p>
      <w:pPr>
        <w:ind w:left="660" w:right="819" w:firstLine="284"/>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Investing in our common stock involves a high degree of risk. See the section titled “Risk Factors” beginning on page </w:t>
      </w:r>
      <w:r>
        <w:rPr>
          <w:rFonts w:ascii="Times New Roman" w:cs="Times New Roman" w:eastAsia="Times New Roman" w:hAnsi="Times New Roman"/>
          <w:sz w:val="13"/>
          <w:szCs w:val="13"/>
          <w:b w:val="1"/>
          <w:bCs w:val="1"/>
          <w:u w:val="single" w:color="auto"/>
          <w:color w:val="0000EE"/>
        </w:rPr>
        <w:t>S-10</w:t>
      </w:r>
      <w:r>
        <w:rPr>
          <w:rFonts w:ascii="Times New Roman" w:cs="Times New Roman" w:eastAsia="Times New Roman" w:hAnsi="Times New Roman"/>
          <w:sz w:val="13"/>
          <w:szCs w:val="13"/>
          <w:b w:val="1"/>
          <w:bCs w:val="1"/>
          <w:color w:val="auto"/>
        </w:rPr>
        <w:t xml:space="preserve"> of this prospectus supplement and the other risk factors that we incorporate by reference into this prospectus supplement and the accompanying prospectus.</w:t>
      </w:r>
    </w:p>
    <w:p>
      <w:pPr>
        <w:spacing w:after="0" w:line="49" w:lineRule="exact"/>
        <w:rPr>
          <w:sz w:val="24"/>
          <w:szCs w:val="24"/>
          <w:color w:val="auto"/>
        </w:rPr>
      </w:pPr>
    </w:p>
    <w:p>
      <w:pPr>
        <w:ind w:left="660" w:right="919" w:firstLine="284"/>
        <w:spacing w:after="0" w:line="270"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53" w:lineRule="exact"/>
        <w:rPr>
          <w:sz w:val="24"/>
          <w:szCs w:val="24"/>
          <w:color w:val="auto"/>
        </w:rPr>
      </w:pPr>
    </w:p>
    <w:p>
      <w:pPr>
        <w:ind w:left="660" w:right="699" w:firstLine="284"/>
        <w:spacing w:after="0" w:line="257" w:lineRule="auto"/>
        <w:rPr>
          <w:sz w:val="20"/>
          <w:szCs w:val="20"/>
          <w:color w:val="auto"/>
        </w:rPr>
      </w:pPr>
      <w:r>
        <w:rPr>
          <w:rFonts w:ascii="Times New Roman" w:cs="Times New Roman" w:eastAsia="Times New Roman" w:hAnsi="Times New Roman"/>
          <w:sz w:val="13"/>
          <w:szCs w:val="13"/>
          <w:color w:val="auto"/>
        </w:rPr>
        <w:t>The underwriters expect to deliver the Class A common stock on or about May 15, 2026, which will be the second business day following the initial trade date for the Class A common stock sold in this offering (this settlement cycle being referred to as “T+2”). Under Rule 15c6-1 under the Securities Exchange Act of 1934, as amended, trades in the secondary market generally are required to settle in one business day, unless the parties to any such trade expressly agree otherwise. Accordingly, purchasers who wish to trade Class A common stock purchased in this offering prior to the business day preceding the settlement date will be required, by virtue of the fact that the shares initially will settle T+2, to specify an alternate settlement cycle at the time of any such trade to prevent a failed settlement. Purchasers of the Class A common stock who wish to trade such Class A common stock prior to the business day preceding the settlement date should consult their own advisors.</w:t>
      </w:r>
    </w:p>
    <w:p>
      <w:pPr>
        <w:spacing w:after="0" w:line="187" w:lineRule="exact"/>
        <w:rPr>
          <w:sz w:val="24"/>
          <w:szCs w:val="24"/>
          <w:color w:val="auto"/>
        </w:rPr>
      </w:pPr>
    </w:p>
    <w:tbl>
      <w:tblPr>
        <w:tblLayout w:type="fixed"/>
        <w:tblInd w:w="660" w:type="dxa"/>
        <w:tblCellMar>
          <w:top w:w="0" w:type="dxa"/>
          <w:left w:w="0" w:type="dxa"/>
          <w:bottom w:w="0" w:type="dxa"/>
          <w:right w:w="0" w:type="dxa"/>
        </w:tblCellMar>
      </w:tblPr>
      <w:tr>
        <w:trPr>
          <w:trHeight w:val="176"/>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0" w:type="dxa"/>
            <w:vAlign w:val="bottom"/>
            <w:gridSpan w:val="2"/>
          </w:tcPr>
          <w:p>
            <w:pPr>
              <w:jc w:val="center"/>
              <w:ind w:right="835"/>
              <w:spacing w:after="0"/>
              <w:rPr>
                <w:sz w:val="20"/>
                <w:szCs w:val="20"/>
                <w:color w:val="auto"/>
              </w:rPr>
            </w:pPr>
            <w:r>
              <w:rPr>
                <w:rFonts w:ascii="Times New Roman" w:cs="Times New Roman" w:eastAsia="Times New Roman" w:hAnsi="Times New Roman"/>
                <w:sz w:val="13"/>
                <w:szCs w:val="13"/>
                <w:i w:val="1"/>
                <w:iCs w:val="1"/>
                <w:color w:val="auto"/>
              </w:rPr>
              <w:t>Joint book-running managers</w:t>
            </w:r>
          </w:p>
        </w:tc>
        <w:tc>
          <w:tcPr>
            <w:tcW w:w="2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1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​Barclays</w:t>
            </w:r>
          </w:p>
        </w:tc>
        <w:tc>
          <w:tcPr>
            <w:tcW w:w="3780" w:type="dxa"/>
            <w:vAlign w:val="bottom"/>
            <w:gridSpan w:val="3"/>
          </w:tcPr>
          <w:p>
            <w:pPr>
              <w:jc w:val="center"/>
              <w:ind w:left="110"/>
              <w:spacing w:after="0"/>
              <w:rPr>
                <w:sz w:val="20"/>
                <w:szCs w:val="20"/>
                <w:color w:val="auto"/>
              </w:rPr>
            </w:pPr>
            <w:r>
              <w:rPr>
                <w:rFonts w:ascii="Times New Roman" w:cs="Times New Roman" w:eastAsia="Times New Roman" w:hAnsi="Times New Roman"/>
                <w:sz w:val="20"/>
                <w:szCs w:val="20"/>
                <w:b w:val="1"/>
                <w:bCs w:val="1"/>
                <w:color w:val="auto"/>
              </w:rPr>
              <w:t>​ ​ Goldman Sachs &amp; Co. LLC​ ​</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J.P. Morgan​</w:t>
            </w:r>
          </w:p>
        </w:tc>
        <w:tc>
          <w:tcPr>
            <w:tcW w:w="0" w:type="dxa"/>
            <w:vAlign w:val="bottom"/>
          </w:tcPr>
          <w:p>
            <w:pPr>
              <w:spacing w:after="0"/>
              <w:rPr>
                <w:sz w:val="1"/>
                <w:szCs w:val="1"/>
                <w:color w:val="auto"/>
              </w:rPr>
            </w:pPr>
          </w:p>
        </w:tc>
      </w:tr>
      <w:tr>
        <w:trPr>
          <w:trHeight w:val="268"/>
        </w:trPr>
        <w:tc>
          <w:tcPr>
            <w:tcW w:w="18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0" w:type="dxa"/>
            <w:vAlign w:val="bottom"/>
          </w:tcPr>
          <w:p>
            <w:pPr>
              <w:jc w:val="center"/>
              <w:ind w:left="4"/>
              <w:spacing w:after="0"/>
              <w:rPr>
                <w:sz w:val="20"/>
                <w:szCs w:val="20"/>
                <w:color w:val="auto"/>
              </w:rPr>
            </w:pPr>
            <w:r>
              <w:rPr>
                <w:rFonts w:ascii="Times New Roman" w:cs="Times New Roman" w:eastAsia="Times New Roman" w:hAnsi="Times New Roman"/>
                <w:sz w:val="13"/>
                <w:szCs w:val="13"/>
                <w:i w:val="1"/>
                <w:iCs w:val="1"/>
                <w:color w:val="auto"/>
              </w:rPr>
              <w:t>Joint Bookrunners</w:t>
            </w:r>
          </w:p>
        </w:tc>
        <w:tc>
          <w:tcPr>
            <w:tcW w:w="10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BNP​ PARIBAS</w:t>
            </w:r>
          </w:p>
        </w:tc>
        <w:tc>
          <w:tcPr>
            <w:tcW w:w="118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color w:val="auto"/>
              </w:rPr>
              <w:t>​ ​</w:t>
            </w:r>
          </w:p>
        </w:tc>
        <w:tc>
          <w:tcPr>
            <w:tcW w:w="1600" w:type="dxa"/>
            <w:vAlign w:val="bottom"/>
          </w:tcPr>
          <w:p>
            <w:pPr>
              <w:jc w:val="center"/>
              <w:ind w:left="4"/>
              <w:spacing w:after="0"/>
              <w:rPr>
                <w:sz w:val="20"/>
                <w:szCs w:val="20"/>
                <w:color w:val="auto"/>
              </w:rPr>
            </w:pPr>
            <w:r>
              <w:rPr>
                <w:rFonts w:ascii="Times New Roman" w:cs="Times New Roman" w:eastAsia="Times New Roman" w:hAnsi="Times New Roman"/>
                <w:sz w:val="17"/>
                <w:szCs w:val="17"/>
                <w:b w:val="1"/>
                <w:bCs w:val="1"/>
                <w:color w:val="auto"/>
                <w:w w:val="95"/>
              </w:rPr>
              <w:t>Citigroup</w:t>
            </w: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Mizuho​</w:t>
            </w:r>
          </w:p>
        </w:tc>
        <w:tc>
          <w:tcPr>
            <w:tcW w:w="0" w:type="dxa"/>
            <w:vAlign w:val="bottom"/>
          </w:tcPr>
          <w:p>
            <w:pPr>
              <w:spacing w:after="0"/>
              <w:rPr>
                <w:sz w:val="1"/>
                <w:szCs w:val="1"/>
                <w:color w:val="auto"/>
              </w:rPr>
            </w:pPr>
          </w:p>
        </w:tc>
      </w:tr>
      <w:tr>
        <w:trPr>
          <w:trHeight w:val="170"/>
        </w:trPr>
        <w:tc>
          <w:tcPr>
            <w:tcW w:w="1820" w:type="dxa"/>
            <w:vAlign w:val="bottom"/>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tcPr>
          <w:p>
            <w:pPr>
              <w:ind w:left="1060"/>
              <w:spacing w:after="0" w:line="171" w:lineRule="exact"/>
              <w:rPr>
                <w:sz w:val="20"/>
                <w:szCs w:val="20"/>
                <w:color w:val="auto"/>
              </w:rPr>
            </w:pPr>
            <w:r>
              <w:rPr>
                <w:rFonts w:ascii="Times New Roman" w:cs="Times New Roman" w:eastAsia="Times New Roman" w:hAnsi="Times New Roman"/>
                <w:sz w:val="17"/>
                <w:szCs w:val="17"/>
                <w:b w:val="1"/>
                <w:bCs w:val="1"/>
                <w:color w:val="auto"/>
              </w:rPr>
              <w:t>​ ​</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RBC Capital Markets</w:t>
            </w:r>
          </w:p>
        </w:tc>
        <w:tc>
          <w:tcPr>
            <w:tcW w:w="100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 ​</w:t>
            </w:r>
          </w:p>
        </w:tc>
        <w:tc>
          <w:tcPr>
            <w:tcW w:w="20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b w:val="1"/>
                <w:bCs w:val="1"/>
                <w:color w:val="auto"/>
                <w:w w:val="94"/>
              </w:rPr>
              <w:t>Wells Fargo Securities</w:t>
            </w:r>
          </w:p>
        </w:tc>
        <w:tc>
          <w:tcPr>
            <w:tcW w:w="60" w:type="dxa"/>
            <w:vAlign w:val="bottom"/>
          </w:tcPr>
          <w:p>
            <w:pPr>
              <w:jc w:val="right"/>
              <w:spacing w:after="0" w:line="171"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6"/>
        </w:trPr>
        <w:tc>
          <w:tcPr>
            <w:tcW w:w="1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Morgan Stanley</w:t>
            </w:r>
          </w:p>
        </w:tc>
        <w:tc>
          <w:tcPr>
            <w:tcW w:w="118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date of this prospectus supplement is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166370</wp:posOffset>
            </wp:positionH>
            <wp:positionV relativeFrom="paragraph">
              <wp:posOffset>200660</wp:posOffset>
            </wp:positionV>
            <wp:extent cx="53879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type w:val="continuous"/>
        </w:sectPr>
      </w:pPr>
    </w:p>
    <w:bookmarkStart w:id="1" w:name="page2"/>
    <w:bookmarkEnd w:id="1"/>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45" w:lineRule="exact"/>
        <w:rPr>
          <w:sz w:val="20"/>
          <w:szCs w:val="20"/>
          <w:color w:val="auto"/>
        </w:rPr>
      </w:pPr>
    </w:p>
    <w:p>
      <w:pPr>
        <w:jc w:val="both"/>
        <w:ind w:left="1260"/>
        <w:spacing w:after="0"/>
        <w:tabs>
          <w:tab w:leader="none" w:pos="7260" w:val="left"/>
          <w:tab w:leader="none" w:pos="746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 ​</w:t>
      </w:r>
      <w:r>
        <w:rPr>
          <w:sz w:val="20"/>
          <w:szCs w:val="20"/>
          <w:color w:val="auto"/>
        </w:rPr>
        <w:tab/>
      </w:r>
      <w:r>
        <w:rPr>
          <w:rFonts w:ascii="Times New Roman" w:cs="Times New Roman" w:eastAsia="Times New Roman" w:hAnsi="Times New Roman"/>
          <w:sz w:val="19"/>
          <w:szCs w:val="19"/>
          <w:b w:val="1"/>
          <w:bCs w:val="1"/>
          <w:color w:val="auto"/>
          <w:vertAlign w:val="superscript"/>
        </w:rPr>
        <w:t xml:space="preserve">Page </w:t>
      </w:r>
      <w:r>
        <w:rPr>
          <w:rFonts w:ascii="Times New Roman" w:cs="Times New Roman" w:eastAsia="Times New Roman" w:hAnsi="Times New Roman"/>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-24130</wp:posOffset>
            </wp:positionV>
            <wp:extent cx="4111625" cy="135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11625" cy="13525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spacing w:after="0" w:line="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15240</wp:posOffset>
            </wp:positionV>
            <wp:extent cx="411162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1625" cy="128270"/>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CAUTIONARY STATEMENT REGARDING FORWARD-LOOKING INFORMATION</w:t>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15240</wp:posOffset>
            </wp:positionV>
            <wp:extent cx="4111625" cy="135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1625" cy="13525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PROSPECTUS SUPPLEMENT SUMMARY</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15240</wp:posOffset>
            </wp:positionV>
            <wp:extent cx="4111625" cy="135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1625" cy="13525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DIVIDEND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15240</wp:posOffset>
            </wp:positionV>
            <wp:extent cx="4111625" cy="135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1625" cy="13525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SELLING SECURITYHOLDERS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15240</wp:posOffset>
            </wp:positionV>
            <wp:extent cx="4111625" cy="135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1625" cy="13525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UNDERWRITING</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15240</wp:posOffset>
            </wp:positionV>
            <wp:extent cx="4111625" cy="135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11625" cy="13525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17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br w:type="column"/>
      </w:r>
    </w:p>
    <w:p>
      <w:pPr>
        <w:jc w:val="right"/>
        <w:ind w:right="1239"/>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S-1</w:t>
      </w:r>
      <w:r>
        <w:rPr>
          <w:rFonts w:ascii="Times New Roman" w:cs="Times New Roman" w:eastAsia="Times New Roman" w:hAnsi="Times New Roman"/>
          <w:sz w:val="14"/>
          <w:szCs w:val="14"/>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S-2</w:t>
      </w:r>
      <w:r>
        <w:rPr>
          <w:rFonts w:ascii="Times New Roman" w:cs="Times New Roman" w:eastAsia="Times New Roman" w:hAnsi="Times New Roman"/>
          <w:sz w:val="14"/>
          <w:szCs w:val="14"/>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S-6</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S-7</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S-10</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S-16</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S-17</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S-19</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S-23</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S-34</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S-35</w:t>
      </w:r>
      <w:r>
        <w:rPr>
          <w:rFonts w:ascii="Times New Roman" w:cs="Times New Roman" w:eastAsia="Times New Roman" w:hAnsi="Times New Roman"/>
          <w:sz w:val="14"/>
          <w:szCs w:val="14"/>
          <w:color w:val="auto"/>
        </w:rPr>
        <w:t>​</w:t>
      </w:r>
    </w:p>
    <w:p>
      <w:pPr>
        <w:spacing w:after="0" w:line="449" w:lineRule="exact"/>
        <w:rPr>
          <w:sz w:val="20"/>
          <w:szCs w:val="20"/>
          <w:color w:val="auto"/>
        </w:rPr>
      </w:pPr>
    </w:p>
    <w:p>
      <w:pPr>
        <w:sectPr>
          <w:pgSz w:w="11900" w:h="16838" w:orient="portrait"/>
          <w:cols w:equalWidth="0" w:num="2">
            <w:col w:w="6740" w:space="580"/>
            <w:col w:w="1699"/>
          </w:cols>
          <w:pgMar w:left="1440" w:top="108"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4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ABOUT THIS PROSPECTUS</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500" w:type="dxa"/>
            <w:vAlign w:val="bottom"/>
            <w:gridSpan w:val="15"/>
          </w:tcPr>
          <w:p>
            <w:pPr>
              <w:spacing w:after="0" w:line="160" w:lineRule="exact"/>
              <w:rPr>
                <w:sz w:val="20"/>
                <w:szCs w:val="20"/>
                <w:color w:val="auto"/>
              </w:rPr>
            </w:pPr>
            <w:r>
              <w:rPr>
                <w:rFonts w:ascii="Times New Roman" w:cs="Times New Roman" w:eastAsia="Times New Roman" w:hAnsi="Times New Roman"/>
                <w:sz w:val="14"/>
                <w:szCs w:val="14"/>
                <w:color w:val="0000EE"/>
              </w:rPr>
              <w:t>CAUTIONARY STATEMENT REGARDING FORWARD-LOOKING INFORMATION</w:t>
            </w:r>
          </w:p>
        </w:tc>
        <w:tc>
          <w:tcPr>
            <w:tcW w:w="90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0000EE"/>
                <w:w w:val="85"/>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260" w:type="dxa"/>
            <w:vAlign w:val="bottom"/>
            <w:gridSpan w:val="14"/>
            <w:shd w:val="clear" w:color="auto" w:fill="0000EE"/>
          </w:tcPr>
          <w:p>
            <w:pPr>
              <w:jc w:val="right"/>
              <w:ind w:right="5220"/>
              <w:spacing w:after="0" w:line="10" w:lineRule="exact"/>
              <w:rPr>
                <w:sz w:val="20"/>
                <w:szCs w:val="20"/>
                <w:color w:val="auto"/>
              </w:rPr>
            </w:pPr>
            <w:r>
              <w:rPr>
                <w:rFonts w:ascii="Times New Roman" w:cs="Times New Roman" w:eastAsia="Times New Roman" w:hAnsi="Times New Roman"/>
                <w:sz w:val="1"/>
                <w:szCs w:val="1"/>
                <w:color w:val="auto"/>
              </w:rPr>
              <w:t>​</w:t>
            </w:r>
          </w:p>
        </w:tc>
        <w:tc>
          <w:tcPr>
            <w:tcW w:w="2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WHERE YOU CAN FIND MORE INFORMATION; INCORPORATION BY REFERENCE</w:t>
            </w:r>
          </w:p>
        </w:tc>
        <w:tc>
          <w:tcPr>
            <w:tcW w:w="900" w:type="dxa"/>
            <w:vAlign w:val="bottom"/>
            <w:tcBorders>
              <w:right w:val="single" w:sz="8" w:color="CCEEFF"/>
            </w:tcBorders>
            <w:gridSpan w:val="2"/>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w w:val="85"/>
              </w:rPr>
              <w:t>4</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shd w:val="clear" w:color="auto" w:fill="0000EE"/>
          </w:tcPr>
          <w:p>
            <w:pPr>
              <w:spacing w:after="0" w:line="20" w:lineRule="exact"/>
              <w:rPr>
                <w:sz w:val="1"/>
                <w:szCs w:val="1"/>
                <w:color w:val="auto"/>
              </w:rPr>
            </w:pPr>
          </w:p>
        </w:tc>
        <w:tc>
          <w:tcPr>
            <w:tcW w:w="5480" w:type="dxa"/>
            <w:vAlign w:val="bottom"/>
            <w:tcBorders>
              <w:bottom w:val="single" w:sz="8" w:color="CCEEFF"/>
            </w:tcBorders>
            <w:gridSpan w:val="14"/>
            <w:shd w:val="clear" w:color="auto" w:fill="0000EE"/>
          </w:tcPr>
          <w:p>
            <w:pPr>
              <w:jc w:val="right"/>
              <w:ind w:right="5460"/>
              <w:spacing w:after="0" w:line="10" w:lineRule="exact"/>
              <w:rPr>
                <w:sz w:val="20"/>
                <w:szCs w:val="20"/>
                <w:color w:val="auto"/>
              </w:rPr>
            </w:pPr>
            <w:r>
              <w:rPr>
                <w:rFonts w:ascii="Times New Roman" w:cs="Times New Roman" w:eastAsia="Times New Roman" w:hAnsi="Times New Roman"/>
                <w:sz w:val="1"/>
                <w:szCs w:val="1"/>
                <w:color w:val="auto"/>
                <w:w w:val="4294942296"/>
              </w:rPr>
              <w:t>​</w:t>
            </w:r>
          </w:p>
        </w:tc>
        <w:tc>
          <w:tcPr>
            <w:tcW w:w="900" w:type="dxa"/>
            <w:vAlign w:val="bottom"/>
            <w:tcBorders>
              <w:bottom w:val="single" w:sz="8" w:color="CCEEFF"/>
              <w:right w:val="single" w:sz="8" w:color="CCEEFF"/>
            </w:tcBorders>
            <w:gridSpan w:val="2"/>
            <w:vMerge w:val="continue"/>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70"/>
        </w:trPr>
        <w:tc>
          <w:tcPr>
            <w:tcW w:w="55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ABOUT FLUENCE ENERGY, INC.</w:t>
            </w:r>
          </w:p>
        </w:tc>
        <w:tc>
          <w:tcPr>
            <w:tcW w:w="90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85"/>
              </w:rPr>
              <w:t>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180" w:type="dxa"/>
            <w:vAlign w:val="bottom"/>
            <w:gridSpan w:val="10"/>
            <w:shd w:val="clear" w:color="auto" w:fill="0000EE"/>
          </w:tcPr>
          <w:p>
            <w:pPr>
              <w:jc w:val="right"/>
              <w:ind w:right="2140"/>
              <w:spacing w:after="0" w:line="10"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900" w:type="dxa"/>
            <w:vAlign w:val="bottom"/>
            <w:tcBorders>
              <w:right w:val="single" w:sz="8" w:color="CCEEFF"/>
            </w:tcBorders>
            <w:gridSpan w:val="2"/>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w w:val="85"/>
              </w:rPr>
              <w:t>7</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shd w:val="clear" w:color="auto" w:fill="0000EE"/>
          </w:tcPr>
          <w:p>
            <w:pPr>
              <w:spacing w:after="0" w:line="20" w:lineRule="exact"/>
              <w:rPr>
                <w:sz w:val="1"/>
                <w:szCs w:val="1"/>
                <w:color w:val="auto"/>
              </w:rPr>
            </w:pPr>
          </w:p>
        </w:tc>
        <w:tc>
          <w:tcPr>
            <w:tcW w:w="1000" w:type="dxa"/>
            <w:vAlign w:val="bottom"/>
            <w:tcBorders>
              <w:bottom w:val="single" w:sz="8" w:color="CCEEFF"/>
            </w:tcBorders>
            <w:gridSpan w:val="2"/>
            <w:shd w:val="clear" w:color="auto" w:fill="0000EE"/>
          </w:tcPr>
          <w:p>
            <w:pPr>
              <w:jc w:val="right"/>
              <w:ind w:right="980"/>
              <w:spacing w:after="0" w:line="10" w:lineRule="exact"/>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gridSpan w:val="2"/>
            <w:shd w:val="clear" w:color="auto" w:fill="CCEEFF"/>
          </w:tcPr>
          <w:p>
            <w:pPr>
              <w:spacing w:after="0" w:line="20" w:lineRule="exact"/>
              <w:rPr>
                <w:sz w:val="1"/>
                <w:szCs w:val="1"/>
                <w:color w:val="auto"/>
              </w:rPr>
            </w:pPr>
          </w:p>
        </w:tc>
        <w:tc>
          <w:tcPr>
            <w:tcW w:w="300" w:type="dxa"/>
            <w:vAlign w:val="bottom"/>
            <w:tcBorders>
              <w:bottom w:val="single" w:sz="8" w:color="CCEEFF"/>
            </w:tcBorders>
            <w:gridSpan w:val="2"/>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2920" w:type="dxa"/>
            <w:vAlign w:val="bottom"/>
            <w:tcBorders>
              <w:bottom w:val="single" w:sz="8" w:color="CCEEFF"/>
            </w:tcBorders>
            <w:gridSpan w:val="2"/>
            <w:shd w:val="clear" w:color="auto" w:fill="CCEEFF"/>
          </w:tcPr>
          <w:p>
            <w:pPr>
              <w:spacing w:after="0" w:line="20" w:lineRule="exact"/>
              <w:rPr>
                <w:sz w:val="1"/>
                <w:szCs w:val="1"/>
                <w:color w:val="auto"/>
              </w:rPr>
            </w:pPr>
          </w:p>
        </w:tc>
        <w:tc>
          <w:tcPr>
            <w:tcW w:w="900" w:type="dxa"/>
            <w:vAlign w:val="bottom"/>
            <w:tcBorders>
              <w:bottom w:val="single" w:sz="8" w:color="CCEEFF"/>
              <w:right w:val="single" w:sz="8" w:color="CCEEFF"/>
            </w:tcBorders>
            <w:gridSpan w:val="2"/>
            <w:vMerge w:val="continue"/>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70"/>
        </w:trPr>
        <w:tc>
          <w:tcPr>
            <w:tcW w:w="55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90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85"/>
              </w:rPr>
              <w:t>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300" w:type="dxa"/>
            <w:vAlign w:val="bottom"/>
            <w:gridSpan w:val="5"/>
            <w:shd w:val="clear" w:color="auto" w:fill="0000EE"/>
          </w:tcPr>
          <w:p>
            <w:pPr>
              <w:jc w:val="right"/>
              <w:ind w:right="1260"/>
              <w:spacing w:after="0" w:line="10"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CAPITAL STOCK</w:t>
            </w:r>
          </w:p>
        </w:tc>
        <w:tc>
          <w:tcPr>
            <w:tcW w:w="900" w:type="dxa"/>
            <w:vAlign w:val="bottom"/>
            <w:tcBorders>
              <w:right w:val="single" w:sz="8" w:color="CCEEFF"/>
            </w:tcBorders>
            <w:gridSpan w:val="2"/>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w w:val="85"/>
              </w:rPr>
              <w:t>9</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shd w:val="clear" w:color="auto" w:fill="0000EE"/>
          </w:tcPr>
          <w:p>
            <w:pPr>
              <w:spacing w:after="0" w:line="20" w:lineRule="exact"/>
              <w:rPr>
                <w:sz w:val="1"/>
                <w:szCs w:val="1"/>
                <w:color w:val="auto"/>
              </w:rPr>
            </w:pPr>
          </w:p>
        </w:tc>
        <w:tc>
          <w:tcPr>
            <w:tcW w:w="2320" w:type="dxa"/>
            <w:vAlign w:val="bottom"/>
            <w:tcBorders>
              <w:bottom w:val="single" w:sz="8" w:color="CCEEFF"/>
            </w:tcBorders>
            <w:gridSpan w:val="10"/>
            <w:shd w:val="clear" w:color="auto" w:fill="0000EE"/>
          </w:tcPr>
          <w:p>
            <w:pPr>
              <w:jc w:val="right"/>
              <w:ind w:right="2300"/>
              <w:spacing w:after="0" w:line="10" w:lineRule="exact"/>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2920" w:type="dxa"/>
            <w:vAlign w:val="bottom"/>
            <w:tcBorders>
              <w:bottom w:val="single" w:sz="8" w:color="CCEEFF"/>
            </w:tcBorders>
            <w:gridSpan w:val="2"/>
            <w:shd w:val="clear" w:color="auto" w:fill="CCEEFF"/>
          </w:tcPr>
          <w:p>
            <w:pPr>
              <w:spacing w:after="0" w:line="20" w:lineRule="exact"/>
              <w:rPr>
                <w:sz w:val="1"/>
                <w:szCs w:val="1"/>
                <w:color w:val="auto"/>
              </w:rPr>
            </w:pPr>
          </w:p>
        </w:tc>
        <w:tc>
          <w:tcPr>
            <w:tcW w:w="900" w:type="dxa"/>
            <w:vAlign w:val="bottom"/>
            <w:tcBorders>
              <w:bottom w:val="single" w:sz="8" w:color="CCEEFF"/>
              <w:right w:val="single" w:sz="8" w:color="CCEEFF"/>
            </w:tcBorders>
            <w:gridSpan w:val="2"/>
            <w:vMerge w:val="continue"/>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70"/>
        </w:trPr>
        <w:tc>
          <w:tcPr>
            <w:tcW w:w="55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DESCRIPTION OF DEBT SECURITIES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rPr>
              <w:t>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480" w:type="dxa"/>
            <w:vAlign w:val="bottom"/>
            <w:gridSpan w:val="12"/>
            <w:shd w:val="clear" w:color="auto" w:fill="0000EE"/>
          </w:tcPr>
          <w:p>
            <w:pPr>
              <w:jc w:val="right"/>
              <w:ind w:right="2440"/>
              <w:spacing w:after="0" w:line="10"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40" w:type="dxa"/>
            <w:vAlign w:val="bottom"/>
          </w:tcPr>
          <w:p>
            <w:pPr>
              <w:ind w:left="700"/>
              <w:spacing w:after="0" w:line="2"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right w:val="single" w:sz="8" w:color="0000EE"/>
            </w:tcBorders>
            <w:shd w:val="clear" w:color="auto" w:fill="0000EE"/>
          </w:tcPr>
          <w:p>
            <w:pPr>
              <w:jc w:val="right"/>
              <w:ind w:right="35"/>
              <w:spacing w:after="0" w:line="10"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OTHER SECURITIES</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rPr>
              <w:t>22</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shd w:val="clear" w:color="auto" w:fill="0000EE"/>
          </w:tcPr>
          <w:p>
            <w:pPr>
              <w:spacing w:after="0" w:line="20" w:lineRule="exact"/>
              <w:rPr>
                <w:sz w:val="1"/>
                <w:szCs w:val="1"/>
                <w:color w:val="auto"/>
              </w:rPr>
            </w:pPr>
          </w:p>
        </w:tc>
        <w:tc>
          <w:tcPr>
            <w:tcW w:w="2560" w:type="dxa"/>
            <w:vAlign w:val="bottom"/>
            <w:tcBorders>
              <w:bottom w:val="single" w:sz="8" w:color="CCEEFF"/>
            </w:tcBorders>
            <w:gridSpan w:val="12"/>
            <w:shd w:val="clear" w:color="auto" w:fill="0000EE"/>
          </w:tcPr>
          <w:p>
            <w:pPr>
              <w:jc w:val="right"/>
              <w:ind w:right="2540"/>
              <w:spacing w:after="0" w:line="10" w:lineRule="exact"/>
              <w:rPr>
                <w:sz w:val="20"/>
                <w:szCs w:val="20"/>
                <w:color w:val="auto"/>
              </w:rPr>
            </w:pPr>
            <w:r>
              <w:rPr>
                <w:rFonts w:ascii="Times New Roman" w:cs="Times New Roman" w:eastAsia="Times New Roman" w:hAnsi="Times New Roman"/>
                <w:sz w:val="1"/>
                <w:szCs w:val="1"/>
                <w:color w:val="auto"/>
                <w:w w:val="4294942296"/>
              </w:rPr>
              <w:t>​</w:t>
            </w:r>
          </w:p>
        </w:tc>
        <w:tc>
          <w:tcPr>
            <w:tcW w:w="2920" w:type="dxa"/>
            <w:vAlign w:val="bottom"/>
            <w:tcBorders>
              <w:bottom w:val="single" w:sz="8" w:color="CCEEFF"/>
            </w:tcBorders>
            <w:gridSpan w:val="2"/>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CCEEFF"/>
          </w:tcPr>
          <w:p>
            <w:pPr>
              <w:ind w:left="700"/>
              <w:spacing w:after="0" w:line="2"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right w:val="single" w:sz="8" w:color="0000EE"/>
            </w:tcBorders>
            <w:shd w:val="clear" w:color="auto" w:fill="0000EE"/>
          </w:tcPr>
          <w:p>
            <w:pPr>
              <w:jc w:val="right"/>
              <w:ind w:right="35"/>
              <w:spacing w:after="0" w:line="10"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70"/>
        </w:trPr>
        <w:tc>
          <w:tcPr>
            <w:tcW w:w="55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GLOBAL SECURITIES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80" w:type="dxa"/>
            <w:vAlign w:val="bottom"/>
            <w:gridSpan w:val="6"/>
            <w:shd w:val="clear" w:color="auto" w:fill="0000EE"/>
          </w:tcPr>
          <w:p>
            <w:pPr>
              <w:jc w:val="right"/>
              <w:ind w:right="1440"/>
              <w:spacing w:after="0" w:line="10"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840" w:type="dxa"/>
            <w:vAlign w:val="bottom"/>
          </w:tcPr>
          <w:p>
            <w:pPr>
              <w:ind w:left="700"/>
              <w:spacing w:after="0" w:line="2"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right w:val="single" w:sz="8" w:color="0000EE"/>
            </w:tcBorders>
            <w:shd w:val="clear" w:color="auto" w:fill="0000EE"/>
          </w:tcPr>
          <w:p>
            <w:pPr>
              <w:jc w:val="right"/>
              <w:ind w:right="35"/>
              <w:spacing w:after="0" w:line="10"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SELLING SECURITYHOLDERS</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rPr>
              <w:t>27</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shd w:val="clear" w:color="auto" w:fill="0000EE"/>
          </w:tcPr>
          <w:p>
            <w:pPr>
              <w:spacing w:after="0" w:line="20" w:lineRule="exact"/>
              <w:rPr>
                <w:sz w:val="1"/>
                <w:szCs w:val="1"/>
                <w:color w:val="auto"/>
              </w:rPr>
            </w:pPr>
          </w:p>
        </w:tc>
        <w:tc>
          <w:tcPr>
            <w:tcW w:w="2020" w:type="dxa"/>
            <w:vAlign w:val="bottom"/>
            <w:tcBorders>
              <w:bottom w:val="single" w:sz="8" w:color="CCEEFF"/>
            </w:tcBorders>
            <w:gridSpan w:val="8"/>
            <w:shd w:val="clear" w:color="auto" w:fill="0000EE"/>
          </w:tcPr>
          <w:p>
            <w:pPr>
              <w:jc w:val="right"/>
              <w:ind w:right="2000"/>
              <w:spacing w:after="0" w:line="10" w:lineRule="exact"/>
              <w:rPr>
                <w:sz w:val="20"/>
                <w:szCs w:val="20"/>
                <w:color w:val="auto"/>
              </w:rPr>
            </w:pPr>
            <w:r>
              <w:rPr>
                <w:rFonts w:ascii="Times New Roman" w:cs="Times New Roman" w:eastAsia="Times New Roman" w:hAnsi="Times New Roman"/>
                <w:sz w:val="1"/>
                <w:szCs w:val="1"/>
                <w:color w:val="auto"/>
                <w:w w:val="4294942296"/>
              </w:rPr>
              <w:t>​</w:t>
            </w:r>
          </w:p>
        </w:tc>
        <w:tc>
          <w:tcPr>
            <w:tcW w:w="3460" w:type="dxa"/>
            <w:vAlign w:val="bottom"/>
            <w:tcBorders>
              <w:bottom w:val="single" w:sz="8" w:color="CCEEFF"/>
            </w:tcBorders>
            <w:gridSpan w:val="6"/>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CCEEFF"/>
          </w:tcPr>
          <w:p>
            <w:pPr>
              <w:ind w:left="700"/>
              <w:spacing w:after="0" w:line="2"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right w:val="single" w:sz="8" w:color="0000EE"/>
            </w:tcBorders>
            <w:shd w:val="clear" w:color="auto" w:fill="0000EE"/>
          </w:tcPr>
          <w:p>
            <w:pPr>
              <w:jc w:val="right"/>
              <w:ind w:right="35"/>
              <w:spacing w:after="0" w:line="10"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70"/>
        </w:trPr>
        <w:tc>
          <w:tcPr>
            <w:tcW w:w="55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rPr>
              <w:t>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80" w:type="dxa"/>
            <w:vAlign w:val="bottom"/>
            <w:gridSpan w:val="7"/>
            <w:shd w:val="clear" w:color="auto" w:fill="0000EE"/>
          </w:tcPr>
          <w:p>
            <w:pPr>
              <w:jc w:val="right"/>
              <w:ind w:right="1640"/>
              <w:spacing w:after="0" w:line="10" w:lineRule="exact"/>
              <w:rPr>
                <w:sz w:val="20"/>
                <w:szCs w:val="20"/>
                <w:color w:val="auto"/>
              </w:rPr>
            </w:pPr>
            <w:r>
              <w:rPr>
                <w:rFonts w:ascii="Times New Roman" w:cs="Times New Roman" w:eastAsia="Times New Roman" w:hAnsi="Times New Roman"/>
                <w:sz w:val="1"/>
                <w:szCs w:val="1"/>
                <w:color w:val="auto"/>
              </w:rPr>
              <w:t>​</w:t>
            </w:r>
          </w:p>
        </w:tc>
        <w:tc>
          <w:tcPr>
            <w:tcW w:w="3820" w:type="dxa"/>
            <w:vAlign w:val="bottom"/>
            <w:gridSpan w:val="8"/>
          </w:tcPr>
          <w:p>
            <w:pPr>
              <w:spacing w:after="0" w:line="20" w:lineRule="exact"/>
              <w:rPr>
                <w:sz w:val="1"/>
                <w:szCs w:val="1"/>
                <w:color w:val="auto"/>
              </w:rPr>
            </w:pPr>
          </w:p>
        </w:tc>
        <w:tc>
          <w:tcPr>
            <w:tcW w:w="840" w:type="dxa"/>
            <w:vAlign w:val="bottom"/>
          </w:tcPr>
          <w:p>
            <w:pPr>
              <w:ind w:left="700"/>
              <w:spacing w:after="0" w:line="2"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right w:val="single" w:sz="8" w:color="0000EE"/>
            </w:tcBorders>
            <w:shd w:val="clear" w:color="auto" w:fill="0000EE"/>
          </w:tcPr>
          <w:p>
            <w:pPr>
              <w:jc w:val="right"/>
              <w:ind w:right="35"/>
              <w:spacing w:after="0" w:line="10"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rPr>
              <w:t>31</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shd w:val="clear" w:color="auto" w:fill="0000EE"/>
          </w:tcPr>
          <w:p>
            <w:pPr>
              <w:spacing w:after="0" w:line="20" w:lineRule="exact"/>
              <w:rPr>
                <w:sz w:val="1"/>
                <w:szCs w:val="1"/>
                <w:color w:val="auto"/>
              </w:rPr>
            </w:pPr>
          </w:p>
        </w:tc>
        <w:tc>
          <w:tcPr>
            <w:tcW w:w="1180" w:type="dxa"/>
            <w:vAlign w:val="bottom"/>
            <w:tcBorders>
              <w:bottom w:val="single" w:sz="8" w:color="CCEEFF"/>
            </w:tcBorders>
            <w:gridSpan w:val="3"/>
            <w:shd w:val="clear" w:color="auto" w:fill="0000EE"/>
          </w:tcPr>
          <w:p>
            <w:pPr>
              <w:jc w:val="right"/>
              <w:ind w:right="1160"/>
              <w:spacing w:after="0" w:line="10" w:lineRule="exact"/>
              <w:rPr>
                <w:sz w:val="20"/>
                <w:szCs w:val="20"/>
                <w:color w:val="auto"/>
              </w:rPr>
            </w:pPr>
            <w:r>
              <w:rPr>
                <w:rFonts w:ascii="Times New Roman" w:cs="Times New Roman" w:eastAsia="Times New Roman" w:hAnsi="Times New Roman"/>
                <w:sz w:val="1"/>
                <w:szCs w:val="1"/>
                <w:color w:val="auto"/>
                <w:w w:val="4294942296"/>
              </w:rPr>
              <w:t>​</w:t>
            </w:r>
          </w:p>
        </w:tc>
        <w:tc>
          <w:tcPr>
            <w:tcW w:w="4300" w:type="dxa"/>
            <w:vAlign w:val="bottom"/>
            <w:tcBorders>
              <w:bottom w:val="single" w:sz="8" w:color="CCEEFF"/>
            </w:tcBorders>
            <w:gridSpan w:val="11"/>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CCEEFF"/>
          </w:tcPr>
          <w:p>
            <w:pPr>
              <w:ind w:left="700"/>
              <w:spacing w:after="0" w:line="2"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right w:val="single" w:sz="8" w:color="0000EE"/>
            </w:tcBorders>
            <w:shd w:val="clear" w:color="auto" w:fill="0000EE"/>
          </w:tcPr>
          <w:p>
            <w:pPr>
              <w:jc w:val="right"/>
              <w:ind w:right="35"/>
              <w:spacing w:after="0" w:line="10"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70"/>
        </w:trPr>
        <w:tc>
          <w:tcPr>
            <w:tcW w:w="55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EXPERTS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rPr>
              <w:t>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40" w:type="dxa"/>
            <w:vAlign w:val="bottom"/>
            <w:gridSpan w:val="2"/>
            <w:shd w:val="clear" w:color="auto" w:fill="0000EE"/>
          </w:tcPr>
          <w:p>
            <w:pPr>
              <w:jc w:val="right"/>
              <w:ind w:right="559"/>
              <w:spacing w:after="0" w:line="10" w:lineRule="exact"/>
              <w:rPr>
                <w:sz w:val="20"/>
                <w:szCs w:val="20"/>
                <w:color w:val="auto"/>
              </w:rPr>
            </w:pPr>
            <w:r>
              <w:rPr>
                <w:rFonts w:ascii="Times New Roman" w:cs="Times New Roman" w:eastAsia="Times New Roman" w:hAnsi="Times New Roman"/>
                <w:sz w:val="1"/>
                <w:szCs w:val="1"/>
                <w:color w:val="auto"/>
              </w:rPr>
              <w:t>​</w:t>
            </w:r>
          </w:p>
        </w:tc>
        <w:tc>
          <w:tcPr>
            <w:tcW w:w="4860" w:type="dxa"/>
            <w:vAlign w:val="bottom"/>
            <w:gridSpan w:val="13"/>
          </w:tcPr>
          <w:p>
            <w:pPr>
              <w:spacing w:after="0" w:line="20" w:lineRule="exact"/>
              <w:rPr>
                <w:sz w:val="1"/>
                <w:szCs w:val="1"/>
                <w:color w:val="auto"/>
              </w:rPr>
            </w:pPr>
          </w:p>
        </w:tc>
        <w:tc>
          <w:tcPr>
            <w:tcW w:w="840" w:type="dxa"/>
            <w:vAlign w:val="bottom"/>
          </w:tcPr>
          <w:p>
            <w:pPr>
              <w:ind w:left="700"/>
              <w:spacing w:after="0" w:line="2"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right w:val="single" w:sz="8" w:color="0000EE"/>
            </w:tcBorders>
            <w:shd w:val="clear" w:color="auto" w:fill="0000EE"/>
          </w:tcPr>
          <w:p>
            <w:pPr>
              <w:jc w:val="right"/>
              <w:ind w:right="35"/>
              <w:spacing w:after="0" w:line="10"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2" w:name="page3"/>
    <w:bookmarkEnd w:id="2"/>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29" w:lineRule="exact"/>
        <w:rPr>
          <w:sz w:val="20"/>
          <w:szCs w:val="20"/>
          <w:color w:val="auto"/>
        </w:rPr>
      </w:pPr>
    </w:p>
    <w:p>
      <w:pPr>
        <w:ind w:left="1260" w:right="1299" w:firstLine="284"/>
        <w:spacing w:after="0" w:line="259" w:lineRule="auto"/>
        <w:rPr>
          <w:sz w:val="20"/>
          <w:szCs w:val="20"/>
          <w:color w:val="auto"/>
        </w:rPr>
      </w:pPr>
      <w:r>
        <w:rPr>
          <w:rFonts w:ascii="Times New Roman" w:cs="Times New Roman" w:eastAsia="Times New Roman" w:hAnsi="Times New Roman"/>
          <w:sz w:val="14"/>
          <w:szCs w:val="14"/>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94" w:lineRule="exact"/>
        <w:rPr>
          <w:sz w:val="20"/>
          <w:szCs w:val="20"/>
          <w:color w:val="auto"/>
        </w:rPr>
      </w:pPr>
    </w:p>
    <w:p>
      <w:pPr>
        <w:ind w:left="1260" w:right="1299" w:firstLine="284"/>
        <w:spacing w:after="0" w:line="261"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anyone to provide you with any information or to make any representations other than those contained in this prospectus supplement and the accompanying prospectus, and any documents incorporated by reference herein or therein, and any free writing prospectuses prepared by or on behalf of us or to which we have referred you. We and the Selling Securityholders take no responsibility for, and can provide no assurance as to the reliability of, any other information that others may give you.</w:t>
      </w:r>
    </w:p>
    <w:p>
      <w:pPr>
        <w:spacing w:after="0" w:line="78" w:lineRule="exact"/>
        <w:rPr>
          <w:sz w:val="20"/>
          <w:szCs w:val="20"/>
          <w:color w:val="auto"/>
        </w:rPr>
      </w:pPr>
    </w:p>
    <w:p>
      <w:pPr>
        <w:ind w:left="1260" w:right="1279" w:firstLine="284"/>
        <w:spacing w:after="0" w:line="257" w:lineRule="auto"/>
        <w:rPr>
          <w:sz w:val="20"/>
          <w:szCs w:val="20"/>
          <w:color w:val="auto"/>
        </w:rPr>
      </w:pPr>
      <w:r>
        <w:rPr>
          <w:rFonts w:ascii="Times New Roman" w:cs="Times New Roman" w:eastAsia="Times New Roman" w:hAnsi="Times New Roman"/>
          <w:sz w:val="14"/>
          <w:szCs w:val="14"/>
          <w:color w:val="auto"/>
        </w:rPr>
        <w:t>The Selling Securityholders and the underwriters are offering to sell, and seeking offers to buy, shares of our Class A common stock only in jurisdictions where offers and sales are permitted. For investors outside the United States we, the Selling Securityholders and the underwriters have not done anything that would permit this offering or possession or distribution of this prospectus supplement, the accompanying prospectus and any free writing prospectus that we have authorized for use in connection with this offering in any jurisdiction where action for that purpose is required, other than in the United States. Persons outside the United States who come into possession of this prospectus supplement, the accompanying prospectus and any free writing prospectus that we have authorized for use in connection with this offering must inform themselves about, and observe any restrictions relating to, the offering of the shares of common stock and the distribution of this prospectus supplement, the accompanying prospectus and any free writing prospectus that we have authorized for use in connection with this offering outside the United States.</w:t>
      </w:r>
    </w:p>
    <w:p>
      <w:pPr>
        <w:spacing w:after="0" w:line="95" w:lineRule="exact"/>
        <w:rPr>
          <w:sz w:val="20"/>
          <w:szCs w:val="20"/>
          <w:color w:val="auto"/>
        </w:rPr>
      </w:pPr>
    </w:p>
    <w:p>
      <w:pPr>
        <w:ind w:left="1260" w:right="1339" w:firstLine="284"/>
        <w:spacing w:after="0" w:line="257" w:lineRule="auto"/>
        <w:rPr>
          <w:sz w:val="20"/>
          <w:szCs w:val="20"/>
          <w:color w:val="auto"/>
        </w:rPr>
      </w:pPr>
      <w:r>
        <w:rPr>
          <w:rFonts w:ascii="Times New Roman" w:cs="Times New Roman" w:eastAsia="Times New Roman" w:hAnsi="Times New Roman"/>
          <w:sz w:val="14"/>
          <w:szCs w:val="14"/>
          <w:color w:val="auto"/>
        </w:rPr>
        <w:t>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Class A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Incorporation by Reference” in this prospectus supplement and in the accompanying prospectus, before investing in our Class A common stock.</w:t>
      </w:r>
    </w:p>
    <w:p>
      <w:pPr>
        <w:spacing w:after="0" w:line="264" w:lineRule="exact"/>
        <w:rPr>
          <w:sz w:val="20"/>
          <w:szCs w:val="20"/>
          <w:color w:val="auto"/>
        </w:rPr>
      </w:pPr>
    </w:p>
    <w:p>
      <w:pPr>
        <w:ind w:left="1260" w:right="1319" w:firstLine="284"/>
        <w:spacing w:after="0" w:line="265" w:lineRule="auto"/>
        <w:rPr>
          <w:sz w:val="20"/>
          <w:szCs w:val="20"/>
          <w:color w:val="auto"/>
        </w:rPr>
      </w:pPr>
      <w:r>
        <w:rPr>
          <w:rFonts w:ascii="Times New Roman" w:cs="Times New Roman" w:eastAsia="Times New Roman" w:hAnsi="Times New Roman"/>
          <w:sz w:val="14"/>
          <w:szCs w:val="14"/>
          <w:color w:val="auto"/>
        </w:rPr>
        <w:t>Unless otherwise indicated or the context otherwise requires, references in this prospectus supplement and the accompanying prospectus to “Fluence,” “we,” “our,” “us” and the “Company” refer to Fluence Energy, Inc. and its consolidated subsidiaries. When we refer to “you,” we mean the potential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 w:name="page4"/>
    <w:bookmarkEnd w:id="3"/>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29" w:lineRule="exact"/>
        <w:rPr>
          <w:sz w:val="20"/>
          <w:szCs w:val="20"/>
          <w:color w:val="auto"/>
        </w:rPr>
      </w:pPr>
    </w:p>
    <w:p>
      <w:pPr>
        <w:ind w:left="1260" w:right="1279" w:firstLine="284"/>
        <w:spacing w:after="0" w:line="244" w:lineRule="auto"/>
        <w:rPr>
          <w:sz w:val="20"/>
          <w:szCs w:val="20"/>
          <w:color w:val="auto"/>
        </w:rPr>
      </w:pPr>
      <w:r>
        <w:rPr>
          <w:rFonts w:ascii="Times New Roman" w:cs="Times New Roman" w:eastAsia="Times New Roman" w:hAnsi="Times New Roman"/>
          <w:sz w:val="14"/>
          <w:szCs w:val="14"/>
          <w:color w:val="auto"/>
        </w:rPr>
        <w:t>Statements made in this prospectus supplement, the accompanying prospectus and the documents incorporated herein and therein may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prospectus supplement, the accompanying prospectus and the documents incorporated herein and therein are forward-looking statements. In particular, statements regarding our future results of operations and financial position, operational performance, the Company’s business, growth, and innovation strategy and the efficacy of our products and services to meet evolving needs, future market and industry growth and related opportunities for the Company, projected operating costs, our ability to differentiate our products and optimize our cost structure, our ability to compete, liquidity and access to capital, the timing of future revenue recognition, future capital expenditures and debt service obligations, the Company’s expected growth and demand for our energy storage solutions, services, and digital application offerings and the industry generally, relationships with new and existing customers and suppliers, introduction of new energy storage solutions, services, and digital application offerings and adoption of such offerings by customers, our domestic content strategy, assumptions relating to the Company’s tax receivable agreement, expectations relating to backlog, pipeline, contracted backlog, and order intake, current expectations relating to legal proceedings, anticipated impact and benefits from the Inflation Reduction Act of 2022 (the “IRA”) and related domestic content guidelines on us and our customers, potential impact of the changes to the IRA pursuant to the One Big Beautiful Bill Act and related executive orders and agency guidance on us, our customers, and our suppliers, the implementation and success of our compliance and risk mitigation strategies related to the foregoing regulatory impacts and uncertainty, potential or estimated impact of tariffs and any potential tariff and duty refunds as well as timing of any potential or estimated impacts, uncertainty around U.S. and foreign trade policy on the Company, our suppliers, and our customers, and beliefs, assumptions, prospects, plans, and objectives of management, are forward-looking statements.</w:t>
      </w:r>
    </w:p>
    <w:p>
      <w:pPr>
        <w:spacing w:after="0" w:line="200" w:lineRule="exact"/>
        <w:rPr>
          <w:sz w:val="20"/>
          <w:szCs w:val="20"/>
          <w:color w:val="auto"/>
        </w:rPr>
      </w:pPr>
    </w:p>
    <w:p>
      <w:pPr>
        <w:spacing w:after="0" w:line="228" w:lineRule="exact"/>
        <w:rPr>
          <w:sz w:val="20"/>
          <w:szCs w:val="20"/>
          <w:color w:val="auto"/>
        </w:rPr>
      </w:pPr>
    </w:p>
    <w:p>
      <w:pPr>
        <w:ind w:left="1260" w:right="1299" w:firstLine="284"/>
        <w:spacing w:after="0" w:line="247" w:lineRule="auto"/>
        <w:rPr>
          <w:sz w:val="20"/>
          <w:szCs w:val="20"/>
          <w:color w:val="auto"/>
        </w:rPr>
      </w:pPr>
      <w:r>
        <w:rPr>
          <w:rFonts w:ascii="Times New Roman" w:cs="Times New Roman" w:eastAsia="Times New Roman" w:hAnsi="Times New Roman"/>
          <w:sz w:val="14"/>
          <w:szCs w:val="14"/>
          <w:color w:val="auto"/>
        </w:rPr>
        <w:t>In some cases, you may identify forward-looking statements by terms such as “anticipates,” “believes,” “commits,” “contemplates,” “continue,” “could,” “estimates,” “expects,” “grows,” “intends,” “may,” “plans,” “possible,” “potential,” “predicts,” “projects,” “seeks,” “should,” “targets,” “will,” or “would,”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 looking statements are reasonable as of the date made, actual results may prove to be materially different from the results expressed or implied by the forward-looking statements.</w:t>
      </w:r>
    </w:p>
    <w:p>
      <w:pPr>
        <w:spacing w:after="0" w:line="91" w:lineRule="exact"/>
        <w:rPr>
          <w:sz w:val="20"/>
          <w:szCs w:val="20"/>
          <w:color w:val="auto"/>
        </w:rPr>
      </w:pPr>
    </w:p>
    <w:p>
      <w:pPr>
        <w:ind w:left="1260" w:right="1279" w:firstLine="284"/>
        <w:spacing w:after="0" w:line="245"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other important factors that could cause actual results to differ materially from those in the forward-looking statements, including, but not limited to: the elimination or expiration of government incentives or regulations regarding renewable energy; changes in the global trade environment; fluctuations in order intake and results of operations across fiscal periods; a significant reduction in order volume or loss of significant customers or their inability to perform under contracts; competition for offerings and the ability to attract new customers and retain existing ones; maintaining and enhancing reputation and brand recognition; our ability to manage recent and future growth and the expansion of our business and operations; our ability to attract and retain highly qualified personnel; our growth depending on the success of relationships with third parties; delays, disruptions, and quality control problems in manufacturing operations; risks associated with engineering and construction, utility interconnection, commissioning and installation of energy storage products, cost overruns, and delays; supplier concentration and limited supplier capacity; operating as a global company with a global supply chain; changes in the cost and availability of raw materials and underlying components; lengthy sales and installation cycle for energy storage solutions; quality and quantity of components provided by suppliers; defects, errors, vulnerabilities, and/or bugs in products and technology; events and incidents relating to storage, delivery, installation, operation, maintenance, and shutdowns of products; current and planned foreign operations; failure by contract manufacturers, vendors, and suppliers to use ethical business practices and comply with applicable laws and regulations; actual or threatened health epidemics, pandemics, or similar public health threats; severe weather events; acquisitions made or that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79"/>
        <w:spacing w:after="0" w:line="254" w:lineRule="auto"/>
        <w:rPr>
          <w:sz w:val="20"/>
          <w:szCs w:val="20"/>
          <w:color w:val="auto"/>
        </w:rPr>
      </w:pPr>
      <w:r>
        <w:rPr>
          <w:rFonts w:ascii="Times New Roman" w:cs="Times New Roman" w:eastAsia="Times New Roman" w:hAnsi="Times New Roman"/>
          <w:sz w:val="14"/>
          <w:szCs w:val="14"/>
          <w:color w:val="auto"/>
        </w:rPr>
        <w:t>may be pursued; our ability to obtain financial assurances for projects; relatively limited operating and revenue history as an independent entity and the nascent clean energy industry; anticipated increases in expenses in the future and our ability to maintain prolonged profitability; the risk that amounts included in the pipeline and contracted backlog may not result in actual revenue or translate into profits; restrictions set forth in current and future credit and debt agreements; our uncertain ability to raise additional capital to execute on business opportunities; fluctuations in currency exchange rates; whether renewable energy technologies are suitable for widespread adoption or if sufficient demand for offerings does not develop or takes longer to develop than anticipated; our estimates on the size of the total addressable market; macroeconomic uncertainty and market conditions; interest rates or a reduction in the availability of tax equity or project debt capital in the global financial markets and corresponding effects on customers’ ability to finance energy storage systems and demand for energy storage solutions; the cost of electricity available from alternative sources; a decline or delay in public acceptance of renewable energy, or increase in the cost of customer projects; increased attention to environmental, social and governance matters; our ability to obtain, maintain, and enforce proper protection for intellectual property, including technology; the threat of lawsuits by third parties alleging intellectual property violations; our having adequate protection for trademarks and trade names; our ability to enforce intellectual property rights; our patent portfolio; our ability to effectively protect data integrity of technology infrastructure, data, and other business systems; the use of open-source software; our failure to comply with third-party license or technology agreements; our inability to license rights to use technologies on reasonable terms; compromises, interruptions, or shutdowns of systems; use of artificial intelligence (“AI”) technologies; potential changes in tax laws or regulations; barriers arising from current electric utility industry policies and regulations and any subsequent changes; environmental, health, and safety laws and potential obligations, liabilities, and costs thereunder; actual or perceived failure to comply with data privacy and data security laws, regulations, industry standards, and other requirements relating to the privacy, security, and processing of personal information; potential future legal proceedings, regulatory disputes, and governmental inquiries; ownership of our Class A common stock; short-seller activists; being a “controlled company” within the meaning of the rules of the Nasdaq Stock Market; conflicts of interest by officers and directors due to positions with our continuing equity owners; relationship with our founders and continuing equity owners; terms of our amended and restated certificate of incorporation and amended and restated bylaws; our dependence on distributions from Fluence Energy, LLC to pay taxes and expenses and Fluence Energy, LLC’s ability to make such distributions may be limited or restricted in certain scenarios; risks arising out of the Tax Receivable Agreement; unanticipated changes in effective tax rates or adverse outcomes resulting from examination of tax returns; risks related to the 2030 Convertible Senior Notes; improper and ineffective internal control over reporting to comply with the Sarbanes-Oxley Act; changes in accounting principles or their applicability; and estimates or judgments relating to critical accounting policies; and the factors described under the headings Part I, Item 1A. “Risk Factors” and Item 7. “Management’s Discussion and Analysis of Financial Condition and Results of Operations” in our most recent Annual Report on Form 10-K and any subsequent Quarterly Reports on Form 10-Q or Current Reports on Form 8-K, in each case, filed with the SEC and incorporated by reference herein.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prospectus supplement, the accompanying prospectus and the documents incorporated herein and therein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29" w:lineRule="exact"/>
        <w:rPr>
          <w:sz w:val="20"/>
          <w:szCs w:val="20"/>
          <w:color w:val="auto"/>
        </w:rPr>
      </w:pPr>
    </w:p>
    <w:p>
      <w:pPr>
        <w:ind w:left="1260" w:right="1299" w:firstLine="284"/>
        <w:spacing w:after="0" w:line="271" w:lineRule="auto"/>
        <w:rPr>
          <w:sz w:val="20"/>
          <w:szCs w:val="20"/>
          <w:color w:val="auto"/>
        </w:rPr>
      </w:pPr>
      <w:r>
        <w:rPr>
          <w:rFonts w:ascii="Times New Roman" w:cs="Times New Roman" w:eastAsia="Times New Roman" w:hAnsi="Times New Roman"/>
          <w:sz w:val="14"/>
          <w:szCs w:val="14"/>
          <w:color w:val="auto"/>
        </w:rPr>
        <w:t>We file reports, proxy statements and other information with the SEC. The SEC maintains a web site that contains reports, proxy and information statements and other information about issuers, such as us, who file electronically with the SEC. The address of that website is http://www.sec.gov.</w:t>
      </w:r>
    </w:p>
    <w:p>
      <w:pPr>
        <w:spacing w:after="0" w:line="83" w:lineRule="exact"/>
        <w:rPr>
          <w:sz w:val="20"/>
          <w:szCs w:val="20"/>
          <w:color w:val="auto"/>
        </w:rPr>
      </w:pPr>
    </w:p>
    <w:p>
      <w:pPr>
        <w:jc w:val="both"/>
        <w:ind w:left="1260" w:right="1379" w:firstLine="284"/>
        <w:spacing w:after="0" w:line="289" w:lineRule="auto"/>
        <w:rPr>
          <w:sz w:val="20"/>
          <w:szCs w:val="20"/>
          <w:color w:val="auto"/>
        </w:rPr>
      </w:pPr>
      <w:r>
        <w:rPr>
          <w:rFonts w:ascii="Times New Roman" w:cs="Times New Roman" w:eastAsia="Times New Roman" w:hAnsi="Times New Roman"/>
          <w:sz w:val="14"/>
          <w:szCs w:val="14"/>
          <w:color w:val="auto"/>
        </w:rPr>
        <w:t>Our web site address is https://www.fluenceenergy.com. The information on our web site, however, is not, and should not be deemed to be, a part of this prospectus supplement or the accompanying prospectus.</w:t>
      </w:r>
    </w:p>
    <w:p>
      <w:pPr>
        <w:spacing w:after="0" w:line="60" w:lineRule="exact"/>
        <w:rPr>
          <w:sz w:val="20"/>
          <w:szCs w:val="20"/>
          <w:color w:val="auto"/>
        </w:rPr>
      </w:pPr>
    </w:p>
    <w:p>
      <w:pPr>
        <w:ind w:left="1260" w:right="1439" w:firstLine="284"/>
        <w:spacing w:after="0" w:line="260"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incorporate important business and financial information about us that is not included in or delivered with this prospectus supplement and the accompanying prospectus. The information incorporated by reference is considered to be part of this prospectus supplement and the accompanying prospectus, except for any information superseded by information in this prospectus supplement and the accompanying prospectus. This prospectus supplement and the accompanying prospectus incorporate by reference the documents set forth below that have previously been filed with the SEC:</w:t>
      </w:r>
    </w:p>
    <w:p>
      <w:pPr>
        <w:spacing w:after="0" w:line="232" w:lineRule="exact"/>
        <w:rPr>
          <w:sz w:val="20"/>
          <w:szCs w:val="20"/>
          <w:color w:val="auto"/>
        </w:rPr>
      </w:pPr>
    </w:p>
    <w:p>
      <w:pPr>
        <w:ind w:left="1700" w:right="1419" w:hanging="149"/>
        <w:spacing w:after="0" w:line="289" w:lineRule="auto"/>
        <w:tabs>
          <w:tab w:leader="none" w:pos="1700" w:val="left"/>
        </w:tabs>
        <w:numPr>
          <w:ilvl w:val="0"/>
          <w:numId w:val="1"/>
        </w:numPr>
        <w:rPr>
          <w:rFonts w:ascii="Times New Roman" w:cs="Times New Roman" w:eastAsia="Times New Roman" w:hAnsi="Times New Roman"/>
          <w:sz w:val="14"/>
          <w:szCs w:val="14"/>
          <w:u w:val="single" w:color="auto"/>
          <w:color w:val="0000EE"/>
        </w:rPr>
      </w:pPr>
      <w:hyperlink r:id="rId24">
        <w:r>
          <w:rPr>
            <w:rFonts w:ascii="Times New Roman" w:cs="Times New Roman" w:eastAsia="Times New Roman" w:hAnsi="Times New Roman"/>
            <w:sz w:val="14"/>
            <w:szCs w:val="14"/>
            <w:u w:val="single" w:color="auto"/>
            <w:color w:val="0000EE"/>
          </w:rPr>
          <w:t>Our Annual Report on Form 10-K for the fiscal year ended September 30, 2025, filed with the SEC</w:t>
        </w:r>
      </w:hyperlink>
      <w:r>
        <w:rPr>
          <w:rFonts w:ascii="Times New Roman" w:cs="Times New Roman" w:eastAsia="Times New Roman" w:hAnsi="Times New Roman"/>
          <w:sz w:val="14"/>
          <w:szCs w:val="14"/>
          <w:u w:val="single" w:color="auto"/>
          <w:color w:val="0000EE"/>
        </w:rPr>
        <w:t xml:space="preserve"> </w:t>
      </w:r>
      <w:hyperlink r:id="rId24">
        <w:r>
          <w:rPr>
            <w:rFonts w:ascii="Times New Roman" w:cs="Times New Roman" w:eastAsia="Times New Roman" w:hAnsi="Times New Roman"/>
            <w:sz w:val="14"/>
            <w:szCs w:val="14"/>
            <w:u w:val="single" w:color="auto"/>
            <w:color w:val="0000EE"/>
          </w:rPr>
          <w:t>on November 25, 2025;</w:t>
        </w:r>
      </w:hyperlink>
    </w:p>
    <w:p>
      <w:pPr>
        <w:spacing w:after="0" w:line="38" w:lineRule="exact"/>
        <w:rPr>
          <w:rFonts w:ascii="Times New Roman" w:cs="Times New Roman" w:eastAsia="Times New Roman" w:hAnsi="Times New Roman"/>
          <w:sz w:val="14"/>
          <w:szCs w:val="14"/>
          <w:u w:val="single" w:color="auto"/>
          <w:color w:val="0000EE"/>
        </w:rPr>
      </w:pPr>
    </w:p>
    <w:p>
      <w:pPr>
        <w:ind w:left="1700" w:right="1319" w:hanging="149"/>
        <w:spacing w:after="0" w:line="271" w:lineRule="auto"/>
        <w:tabs>
          <w:tab w:leader="none" w:pos="1700" w:val="left"/>
        </w:tabs>
        <w:numPr>
          <w:ilvl w:val="0"/>
          <w:numId w:val="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information specifically incorporated by reference into our Annual Report on Form 10-K for the </w:t>
      </w:r>
      <w:hyperlink r:id="rId25">
        <w:r>
          <w:rPr>
            <w:rFonts w:ascii="Times New Roman" w:cs="Times New Roman" w:eastAsia="Times New Roman" w:hAnsi="Times New Roman"/>
            <w:sz w:val="14"/>
            <w:szCs w:val="14"/>
            <w:color w:val="auto"/>
          </w:rPr>
          <w:t xml:space="preserve">fiscal year ended September 30, 2025 from our </w:t>
        </w:r>
        <w:r>
          <w:rPr>
            <w:rFonts w:ascii="Times New Roman" w:cs="Times New Roman" w:eastAsia="Times New Roman" w:hAnsi="Times New Roman"/>
            <w:sz w:val="14"/>
            <w:szCs w:val="14"/>
            <w:u w:val="single" w:color="auto"/>
            <w:color w:val="0000EE"/>
          </w:rPr>
          <w:t>Definitive Proxy Statement on Schedule 14A filed</w:t>
        </w:r>
      </w:hyperlink>
      <w:r>
        <w:rPr>
          <w:rFonts w:ascii="Times New Roman" w:cs="Times New Roman" w:eastAsia="Times New Roman" w:hAnsi="Times New Roman"/>
          <w:sz w:val="14"/>
          <w:szCs w:val="14"/>
          <w:color w:val="auto"/>
        </w:rPr>
        <w:t xml:space="preserve"> </w:t>
      </w:r>
      <w:hyperlink r:id="rId25">
        <w:r>
          <w:rPr>
            <w:rFonts w:ascii="Times New Roman" w:cs="Times New Roman" w:eastAsia="Times New Roman" w:hAnsi="Times New Roman"/>
            <w:sz w:val="14"/>
            <w:szCs w:val="14"/>
            <w:u w:val="single" w:color="auto"/>
            <w:color w:val="0000EE"/>
          </w:rPr>
          <w:t>with the SEC on January 26, 2026</w:t>
        </w:r>
        <w:r>
          <w:rPr>
            <w:rFonts w:ascii="Times New Roman" w:cs="Times New Roman" w:eastAsia="Times New Roman" w:hAnsi="Times New Roman"/>
            <w:sz w:val="14"/>
            <w:szCs w:val="14"/>
            <w:color w:val="000000"/>
          </w:rPr>
          <w:t>;</w:t>
        </w:r>
      </w:hyperlink>
    </w:p>
    <w:p>
      <w:pPr>
        <w:spacing w:after="0" w:line="51" w:lineRule="exact"/>
        <w:rPr>
          <w:rFonts w:ascii="Times New Roman" w:cs="Times New Roman" w:eastAsia="Times New Roman" w:hAnsi="Times New Roman"/>
          <w:sz w:val="14"/>
          <w:szCs w:val="14"/>
          <w:color w:val="0000EE"/>
        </w:rPr>
      </w:pPr>
    </w:p>
    <w:p>
      <w:pPr>
        <w:ind w:left="1700" w:right="1379" w:hanging="149"/>
        <w:spacing w:after="0" w:line="289" w:lineRule="auto"/>
        <w:tabs>
          <w:tab w:leader="none" w:pos="1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 ended December 31, 2025, filed with the SEC on </w:t>
      </w:r>
      <w:hyperlink r:id="rId26">
        <w:r>
          <w:rPr>
            <w:rFonts w:ascii="Times New Roman" w:cs="Times New Roman" w:eastAsia="Times New Roman" w:hAnsi="Times New Roman"/>
            <w:sz w:val="14"/>
            <w:szCs w:val="14"/>
            <w:u w:val="single" w:color="auto"/>
            <w:color w:val="0000EE"/>
          </w:rPr>
          <w:t>February 4, 2026</w:t>
        </w:r>
      </w:hyperlink>
      <w:r>
        <w:rPr>
          <w:rFonts w:ascii="Times New Roman" w:cs="Times New Roman" w:eastAsia="Times New Roman" w:hAnsi="Times New Roman"/>
          <w:sz w:val="14"/>
          <w:szCs w:val="14"/>
          <w:color w:val="auto"/>
        </w:rPr>
        <w:t xml:space="preserve">, and for the quarter ended March 31, 2026, filed with the SEC on </w:t>
      </w:r>
      <w:hyperlink r:id="rId27">
        <w:r>
          <w:rPr>
            <w:rFonts w:ascii="Times New Roman" w:cs="Times New Roman" w:eastAsia="Times New Roman" w:hAnsi="Times New Roman"/>
            <w:sz w:val="14"/>
            <w:szCs w:val="14"/>
            <w:u w:val="single" w:color="auto"/>
            <w:color w:val="0000EE"/>
          </w:rPr>
          <w:t>May 6, 2026</w:t>
        </w:r>
      </w:hyperlink>
      <w:r>
        <w:rPr>
          <w:rFonts w:ascii="Times New Roman" w:cs="Times New Roman" w:eastAsia="Times New Roman" w:hAnsi="Times New Roman"/>
          <w:sz w:val="14"/>
          <w:szCs w:val="14"/>
          <w:color w:val="auto"/>
        </w:rPr>
        <w:t>;</w:t>
      </w:r>
    </w:p>
    <w:p>
      <w:pPr>
        <w:spacing w:after="0" w:line="38" w:lineRule="exact"/>
        <w:rPr>
          <w:rFonts w:ascii="Times New Roman" w:cs="Times New Roman" w:eastAsia="Times New Roman" w:hAnsi="Times New Roman"/>
          <w:sz w:val="14"/>
          <w:szCs w:val="14"/>
          <w:color w:val="auto"/>
        </w:rPr>
      </w:pPr>
    </w:p>
    <w:p>
      <w:pPr>
        <w:jc w:val="both"/>
        <w:ind w:left="1700" w:right="1659" w:hanging="149"/>
        <w:spacing w:after="0" w:line="289" w:lineRule="auto"/>
        <w:tabs>
          <w:tab w:leader="none" w:pos="1700" w:val="left"/>
        </w:tabs>
        <w:numPr>
          <w:ilvl w:val="0"/>
          <w:numId w:val="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28">
        <w:r>
          <w:rPr>
            <w:rFonts w:ascii="Times New Roman" w:cs="Times New Roman" w:eastAsia="Times New Roman" w:hAnsi="Times New Roman"/>
            <w:sz w:val="14"/>
            <w:szCs w:val="14"/>
            <w:u w:val="single" w:color="auto"/>
            <w:color w:val="0000EE"/>
          </w:rPr>
          <w:t>October 3, 2025</w:t>
        </w:r>
      </w:hyperlink>
      <w:r>
        <w:rPr>
          <w:rFonts w:ascii="Times New Roman" w:cs="Times New Roman" w:eastAsia="Times New Roman" w:hAnsi="Times New Roman"/>
          <w:sz w:val="14"/>
          <w:szCs w:val="14"/>
          <w:color w:val="auto"/>
        </w:rPr>
        <w:t xml:space="preserve">, </w:t>
      </w:r>
      <w:hyperlink r:id="rId29">
        <w:r>
          <w:rPr>
            <w:rFonts w:ascii="Times New Roman" w:cs="Times New Roman" w:eastAsia="Times New Roman" w:hAnsi="Times New Roman"/>
            <w:sz w:val="14"/>
            <w:szCs w:val="14"/>
            <w:u w:val="single" w:color="auto"/>
            <w:color w:val="0000EE"/>
          </w:rPr>
          <w:t>March 16,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0">
        <w:r>
          <w:rPr>
            <w:rFonts w:ascii="Times New Roman" w:cs="Times New Roman" w:eastAsia="Times New Roman" w:hAnsi="Times New Roman"/>
            <w:sz w:val="14"/>
            <w:szCs w:val="14"/>
            <w:u w:val="single" w:color="auto"/>
            <w:color w:val="0000EE"/>
          </w:rPr>
          <w:t>April 3,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our Current Report on Form 8-K/A filed with the SEC on</w:t>
      </w:r>
      <w:r>
        <w:rPr>
          <w:rFonts w:ascii="Times New Roman" w:cs="Times New Roman" w:eastAsia="Times New Roman" w:hAnsi="Times New Roman"/>
          <w:sz w:val="14"/>
          <w:szCs w:val="14"/>
          <w:color w:val="0000EE"/>
        </w:rPr>
        <w:t xml:space="preserve"> </w:t>
      </w:r>
      <w:hyperlink r:id="rId31">
        <w:r>
          <w:rPr>
            <w:rFonts w:ascii="Times New Roman" w:cs="Times New Roman" w:eastAsia="Times New Roman" w:hAnsi="Times New Roman"/>
            <w:sz w:val="14"/>
            <w:szCs w:val="14"/>
            <w:u w:val="single" w:color="auto"/>
            <w:color w:val="0000EE"/>
          </w:rPr>
          <w:t>April 6,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38" w:lineRule="exact"/>
        <w:rPr>
          <w:rFonts w:ascii="Times New Roman" w:cs="Times New Roman" w:eastAsia="Times New Roman" w:hAnsi="Times New Roman"/>
          <w:sz w:val="14"/>
          <w:szCs w:val="14"/>
          <w:color w:val="0000EE"/>
        </w:rPr>
      </w:pPr>
    </w:p>
    <w:p>
      <w:pPr>
        <w:ind w:left="1700" w:right="1379" w:hanging="149"/>
        <w:spacing w:after="0" w:line="271" w:lineRule="auto"/>
        <w:tabs>
          <w:tab w:leader="none" w:pos="1700" w:val="left"/>
        </w:tabs>
        <w:numPr>
          <w:ilvl w:val="0"/>
          <w:numId w:val="1"/>
        </w:numPr>
        <w:rPr>
          <w:rFonts w:ascii="Times New Roman" w:cs="Times New Roman" w:eastAsia="Times New Roman" w:hAnsi="Times New Roman"/>
          <w:sz w:val="14"/>
          <w:szCs w:val="14"/>
          <w:color w:val="0000EE"/>
        </w:rPr>
      </w:pPr>
      <w:hyperlink r:id="rId32">
        <w:r>
          <w:rPr>
            <w:rFonts w:ascii="Times New Roman" w:cs="Times New Roman" w:eastAsia="Times New Roman" w:hAnsi="Times New Roman"/>
            <w:sz w:val="14"/>
            <w:szCs w:val="14"/>
            <w:color w:val="auto"/>
          </w:rPr>
          <w:t xml:space="preserve">The description of our Class A common stock contained in our Registration Statement on </w:t>
        </w:r>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w:t>
      </w:r>
      <w:hyperlink r:id="rId32">
        <w:r>
          <w:rPr>
            <w:rFonts w:ascii="Times New Roman" w:cs="Times New Roman" w:eastAsia="Times New Roman" w:hAnsi="Times New Roman"/>
            <w:sz w:val="14"/>
            <w:szCs w:val="14"/>
            <w:u w:val="single" w:color="auto"/>
            <w:color w:val="0000EE"/>
          </w:rPr>
          <w:t>(File No. 001-40978), filed with the SEC on October 28, 2021</w:t>
        </w:r>
        <w:r>
          <w:rPr>
            <w:rFonts w:ascii="Times New Roman" w:cs="Times New Roman" w:eastAsia="Times New Roman" w:hAnsi="Times New Roman"/>
            <w:sz w:val="14"/>
            <w:szCs w:val="14"/>
            <w:color w:val="000000"/>
          </w:rPr>
          <w:t>, and any amendment or report filed</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with the SEC for the purpose of updating the description.</w:t>
      </w:r>
    </w:p>
    <w:p>
      <w:pPr>
        <w:spacing w:after="0" w:line="83" w:lineRule="exact"/>
        <w:rPr>
          <w:rFonts w:ascii="Times New Roman" w:cs="Times New Roman" w:eastAsia="Times New Roman" w:hAnsi="Times New Roman"/>
          <w:sz w:val="14"/>
          <w:szCs w:val="14"/>
          <w:color w:val="auto"/>
        </w:rPr>
      </w:pPr>
    </w:p>
    <w:p>
      <w:pPr>
        <w:ind w:left="1260" w:right="1399" w:firstLine="284"/>
        <w:spacing w:after="0" w:line="265" w:lineRule="auto"/>
        <w:rPr>
          <w:sz w:val="20"/>
          <w:szCs w:val="20"/>
          <w:color w:val="auto"/>
        </w:rPr>
      </w:pPr>
      <w:r>
        <w:rPr>
          <w:rFonts w:ascii="Times New Roman" w:cs="Times New Roman" w:eastAsia="Times New Roman" w:hAnsi="Times New Roman"/>
          <w:sz w:val="14"/>
          <w:szCs w:val="14"/>
          <w:color w:val="auto"/>
        </w:rPr>
        <w:t>We also incorporate by reference all documents that we subsequently file with the SEC after the filing of this prospectus supplement pursuant to Sections 13(a), 13(c), 14 or 15(d) of the Exchange Act and prior to the termination of the offering. Nothing in this prospectus supplement shall be deemed to incorporate information furnished but not filed with the SEC.</w:t>
      </w:r>
    </w:p>
    <w:p>
      <w:pPr>
        <w:spacing w:after="0" w:line="88" w:lineRule="exact"/>
        <w:rPr>
          <w:rFonts w:ascii="Times New Roman" w:cs="Times New Roman" w:eastAsia="Times New Roman" w:hAnsi="Times New Roman"/>
          <w:sz w:val="14"/>
          <w:szCs w:val="14"/>
          <w:color w:val="auto"/>
        </w:rPr>
      </w:pPr>
    </w:p>
    <w:p>
      <w:pPr>
        <w:ind w:left="1260" w:right="1359" w:firstLine="284"/>
        <w:spacing w:after="0" w:line="261" w:lineRule="auto"/>
        <w:rPr>
          <w:sz w:val="20"/>
          <w:szCs w:val="20"/>
          <w:color w:val="auto"/>
        </w:rPr>
      </w:pPr>
      <w:r>
        <w:rPr>
          <w:rFonts w:ascii="Times New Roman" w:cs="Times New Roman" w:eastAsia="Times New Roman" w:hAnsi="Times New Roman"/>
          <w:sz w:val="14"/>
          <w:szCs w:val="14"/>
          <w:color w:val="auto"/>
        </w:rPr>
        <w:t>Any statement contained in this prospectus supplement or in a document incorporated or deemed to be incorporated by reference in this prospectus supplement shall be deemed to be modified or superseded for purposes of this prospectus supplement to the extent that a statement contained herein or in any other subsequently filed document which also is or is deemed to be incorporated by reference modifies or supersedes the statement. Any statement so modified or superseded shall not be deemed, except as so modified or superseded, to constitute a part of this prospectus supplement.</w:t>
      </w:r>
    </w:p>
    <w:p>
      <w:pPr>
        <w:spacing w:after="0" w:line="78" w:lineRule="exact"/>
        <w:rPr>
          <w:rFonts w:ascii="Times New Roman" w:cs="Times New Roman" w:eastAsia="Times New Roman" w:hAnsi="Times New Roman"/>
          <w:sz w:val="14"/>
          <w:szCs w:val="14"/>
          <w:color w:val="auto"/>
        </w:rPr>
      </w:pPr>
    </w:p>
    <w:p>
      <w:pPr>
        <w:ind w:left="1260" w:right="1659" w:firstLine="284"/>
        <w:spacing w:after="0" w:line="271" w:lineRule="auto"/>
        <w:rPr>
          <w:sz w:val="20"/>
          <w:szCs w:val="20"/>
          <w:color w:val="auto"/>
        </w:rPr>
      </w:pPr>
      <w:r>
        <w:rPr>
          <w:rFonts w:ascii="Times New Roman" w:cs="Times New Roman" w:eastAsia="Times New Roman" w:hAnsi="Times New Roman"/>
          <w:sz w:val="14"/>
          <w:szCs w:val="14"/>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83" w:lineRule="exact"/>
        <w:rPr>
          <w:rFonts w:ascii="Times New Roman" w:cs="Times New Roman" w:eastAsia="Times New Roman" w:hAnsi="Times New Roman"/>
          <w:sz w:val="14"/>
          <w:szCs w:val="14"/>
          <w:color w:val="auto"/>
        </w:rPr>
      </w:pPr>
    </w:p>
    <w:p>
      <w:pPr>
        <w:ind w:left="3880"/>
        <w:spacing w:after="0"/>
        <w:rPr>
          <w:sz w:val="20"/>
          <w:szCs w:val="20"/>
          <w:color w:val="auto"/>
        </w:rPr>
      </w:pPr>
      <w:r>
        <w:rPr>
          <w:rFonts w:ascii="Times New Roman" w:cs="Times New Roman" w:eastAsia="Times New Roman" w:hAnsi="Times New Roman"/>
          <w:sz w:val="14"/>
          <w:szCs w:val="14"/>
          <w:color w:val="auto"/>
        </w:rPr>
        <w:t>Fluence Energy, Inc.</w:t>
      </w:r>
    </w:p>
    <w:p>
      <w:pPr>
        <w:spacing w:after="0" w:line="23" w:lineRule="exact"/>
        <w:rPr>
          <w:rFonts w:ascii="Times New Roman" w:cs="Times New Roman" w:eastAsia="Times New Roman" w:hAnsi="Times New Roman"/>
          <w:sz w:val="14"/>
          <w:szCs w:val="14"/>
          <w:color w:val="auto"/>
        </w:rPr>
      </w:pPr>
    </w:p>
    <w:p>
      <w:pPr>
        <w:ind w:left="378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9" w:lineRule="exact"/>
        <w:rPr>
          <w:rFonts w:ascii="Times New Roman" w:cs="Times New Roman" w:eastAsia="Times New Roman" w:hAnsi="Times New Roman"/>
          <w:sz w:val="14"/>
          <w:szCs w:val="14"/>
          <w:color w:val="auto"/>
        </w:rPr>
      </w:pPr>
    </w:p>
    <w:p>
      <w:pPr>
        <w:ind w:left="3600"/>
        <w:spacing w:after="0"/>
        <w:rPr>
          <w:sz w:val="20"/>
          <w:szCs w:val="20"/>
          <w:color w:val="auto"/>
        </w:rPr>
      </w:pPr>
      <w:r>
        <w:rPr>
          <w:rFonts w:ascii="Times New Roman" w:cs="Times New Roman" w:eastAsia="Times New Roman" w:hAnsi="Times New Roman"/>
          <w:sz w:val="14"/>
          <w:szCs w:val="14"/>
          <w:color w:val="auto"/>
        </w:rPr>
        <w:t>4601 Fairfax Drive, Suite 600</w:t>
      </w:r>
    </w:p>
    <w:p>
      <w:pPr>
        <w:spacing w:after="0" w:line="9" w:lineRule="exact"/>
        <w:rPr>
          <w:rFonts w:ascii="Times New Roman" w:cs="Times New Roman" w:eastAsia="Times New Roman" w:hAnsi="Times New Roman"/>
          <w:sz w:val="14"/>
          <w:szCs w:val="14"/>
          <w:color w:val="auto"/>
        </w:rPr>
      </w:pPr>
    </w:p>
    <w:p>
      <w:pPr>
        <w:ind w:left="3860"/>
        <w:spacing w:after="0"/>
        <w:rPr>
          <w:sz w:val="20"/>
          <w:szCs w:val="20"/>
          <w:color w:val="auto"/>
        </w:rPr>
      </w:pPr>
      <w:r>
        <w:rPr>
          <w:rFonts w:ascii="Times New Roman" w:cs="Times New Roman" w:eastAsia="Times New Roman" w:hAnsi="Times New Roman"/>
          <w:sz w:val="14"/>
          <w:szCs w:val="14"/>
          <w:color w:val="auto"/>
        </w:rPr>
        <w:t>Arlington VA, 22203</w:t>
      </w:r>
    </w:p>
    <w:p>
      <w:pPr>
        <w:spacing w:after="0" w:line="9" w:lineRule="exact"/>
        <w:rPr>
          <w:rFonts w:ascii="Times New Roman" w:cs="Times New Roman" w:eastAsia="Times New Roman" w:hAnsi="Times New Roman"/>
          <w:sz w:val="14"/>
          <w:szCs w:val="14"/>
          <w:color w:val="auto"/>
        </w:rPr>
      </w:pPr>
    </w:p>
    <w:p>
      <w:pPr>
        <w:ind w:left="4040"/>
        <w:spacing w:after="0"/>
        <w:rPr>
          <w:sz w:val="20"/>
          <w:szCs w:val="20"/>
          <w:color w:val="auto"/>
        </w:rPr>
      </w:pPr>
      <w:r>
        <w:rPr>
          <w:rFonts w:ascii="Times New Roman" w:cs="Times New Roman" w:eastAsia="Times New Roman" w:hAnsi="Times New Roman"/>
          <w:sz w:val="14"/>
          <w:szCs w:val="14"/>
          <w:color w:val="auto"/>
        </w:rPr>
        <w:t>(833) 358-3623</w:t>
      </w:r>
    </w:p>
    <w:p>
      <w:pPr>
        <w:spacing w:after="0" w:line="304"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699" w:firstLine="284"/>
        <w:spacing w:after="0" w:line="265" w:lineRule="auto"/>
        <w:rPr>
          <w:sz w:val="20"/>
          <w:szCs w:val="20"/>
          <w:color w:val="auto"/>
        </w:rPr>
      </w:pPr>
      <w:r>
        <w:rPr>
          <w:rFonts w:ascii="Times New Roman" w:cs="Times New Roman" w:eastAsia="Times New Roman" w:hAnsi="Times New Roman"/>
          <w:sz w:val="14"/>
          <w:szCs w:val="14"/>
          <w:color w:val="auto"/>
        </w:rPr>
        <w:t>Statements contained in this prospectus supplement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256540</wp:posOffset>
            </wp:positionV>
            <wp:extent cx="4347210" cy="6281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4347210" cy="628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27" w:lineRule="exact"/>
        <w:rPr>
          <w:sz w:val="20"/>
          <w:szCs w:val="20"/>
          <w:color w:val="auto"/>
        </w:rPr>
      </w:pPr>
    </w:p>
    <w:p>
      <w:pPr>
        <w:ind w:left="1280" w:right="1379" w:firstLine="284"/>
        <w:spacing w:after="0" w:line="260" w:lineRule="auto"/>
        <w:rPr>
          <w:sz w:val="20"/>
          <w:szCs w:val="20"/>
          <w:color w:val="auto"/>
        </w:rPr>
      </w:pPr>
      <w:r>
        <w:rPr>
          <w:rFonts w:ascii="Times New Roman" w:cs="Times New Roman" w:eastAsia="Times New Roman" w:hAnsi="Times New Roman"/>
          <w:sz w:val="14"/>
          <w:szCs w:val="14"/>
          <w:i w:val="1"/>
          <w:iCs w:val="1"/>
          <w:color w:val="auto"/>
        </w:rPr>
        <w:t>This summary is not complete and does not contain all of the information that you should consider in making your investment decision. Before investing in our Class A common stock, you should carefully read the entire prospectus supplement and the accompanying prospectus and the documents incorporated by reference herein and therein carefully, including the section titled “Risk Factors” in this prospectus supplement, as well as the information set forth under “Management’s Discussion and Analysis of Our Financial Condition and Results of Operations” and our financial statements and related notes, in each case incorporated by reference in this prospectus supplement and the accompanying prospectus.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9" w:lineRule="exact"/>
        <w:rPr>
          <w:sz w:val="20"/>
          <w:szCs w:val="20"/>
          <w:color w:val="auto"/>
        </w:rPr>
      </w:pPr>
    </w:p>
    <w:p>
      <w:pPr>
        <w:ind w:left="1280" w:right="1359" w:firstLine="284"/>
        <w:spacing w:after="0" w:line="271" w:lineRule="auto"/>
        <w:rPr>
          <w:sz w:val="20"/>
          <w:szCs w:val="20"/>
          <w:color w:val="auto"/>
        </w:rPr>
      </w:pPr>
      <w:r>
        <w:rPr>
          <w:rFonts w:ascii="Times New Roman" w:cs="Times New Roman" w:eastAsia="Times New Roman" w:hAnsi="Times New Roman"/>
          <w:sz w:val="14"/>
          <w:szCs w:val="14"/>
          <w:color w:val="auto"/>
        </w:rPr>
        <w:t>Fluence is a global market leader delivering intelligent energy storage and optimization software for renewables and storage. Our energy storage solutions and operational services are designed to help create a more resilient grid and unlock the full potential of renewable portfolios.</w:t>
      </w:r>
    </w:p>
    <w:p>
      <w:pPr>
        <w:spacing w:after="0" w:line="7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As of March 31, 2026, we had 7.4 gigawatts (“GW”) of energy storage assets deployed and 10.1 GW of</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contracted backlog across 33 markets in 25 countries with a gross global pipeline of 41.3 GW. As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March 31, 2026, our global operational and maintenance (“O&amp;M”) services team was providing services for</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6.3 GW of energy storage assets, with a further 7.7 GW of contracted backlog. As of March 31, 2026, we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had an aggregate of 22.9 GW of renewable energy assets using Fluence digital offerings and 14.4 GW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contracted backlog related to renewable and energy storage assets using Fluence digital offerings.</w:t>
      </w:r>
    </w:p>
    <w:p>
      <w:pPr>
        <w:spacing w:after="0" w:line="112" w:lineRule="exact"/>
        <w:rPr>
          <w:sz w:val="20"/>
          <w:szCs w:val="20"/>
          <w:color w:val="auto"/>
        </w:rPr>
      </w:pPr>
    </w:p>
    <w:p>
      <w:pPr>
        <w:ind w:left="1280" w:right="1319" w:firstLine="284"/>
        <w:spacing w:after="0" w:line="262" w:lineRule="auto"/>
        <w:rPr>
          <w:sz w:val="20"/>
          <w:szCs w:val="20"/>
          <w:color w:val="auto"/>
        </w:rPr>
      </w:pPr>
      <w:r>
        <w:rPr>
          <w:rFonts w:ascii="Times New Roman" w:cs="Times New Roman" w:eastAsia="Times New Roman" w:hAnsi="Times New Roman"/>
          <w:sz w:val="14"/>
          <w:szCs w:val="14"/>
          <w:color w:val="auto"/>
        </w:rPr>
        <w:t>The growth of the utility-scale battery storage industry continues to be fueled by (i) the global transition toward renewable energy, (ii) heightened focus on grid resilience, (iii) declining lithium-ion battery prices, (iv) increased electricity demand, and (v) supportive regulatory frameworks. BloombergNEF estimated in its 2H 2025 Energy Storage Market Outlook published on October 20, 2025 that the global utility scale market, excluding China, will add approximately 3,201 GWh between 2024 and 2035.</w:t>
      </w:r>
    </w:p>
    <w:p>
      <w:pPr>
        <w:spacing w:after="0" w:line="90" w:lineRule="exact"/>
        <w:rPr>
          <w:sz w:val="20"/>
          <w:szCs w:val="20"/>
          <w:color w:val="auto"/>
        </w:rPr>
      </w:pPr>
    </w:p>
    <w:p>
      <w:pPr>
        <w:ind w:left="1280" w:right="1299" w:firstLine="284"/>
        <w:spacing w:after="0" w:line="259" w:lineRule="auto"/>
        <w:rPr>
          <w:sz w:val="20"/>
          <w:szCs w:val="20"/>
          <w:color w:val="auto"/>
        </w:rPr>
      </w:pPr>
      <w:r>
        <w:rPr>
          <w:rFonts w:ascii="Times New Roman" w:cs="Times New Roman" w:eastAsia="Times New Roman" w:hAnsi="Times New Roman"/>
          <w:sz w:val="14"/>
          <w:szCs w:val="14"/>
          <w:color w:val="auto"/>
        </w:rPr>
        <w:t>Our business continues to evolve worldwide and is shaped by the varying ways in which our products can provide economically viable solutions to energy needs in certain markets. Our offerings include energy storage products and solutions, recurring O&amp;M services, and digital applications for energy storage and other power assets. We have repeatedly pioneered new use cases for grid-scale energy storage. Some of the uses we have supported include frequency regulation, generation enhancement, capacity peak power, energy cost control, microgrids/islands, renewable integration, virtual dams, transmission and distribution enhancement, and critical power.</w:t>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Corporate information</w:t>
      </w:r>
    </w:p>
    <w:p>
      <w:pPr>
        <w:spacing w:after="0" w:line="120" w:lineRule="exact"/>
        <w:rPr>
          <w:sz w:val="20"/>
          <w:szCs w:val="20"/>
          <w:color w:val="auto"/>
        </w:rPr>
      </w:pPr>
    </w:p>
    <w:p>
      <w:pPr>
        <w:ind w:left="1280" w:right="1419" w:firstLine="284"/>
        <w:spacing w:after="0" w:line="261" w:lineRule="auto"/>
        <w:rPr>
          <w:sz w:val="20"/>
          <w:szCs w:val="20"/>
          <w:color w:val="auto"/>
        </w:rPr>
      </w:pPr>
      <w:r>
        <w:rPr>
          <w:rFonts w:ascii="Times New Roman" w:cs="Times New Roman" w:eastAsia="Times New Roman" w:hAnsi="Times New Roman"/>
          <w:sz w:val="14"/>
          <w:szCs w:val="14"/>
          <w:color w:val="auto"/>
        </w:rPr>
        <w:t>Fluence Energy, Inc., a Delaware corporation was formed on June 21, 2021. We conduct our business operations through Fluence Energy, LLC and its direct and indirect subsidiaries. Our principal executive offices are located at 4601 Fairfax Drive, Suite 600, Arlington VA 22203, and our telephone number is</w:t>
      </w:r>
    </w:p>
    <w:p>
      <w:pPr>
        <w:ind w:left="1280" w:right="1659" w:firstLine="1"/>
        <w:spacing w:after="0" w:line="261" w:lineRule="auto"/>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358-3623. Our website address is https://www.fluenceenergy.com. Information contained on our website is not a part of this prospectus supplement,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 w:name="page9"/>
    <w:bookmarkEnd w:id="8"/>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256540</wp:posOffset>
            </wp:positionV>
            <wp:extent cx="4347210" cy="62814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4347210" cy="62814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Issuer</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200" w:lineRule="exact"/>
        <w:rPr>
          <w:sz w:val="20"/>
          <w:szCs w:val="20"/>
          <w:color w:val="auto"/>
        </w:rPr>
      </w:pPr>
    </w:p>
    <w:p>
      <w:pPr>
        <w:spacing w:after="0" w:line="235" w:lineRule="exact"/>
        <w:rPr>
          <w:sz w:val="20"/>
          <w:szCs w:val="20"/>
          <w:color w:val="auto"/>
        </w:rPr>
      </w:pPr>
    </w:p>
    <w:p>
      <w:pPr>
        <w:ind w:left="1420" w:right="120" w:hanging="141"/>
        <w:spacing w:after="0" w:line="332" w:lineRule="auto"/>
        <w:rPr>
          <w:sz w:val="20"/>
          <w:szCs w:val="20"/>
          <w:color w:val="auto"/>
        </w:rPr>
      </w:pPr>
      <w:r>
        <w:rPr>
          <w:rFonts w:ascii="Times New Roman" w:cs="Times New Roman" w:eastAsia="Times New Roman" w:hAnsi="Times New Roman"/>
          <w:sz w:val="13"/>
          <w:szCs w:val="13"/>
          <w:b w:val="1"/>
          <w:bCs w:val="1"/>
          <w:color w:val="auto"/>
        </w:rPr>
        <w:t>Class A common stock offered by the Selling Securityholders</w:t>
      </w:r>
    </w:p>
    <w:p>
      <w:pPr>
        <w:spacing w:after="0" w:line="12" w:lineRule="exact"/>
        <w:rPr>
          <w:sz w:val="20"/>
          <w:szCs w:val="20"/>
          <w:color w:val="auto"/>
        </w:rPr>
      </w:pPr>
    </w:p>
    <w:p>
      <w:pPr>
        <w:ind w:left="1420" w:right="140" w:hanging="141"/>
        <w:spacing w:after="0" w:line="273" w:lineRule="auto"/>
        <w:rPr>
          <w:sz w:val="20"/>
          <w:szCs w:val="20"/>
          <w:color w:val="auto"/>
        </w:rPr>
      </w:pPr>
      <w:r>
        <w:rPr>
          <w:rFonts w:ascii="Times New Roman" w:cs="Times New Roman" w:eastAsia="Times New Roman" w:hAnsi="Times New Roman"/>
          <w:sz w:val="14"/>
          <w:szCs w:val="14"/>
          <w:b w:val="1"/>
          <w:bCs w:val="1"/>
          <w:color w:val="auto"/>
        </w:rPr>
        <w:t>Class A common stock to be outstanding immediately after this offering</w:t>
      </w:r>
    </w:p>
    <w:p>
      <w:pPr>
        <w:spacing w:after="0" w:line="47" w:lineRule="exact"/>
        <w:rPr>
          <w:sz w:val="20"/>
          <w:szCs w:val="20"/>
          <w:color w:val="auto"/>
        </w:rPr>
      </w:pPr>
    </w:p>
    <w:p>
      <w:pPr>
        <w:ind w:left="1420" w:hanging="141"/>
        <w:spacing w:after="0" w:line="273" w:lineRule="auto"/>
        <w:rPr>
          <w:sz w:val="20"/>
          <w:szCs w:val="20"/>
          <w:color w:val="auto"/>
        </w:rPr>
      </w:pPr>
      <w:r>
        <w:rPr>
          <w:rFonts w:ascii="Times New Roman" w:cs="Times New Roman" w:eastAsia="Times New Roman" w:hAnsi="Times New Roman"/>
          <w:sz w:val="14"/>
          <w:szCs w:val="14"/>
          <w:b w:val="1"/>
          <w:bCs w:val="1"/>
          <w:color w:val="auto"/>
        </w:rPr>
        <w:t>Over-allotment Option to purchase additional shares from the Selling Securityholder</w:t>
      </w:r>
    </w:p>
    <w:p>
      <w:pPr>
        <w:spacing w:after="0" w:line="200" w:lineRule="exact"/>
        <w:rPr>
          <w:sz w:val="20"/>
          <w:szCs w:val="20"/>
          <w:color w:val="auto"/>
        </w:rPr>
      </w:pPr>
    </w:p>
    <w:p>
      <w:pPr>
        <w:spacing w:after="0" w:line="358" w:lineRule="exact"/>
        <w:rPr>
          <w:sz w:val="20"/>
          <w:szCs w:val="20"/>
          <w:color w:val="auto"/>
        </w:rPr>
      </w:pPr>
    </w:p>
    <w:p>
      <w:pPr>
        <w:ind w:left="1420" w:right="60" w:hanging="141"/>
        <w:spacing w:after="0" w:line="273" w:lineRule="auto"/>
        <w:rPr>
          <w:sz w:val="20"/>
          <w:szCs w:val="20"/>
          <w:color w:val="auto"/>
        </w:rPr>
      </w:pPr>
      <w:r>
        <w:rPr>
          <w:rFonts w:ascii="Times New Roman" w:cs="Times New Roman" w:eastAsia="Times New Roman" w:hAnsi="Times New Roman"/>
          <w:sz w:val="14"/>
          <w:szCs w:val="14"/>
          <w:b w:val="1"/>
          <w:bCs w:val="1"/>
          <w:color w:val="auto"/>
        </w:rPr>
        <w:t>Shares of Class B-1 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20" w:right="60" w:hanging="141"/>
        <w:spacing w:after="0" w:line="273" w:lineRule="auto"/>
        <w:rPr>
          <w:sz w:val="20"/>
          <w:szCs w:val="20"/>
          <w:color w:val="auto"/>
        </w:rPr>
      </w:pPr>
      <w:r>
        <w:rPr>
          <w:rFonts w:ascii="Times New Roman" w:cs="Times New Roman" w:eastAsia="Times New Roman" w:hAnsi="Times New Roman"/>
          <w:sz w:val="14"/>
          <w:szCs w:val="14"/>
          <w:b w:val="1"/>
          <w:bCs w:val="1"/>
          <w:color w:val="auto"/>
        </w:rPr>
        <w:t>Shares of Class B-2 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20" w:right="180" w:hanging="141"/>
        <w:spacing w:after="0" w:line="273" w:lineRule="auto"/>
        <w:rPr>
          <w:sz w:val="20"/>
          <w:szCs w:val="20"/>
          <w:color w:val="auto"/>
        </w:rPr>
      </w:pPr>
      <w:r>
        <w:rPr>
          <w:rFonts w:ascii="Times New Roman" w:cs="Times New Roman" w:eastAsia="Times New Roman" w:hAnsi="Times New Roman"/>
          <w:sz w:val="14"/>
          <w:szCs w:val="14"/>
          <w:b w:val="1"/>
          <w:bCs w:val="1"/>
          <w:color w:val="auto"/>
        </w:rPr>
        <w:t>LLC Interests to be outstanding immediately after this offering</w:t>
      </w:r>
    </w:p>
    <w:p>
      <w:pPr>
        <w:spacing w:after="0" w:line="200" w:lineRule="exact"/>
        <w:rPr>
          <w:sz w:val="20"/>
          <w:szCs w:val="20"/>
          <w:color w:val="auto"/>
        </w:rPr>
      </w:pPr>
    </w:p>
    <w:p>
      <w:pPr>
        <w:spacing w:after="0" w:line="3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2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Fluence Energy, Inc.</w:t>
      </w:r>
    </w:p>
    <w:p>
      <w:pPr>
        <w:spacing w:after="0" w:line="95" w:lineRule="exact"/>
        <w:rPr>
          <w:sz w:val="20"/>
          <w:szCs w:val="20"/>
          <w:color w:val="auto"/>
        </w:rPr>
      </w:pPr>
    </w:p>
    <w:p>
      <w:pPr>
        <w:ind w:right="1359"/>
        <w:spacing w:after="0" w:line="282" w:lineRule="auto"/>
        <w:rPr>
          <w:sz w:val="20"/>
          <w:szCs w:val="20"/>
          <w:color w:val="auto"/>
        </w:rPr>
      </w:pPr>
      <w:r>
        <w:rPr>
          <w:rFonts w:ascii="Times New Roman" w:cs="Times New Roman" w:eastAsia="Times New Roman" w:hAnsi="Times New Roman"/>
          <w:sz w:val="14"/>
          <w:szCs w:val="14"/>
          <w:color w:val="auto"/>
        </w:rPr>
        <w:t>AES Grid Stability, LLC (“AES Grid Stability”), SPT Holding, SARL, an affiliate of Siemens AG (“Siemens”), and Qatar Holding LLC.</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20,000,000 shares.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141,534,496 shares.</w:t>
      </w:r>
    </w:p>
    <w:p>
      <w:pPr>
        <w:spacing w:after="0" w:line="200" w:lineRule="exact"/>
        <w:rPr>
          <w:sz w:val="20"/>
          <w:szCs w:val="20"/>
          <w:color w:val="auto"/>
        </w:rPr>
      </w:pPr>
    </w:p>
    <w:p>
      <w:pPr>
        <w:spacing w:after="0" w:line="235" w:lineRule="exact"/>
        <w:rPr>
          <w:sz w:val="20"/>
          <w:szCs w:val="20"/>
          <w:color w:val="auto"/>
        </w:rPr>
      </w:pPr>
    </w:p>
    <w:p>
      <w:pPr>
        <w:ind w:right="1379"/>
        <w:spacing w:after="0" w:line="265" w:lineRule="auto"/>
        <w:rPr>
          <w:sz w:val="20"/>
          <w:szCs w:val="20"/>
          <w:color w:val="auto"/>
        </w:rPr>
      </w:pPr>
      <w:r>
        <w:rPr>
          <w:rFonts w:ascii="Times New Roman" w:cs="Times New Roman" w:eastAsia="Times New Roman" w:hAnsi="Times New Roman"/>
          <w:sz w:val="14"/>
          <w:szCs w:val="14"/>
          <w:color w:val="auto"/>
        </w:rPr>
        <w:t>The Selling Securityholders have granted the underwriters 30 days from the date of this prospectus, to purchase up to an additional 3,000,000 shares on the same terms as the other shares being purchased by the underwriters from the Selling Securityholders.</w:t>
      </w:r>
    </w:p>
    <w:p>
      <w:pPr>
        <w:spacing w:after="0" w:line="397" w:lineRule="exact"/>
        <w:rPr>
          <w:sz w:val="20"/>
          <w:szCs w:val="20"/>
          <w:color w:val="auto"/>
        </w:rPr>
      </w:pPr>
    </w:p>
    <w:p>
      <w:pPr>
        <w:ind w:right="1279"/>
        <w:spacing w:after="0" w:line="259" w:lineRule="auto"/>
        <w:rPr>
          <w:sz w:val="20"/>
          <w:szCs w:val="20"/>
          <w:color w:val="auto"/>
        </w:rPr>
      </w:pPr>
      <w:r>
        <w:rPr>
          <w:rFonts w:ascii="Times New Roman" w:cs="Times New Roman" w:eastAsia="Times New Roman" w:hAnsi="Times New Roman"/>
          <w:sz w:val="14"/>
          <w:szCs w:val="14"/>
          <w:color w:val="auto"/>
        </w:rPr>
        <w:t>42,745,791 shares, as a result of the redemption of 8,753,404 LLC Interests by AES Grid Stability, the corresponding cancellation of an equivalent number of shares of Class B-1 common stock and the settlement of such redemption through our issuance of an equivalent number of new shares of Class A common stock to AES Grid Stability to be sold in this offering. All shares of our Class B-1 common stock are held by AES Grid Stability.</w:t>
      </w:r>
    </w:p>
    <w:p>
      <w:pPr>
        <w:spacing w:after="0" w:line="200" w:lineRule="exact"/>
        <w:rPr>
          <w:sz w:val="20"/>
          <w:szCs w:val="20"/>
          <w:color w:val="auto"/>
        </w:rPr>
      </w:pPr>
    </w:p>
    <w:p>
      <w:pPr>
        <w:spacing w:after="0" w:line="203" w:lineRule="exact"/>
        <w:rPr>
          <w:sz w:val="20"/>
          <w:szCs w:val="20"/>
          <w:color w:val="auto"/>
        </w:rPr>
      </w:pPr>
    </w:p>
    <w:p>
      <w:pPr>
        <w:ind w:right="1379"/>
        <w:spacing w:after="0" w:line="258" w:lineRule="auto"/>
        <w:rPr>
          <w:sz w:val="20"/>
          <w:szCs w:val="20"/>
          <w:color w:val="auto"/>
        </w:rPr>
      </w:pPr>
      <w:r>
        <w:rPr>
          <w:rFonts w:ascii="Times New Roman" w:cs="Times New Roman" w:eastAsia="Times New Roman" w:hAnsi="Times New Roman"/>
          <w:sz w:val="14"/>
          <w:szCs w:val="14"/>
          <w:color w:val="auto"/>
        </w:rPr>
        <w:t>No shares of Class B-2 common stock will be outstanding immediately after this offering. Each share of Class B-1 common stock may be converted into one share of Class B-2 common stock at any time at the option of the holder and each share of Class B-1 common stock automatically converts into one share of Class B-2 common stock upon the occurrence of certain circumstances described in our amended and restated certificate of incorporation. See the section titled “Description of Capital Stock” in the accompanying prospectus for additional information.</w:t>
      </w:r>
    </w:p>
    <w:p>
      <w:pPr>
        <w:spacing w:after="0" w:line="200" w:lineRule="exact"/>
        <w:rPr>
          <w:sz w:val="20"/>
          <w:szCs w:val="20"/>
          <w:color w:val="auto"/>
        </w:rPr>
      </w:pPr>
    </w:p>
    <w:p>
      <w:pPr>
        <w:spacing w:after="0" w:line="202" w:lineRule="exact"/>
        <w:rPr>
          <w:sz w:val="20"/>
          <w:szCs w:val="20"/>
          <w:color w:val="auto"/>
        </w:rPr>
      </w:pPr>
    </w:p>
    <w:p>
      <w:pPr>
        <w:jc w:val="both"/>
        <w:ind w:right="1279"/>
        <w:spacing w:after="0" w:line="268" w:lineRule="auto"/>
        <w:rPr>
          <w:sz w:val="20"/>
          <w:szCs w:val="20"/>
          <w:color w:val="auto"/>
        </w:rPr>
      </w:pPr>
      <w:r>
        <w:rPr>
          <w:rFonts w:ascii="Times New Roman" w:cs="Times New Roman" w:eastAsia="Times New Roman" w:hAnsi="Times New Roman"/>
          <w:sz w:val="14"/>
          <w:szCs w:val="14"/>
          <w:color w:val="auto"/>
        </w:rPr>
        <w:t>42,745,791 LLC Interests, representing approximately 23.2% of the economic interest in Fluence Energy, LLC will be held by AES Grid Stability immediately after this offering, with the remainder held by us.</w:t>
      </w:r>
    </w:p>
    <w:p>
      <w:pPr>
        <w:spacing w:after="0" w:line="227" w:lineRule="exact"/>
        <w:rPr>
          <w:sz w:val="20"/>
          <w:szCs w:val="20"/>
          <w:color w:val="auto"/>
        </w:rPr>
      </w:pPr>
    </w:p>
    <w:p>
      <w:pPr>
        <w:ind w:right="1339"/>
        <w:spacing w:after="0" w:line="289" w:lineRule="auto"/>
        <w:rPr>
          <w:sz w:val="20"/>
          <w:szCs w:val="20"/>
          <w:color w:val="auto"/>
        </w:rPr>
      </w:pPr>
      <w:r>
        <w:rPr>
          <w:rFonts w:ascii="Times New Roman" w:cs="Times New Roman" w:eastAsia="Times New Roman" w:hAnsi="Times New Roman"/>
          <w:sz w:val="14"/>
          <w:szCs w:val="14"/>
          <w:color w:val="auto"/>
        </w:rPr>
        <w:t>We will not receive any proceeds from the sale of shares of Class A common stock in this offering.</w:t>
      </w:r>
    </w:p>
    <w:p>
      <w:pPr>
        <w:spacing w:after="0" w:line="38" w:lineRule="exact"/>
        <w:rPr>
          <w:sz w:val="20"/>
          <w:szCs w:val="20"/>
          <w:color w:val="auto"/>
        </w:rPr>
      </w:pPr>
    </w:p>
    <w:p>
      <w:pPr>
        <w:ind w:right="1359"/>
        <w:spacing w:after="0" w:line="261" w:lineRule="auto"/>
        <w:rPr>
          <w:sz w:val="20"/>
          <w:szCs w:val="20"/>
          <w:color w:val="auto"/>
        </w:rPr>
      </w:pPr>
      <w:r>
        <w:rPr>
          <w:rFonts w:ascii="Times New Roman" w:cs="Times New Roman" w:eastAsia="Times New Roman" w:hAnsi="Times New Roman"/>
          <w:sz w:val="14"/>
          <w:szCs w:val="14"/>
          <w:color w:val="auto"/>
        </w:rPr>
        <w:t>Holders of shares of our Class A common stock and our Class B-1 and Class B-2 common stock will vote together as a single class on all matters presented to stockholders for their vote or approval, except as otherwise required by law or our amended and restated certificate of incorporation. Each share of our Class A common stock entitles its holders to one vote per share, each share of our</w:t>
      </w:r>
    </w:p>
    <w:p>
      <w:pPr>
        <w:spacing w:after="0" w:line="200" w:lineRule="exact"/>
        <w:rPr>
          <w:sz w:val="20"/>
          <w:szCs w:val="20"/>
          <w:color w:val="auto"/>
        </w:rPr>
      </w:pPr>
    </w:p>
    <w:p>
      <w:pPr>
        <w:sectPr>
          <w:pgSz w:w="11900" w:h="16838" w:orient="portrait"/>
          <w:cols w:equalWidth="0" w:num="2">
            <w:col w:w="3320" w:space="340"/>
            <w:col w:w="5359"/>
          </w:cols>
          <w:pgMar w:left="1440" w:top="108" w:right="1440" w:bottom="1440" w:gutter="0" w:footer="0" w:header="0"/>
          <w:type w:val="continuous"/>
        </w:sectPr>
      </w:pPr>
    </w:p>
    <w:p>
      <w:pPr>
        <w:spacing w:after="0" w:line="1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9" w:name="page10"/>
    <w:bookmarkEnd w:id="9"/>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256540</wp:posOffset>
            </wp:positionV>
            <wp:extent cx="4347210" cy="6322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4347210" cy="632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28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Class B-1 common stock entitles its holders to five votes per share</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and each share of our Class B-2 common stock entitles its holders to</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one vote per share on all matters presented to our stockholders</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generally. See the section titled “Description of Capital Stock” in</w:t>
            </w:r>
          </w:p>
        </w:tc>
      </w:tr>
      <w:tr>
        <w:trPr>
          <w:trHeight w:val="184"/>
        </w:trPr>
        <w:tc>
          <w:tcPr>
            <w:tcW w:w="1900" w:type="dxa"/>
            <w:vAlign w:val="bottom"/>
          </w:tcPr>
          <w:p>
            <w:pPr>
              <w:spacing w:after="0"/>
              <w:rPr>
                <w:sz w:val="16"/>
                <w:szCs w:val="16"/>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the accompanying prospectus for additional information.</w:t>
            </w:r>
          </w:p>
        </w:tc>
      </w:tr>
      <w:tr>
        <w:trPr>
          <w:trHeight w:val="24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Investing in our Class A common stock involves a high degree of</w:t>
            </w:r>
          </w:p>
        </w:tc>
      </w:tr>
      <w:tr>
        <w:trPr>
          <w:trHeight w:val="153"/>
        </w:trPr>
        <w:tc>
          <w:tcPr>
            <w:tcW w:w="1900" w:type="dxa"/>
            <w:vAlign w:val="bottom"/>
          </w:tcPr>
          <w:p>
            <w:pPr>
              <w:spacing w:after="0"/>
              <w:rPr>
                <w:sz w:val="13"/>
                <w:szCs w:val="13"/>
                <w:color w:val="auto"/>
              </w:rPr>
            </w:pPr>
          </w:p>
        </w:tc>
        <w:tc>
          <w:tcPr>
            <w:tcW w:w="4560" w:type="dxa"/>
            <w:vAlign w:val="bottom"/>
            <w:gridSpan w:val="3"/>
          </w:tcPr>
          <w:p>
            <w:pPr>
              <w:ind w:left="480"/>
              <w:spacing w:after="0" w:line="153" w:lineRule="exact"/>
              <w:rPr>
                <w:sz w:val="20"/>
                <w:szCs w:val="20"/>
                <w:color w:val="auto"/>
              </w:rPr>
            </w:pPr>
            <w:r>
              <w:rPr>
                <w:rFonts w:ascii="Times New Roman" w:cs="Times New Roman" w:eastAsia="Times New Roman" w:hAnsi="Times New Roman"/>
                <w:sz w:val="14"/>
                <w:szCs w:val="14"/>
                <w:color w:val="auto"/>
              </w:rPr>
              <w:t xml:space="preserve">risk. See the section titled “Risk Factors” beginning on page </w:t>
            </w:r>
            <w:r>
              <w:rPr>
                <w:rFonts w:ascii="Times New Roman" w:cs="Times New Roman" w:eastAsia="Times New Roman" w:hAnsi="Times New Roman"/>
                <w:sz w:val="14"/>
                <w:szCs w:val="14"/>
                <w:color w:val="0000EE"/>
              </w:rPr>
              <w:t>S-10</w:t>
            </w:r>
            <w:r>
              <w:rPr>
                <w:rFonts w:ascii="Times New Roman" w:cs="Times New Roman" w:eastAsia="Times New Roman" w:hAnsi="Times New Roman"/>
                <w:sz w:val="14"/>
                <w:szCs w:val="14"/>
                <w:color w:val="auto"/>
              </w:rPr>
              <w:t xml:space="preserve"> of</w:t>
            </w:r>
          </w:p>
        </w:tc>
      </w:tr>
      <w:tr>
        <w:trPr>
          <w:trHeight w:val="20"/>
        </w:trPr>
        <w:tc>
          <w:tcPr>
            <w:tcW w:w="1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8"/>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this prospectus supplement and the sections titled “Risk Factors” in</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the accompanying prospectus and in the documents incorporated by</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reference herein and therein for a discussion of factors that you</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should consider carefully before deciding to invest in our Class A</w:t>
            </w:r>
          </w:p>
        </w:tc>
      </w:tr>
      <w:tr>
        <w:trPr>
          <w:trHeight w:val="184"/>
        </w:trPr>
        <w:tc>
          <w:tcPr>
            <w:tcW w:w="1900" w:type="dxa"/>
            <w:vAlign w:val="bottom"/>
          </w:tcPr>
          <w:p>
            <w:pPr>
              <w:spacing w:after="0"/>
              <w:rPr>
                <w:sz w:val="16"/>
                <w:szCs w:val="16"/>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common stock.</w:t>
            </w:r>
          </w:p>
        </w:tc>
      </w:tr>
      <w:tr>
        <w:trPr>
          <w:trHeight w:val="24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Payment and settlement</w:t>
            </w: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The underwriters expect to deliver the Class A common stock on or</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about May 15, 2026, which will be the second business day</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following the initial trade date for the Class A common stock sold in</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this offering (this settlement cycle being referred to as “T+2”).</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Under Rule 15c6-1 under the Securities Exchange Act of 1934, as</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amended, trades in the secondary market generally are required to</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settle in one business day, unless the parties to any such trade</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expressly agree otherwise. Accordingly, purchasers who wish to</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trade Class A common stock purchased in this offering prior to the</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business day preceding the settlement date will be required, by</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virtue of the fact that the Class A common stock initially will settle</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T+2, to specify an alternate settlement cycle at the time of any such</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trade to prevent a failed settlement. Purchasers of the Class A</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common stock who wish to trade such Class A common stock prior</w:t>
            </w:r>
          </w:p>
        </w:tc>
      </w:tr>
      <w:tr>
        <w:trPr>
          <w:trHeight w:val="170"/>
        </w:trPr>
        <w:tc>
          <w:tcPr>
            <w:tcW w:w="1900" w:type="dxa"/>
            <w:vAlign w:val="bottom"/>
          </w:tcPr>
          <w:p>
            <w:pPr>
              <w:spacing w:after="0"/>
              <w:rPr>
                <w:sz w:val="14"/>
                <w:szCs w:val="1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to the business day preceding the settlement date should consult</w:t>
            </w:r>
          </w:p>
        </w:tc>
      </w:tr>
      <w:tr>
        <w:trPr>
          <w:trHeight w:val="184"/>
        </w:trPr>
        <w:tc>
          <w:tcPr>
            <w:tcW w:w="1900" w:type="dxa"/>
            <w:vAlign w:val="bottom"/>
          </w:tcPr>
          <w:p>
            <w:pPr>
              <w:spacing w:after="0"/>
              <w:rPr>
                <w:sz w:val="16"/>
                <w:szCs w:val="16"/>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their own advisors.</w:t>
            </w:r>
          </w:p>
        </w:tc>
      </w:tr>
      <w:tr>
        <w:trPr>
          <w:trHeight w:val="256"/>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Nasdaq symbol</w:t>
            </w: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“FLNC”</w:t>
            </w:r>
          </w:p>
        </w:tc>
      </w:tr>
    </w:tbl>
    <w:p>
      <w:pPr>
        <w:spacing w:after="0" w:line="103" w:lineRule="exact"/>
        <w:rPr>
          <w:sz w:val="20"/>
          <w:szCs w:val="20"/>
          <w:color w:val="auto"/>
        </w:rPr>
      </w:pPr>
    </w:p>
    <w:p>
      <w:pPr>
        <w:ind w:left="1280" w:right="1399" w:firstLine="284"/>
        <w:spacing w:after="0" w:line="268" w:lineRule="auto"/>
        <w:rPr>
          <w:sz w:val="20"/>
          <w:szCs w:val="20"/>
          <w:color w:val="auto"/>
        </w:rPr>
      </w:pPr>
      <w:r>
        <w:rPr>
          <w:rFonts w:ascii="Times New Roman" w:cs="Times New Roman" w:eastAsia="Times New Roman" w:hAnsi="Times New Roman"/>
          <w:sz w:val="14"/>
          <w:szCs w:val="14"/>
          <w:color w:val="auto"/>
        </w:rPr>
        <w:t>The number of shares of our common stock that will be outstanding immediately after this offering as set forth above is based on 132,781,092 shares of our Class A common stock, 51,499,195 shares of our Class B-1 common stock and no shares of Class B-2 common stock outstanding as of March 31, 2026, and excludes:</w:t>
      </w:r>
    </w:p>
    <w:p>
      <w:pPr>
        <w:spacing w:after="0" w:line="227" w:lineRule="exact"/>
        <w:rPr>
          <w:sz w:val="20"/>
          <w:szCs w:val="20"/>
          <w:color w:val="auto"/>
        </w:rPr>
      </w:pPr>
    </w:p>
    <w:p>
      <w:pPr>
        <w:ind w:left="1700" w:right="1299" w:hanging="135"/>
        <w:spacing w:after="0" w:line="271"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1,397,309 shares of our Class A common stock issuable upon the exercise of outstanding stock options issued pursuant to our 2020 Unit Option Plan as of March 31, 2026, with a weighted-average exercise price of $2.45 per share;</w:t>
      </w:r>
    </w:p>
    <w:p>
      <w:pPr>
        <w:spacing w:after="0" w:line="51" w:lineRule="exact"/>
        <w:rPr>
          <w:rFonts w:ascii="Times New Roman" w:cs="Times New Roman" w:eastAsia="Times New Roman" w:hAnsi="Times New Roman"/>
          <w:sz w:val="14"/>
          <w:szCs w:val="14"/>
          <w:color w:val="auto"/>
        </w:rPr>
      </w:pPr>
    </w:p>
    <w:p>
      <w:pPr>
        <w:ind w:left="1700" w:right="1299" w:hanging="135"/>
        <w:spacing w:after="0" w:line="271"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657,313 shares of our Class A common stock issuable upon the exercise of outstanding stock options issued pursuant to our Amended and Restated 2021 Equity Incentive Award Plan (the “2021 Equity Plan”) as of March 31, 2026 with a weighted-average exercise price of $17.93 per share;</w:t>
      </w:r>
    </w:p>
    <w:p>
      <w:pPr>
        <w:spacing w:after="0" w:line="51" w:lineRule="exact"/>
        <w:rPr>
          <w:rFonts w:ascii="Times New Roman" w:cs="Times New Roman" w:eastAsia="Times New Roman" w:hAnsi="Times New Roman"/>
          <w:sz w:val="14"/>
          <w:szCs w:val="14"/>
          <w:color w:val="auto"/>
        </w:rPr>
      </w:pPr>
    </w:p>
    <w:p>
      <w:pPr>
        <w:ind w:left="1700" w:right="1399" w:hanging="135"/>
        <w:spacing w:after="0" w:line="289"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1,769,760 shares of our Class A common stock issuable upon the vesting and settlement of service-based restricted stock units (“RSUs”) outstanding as of March 31, 2026;</w:t>
      </w:r>
    </w:p>
    <w:p>
      <w:pPr>
        <w:spacing w:after="0" w:line="38" w:lineRule="exact"/>
        <w:rPr>
          <w:rFonts w:ascii="Times New Roman" w:cs="Times New Roman" w:eastAsia="Times New Roman" w:hAnsi="Times New Roman"/>
          <w:sz w:val="14"/>
          <w:szCs w:val="14"/>
          <w:color w:val="auto"/>
        </w:rPr>
      </w:pPr>
    </w:p>
    <w:p>
      <w:pPr>
        <w:ind w:left="1700" w:right="2019" w:hanging="135"/>
        <w:spacing w:after="0" w:line="289"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979,132 shares of our Class A common stock issuable upon the vesting and settlement of performance share units (“PSUs”) outstanding as of March 31, 2026;</w:t>
      </w:r>
    </w:p>
    <w:p>
      <w:pPr>
        <w:spacing w:after="0" w:line="38" w:lineRule="exact"/>
        <w:rPr>
          <w:rFonts w:ascii="Times New Roman" w:cs="Times New Roman" w:eastAsia="Times New Roman" w:hAnsi="Times New Roman"/>
          <w:sz w:val="14"/>
          <w:szCs w:val="14"/>
          <w:color w:val="auto"/>
        </w:rPr>
      </w:pPr>
    </w:p>
    <w:p>
      <w:pPr>
        <w:ind w:left="1700" w:right="1559" w:hanging="135"/>
        <w:spacing w:after="0" w:line="289"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8,957,256 shares of our Class A common stock reserved for future issuance pursuant to our 2021 Equity Plan; and</w:t>
      </w:r>
    </w:p>
    <w:p>
      <w:pPr>
        <w:spacing w:after="0" w:line="38" w:lineRule="exact"/>
        <w:rPr>
          <w:rFonts w:ascii="Times New Roman" w:cs="Times New Roman" w:eastAsia="Times New Roman" w:hAnsi="Times New Roman"/>
          <w:sz w:val="14"/>
          <w:szCs w:val="14"/>
          <w:color w:val="auto"/>
        </w:rPr>
      </w:pPr>
    </w:p>
    <w:p>
      <w:pPr>
        <w:ind w:left="1700" w:right="1859" w:hanging="135"/>
        <w:spacing w:after="0" w:line="289"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18,738,880 shares of our Class A common stock issuable upon the conversion of our 2.25% convertible senior notes due 2030 at the initial conversion rate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205740</wp:posOffset>
            </wp:positionV>
            <wp:extent cx="53879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 w:name="page11"/>
    <w:bookmarkEnd w:id="10"/>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256540</wp:posOffset>
            </wp:positionV>
            <wp:extent cx="4347210" cy="6281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4347210" cy="628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80" w:right="1379" w:firstLine="284"/>
        <w:spacing w:after="0" w:line="282" w:lineRule="auto"/>
        <w:rPr>
          <w:sz w:val="20"/>
          <w:szCs w:val="20"/>
          <w:color w:val="auto"/>
        </w:rPr>
      </w:pPr>
      <w:r>
        <w:rPr>
          <w:rFonts w:ascii="Times New Roman" w:cs="Times New Roman" w:eastAsia="Times New Roman" w:hAnsi="Times New Roman"/>
          <w:sz w:val="14"/>
          <w:szCs w:val="14"/>
          <w:color w:val="auto"/>
        </w:rPr>
        <w:t>Unless otherwise indicated, all information in this prospectus supplement does not assume or give effect to any exercise of the outstanding options or settlement of the outstanding RSUs or PSUs referred to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 w:name="page12"/>
    <w:bookmarkEnd w:id="11"/>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7" w:lineRule="exact"/>
        <w:rPr>
          <w:sz w:val="20"/>
          <w:szCs w:val="20"/>
          <w:color w:val="auto"/>
        </w:rPr>
      </w:pPr>
    </w:p>
    <w:p>
      <w:pPr>
        <w:ind w:left="1260" w:right="1279" w:firstLine="284"/>
        <w:spacing w:after="0" w:line="247" w:lineRule="auto"/>
        <w:rPr>
          <w:rFonts w:ascii="Times New Roman" w:cs="Times New Roman" w:eastAsia="Times New Roman" w:hAnsi="Times New Roman"/>
          <w:sz w:val="14"/>
          <w:szCs w:val="14"/>
          <w:i w:val="1"/>
          <w:iCs w:val="1"/>
          <w:color w:val="0000EE"/>
        </w:rPr>
      </w:pPr>
      <w:r>
        <w:rPr>
          <w:rFonts w:ascii="Times New Roman" w:cs="Times New Roman" w:eastAsia="Times New Roman" w:hAnsi="Times New Roman"/>
          <w:sz w:val="14"/>
          <w:szCs w:val="14"/>
          <w:i w:val="1"/>
          <w:iCs w:val="1"/>
          <w:color w:val="auto"/>
        </w:rPr>
        <w:t xml:space="preserve">Before you invest in our Class A common stock, you should carefully consider the risks described below and in the sections titled “Risk Factors” and “Management’s Discussion and Analysis of Financial </w:t>
      </w:r>
      <w:hyperlink r:id="rId24">
        <w:r>
          <w:rPr>
            <w:rFonts w:ascii="Times New Roman" w:cs="Times New Roman" w:eastAsia="Times New Roman" w:hAnsi="Times New Roman"/>
            <w:sz w:val="14"/>
            <w:szCs w:val="14"/>
            <w:i w:val="1"/>
            <w:iCs w:val="1"/>
            <w:color w:val="auto"/>
          </w:rPr>
          <w:t xml:space="preserve">Condition and Results of Operations” or similar headings in our </w:t>
        </w:r>
        <w:r>
          <w:rPr>
            <w:rFonts w:ascii="Times New Roman" w:cs="Times New Roman" w:eastAsia="Times New Roman" w:hAnsi="Times New Roman"/>
            <w:sz w:val="14"/>
            <w:szCs w:val="14"/>
            <w:i w:val="1"/>
            <w:iCs w:val="1"/>
            <w:u w:val="single" w:color="auto"/>
            <w:color w:val="0000EE"/>
          </w:rPr>
          <w:t>Annual Report on Form 10-K for the year</w:t>
        </w:r>
      </w:hyperlink>
      <w:r>
        <w:rPr>
          <w:rFonts w:ascii="Times New Roman" w:cs="Times New Roman" w:eastAsia="Times New Roman" w:hAnsi="Times New Roman"/>
          <w:sz w:val="14"/>
          <w:szCs w:val="14"/>
          <w:i w:val="1"/>
          <w:iCs w:val="1"/>
          <w:color w:val="auto"/>
        </w:rPr>
        <w:t xml:space="preserve"> </w:t>
      </w:r>
      <w:hyperlink r:id="rId24">
        <w:r>
          <w:rPr>
            <w:rFonts w:ascii="Times New Roman" w:cs="Times New Roman" w:eastAsia="Times New Roman" w:hAnsi="Times New Roman"/>
            <w:sz w:val="14"/>
            <w:szCs w:val="14"/>
            <w:i w:val="1"/>
            <w:iCs w:val="1"/>
            <w:u w:val="single" w:color="auto"/>
            <w:color w:val="0000EE"/>
          </w:rPr>
          <w:t>ended September 30, 2025</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and our subsequent Quarterly Reports on Form 10-Q, filed with the SEC, which</w:t>
        </w:r>
      </w:hyperlink>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are incorporated herein by reference, as well as any amendment or update thereto reflected in our subsequent filings with the SEC. You should consider carefully the risk factors discussed therein and below, and all other information contained in or incorporated by reference in this prospectus supplement before making an investment decision. The following risks may adversely impact our business, financial condition and operating results. The occurrence of any of these risks might cause you to lose all or part of your investment in the offered securities.</w:t>
      </w: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Risks related to the offering and ownership of our Class A common stock</w:t>
      </w:r>
    </w:p>
    <w:p>
      <w:pPr>
        <w:spacing w:after="0" w:line="178" w:lineRule="exact"/>
        <w:rPr>
          <w:sz w:val="20"/>
          <w:szCs w:val="20"/>
          <w:color w:val="auto"/>
        </w:rPr>
      </w:pPr>
    </w:p>
    <w:p>
      <w:pPr>
        <w:ind w:left="1260" w:right="1539"/>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of Delaware law and antitakeover provisions in our organizational documents could delay or prevent a change of control.</w:t>
      </w:r>
    </w:p>
    <w:p>
      <w:pPr>
        <w:spacing w:after="0" w:line="56" w:lineRule="exact"/>
        <w:rPr>
          <w:sz w:val="20"/>
          <w:szCs w:val="20"/>
          <w:color w:val="auto"/>
        </w:rPr>
      </w:pPr>
    </w:p>
    <w:p>
      <w:pPr>
        <w:ind w:left="1260" w:right="1459" w:firstLine="284"/>
        <w:spacing w:after="0" w:line="249" w:lineRule="auto"/>
        <w:rPr>
          <w:sz w:val="20"/>
          <w:szCs w:val="20"/>
          <w:color w:val="auto"/>
        </w:rPr>
      </w:pPr>
      <w:r>
        <w:rPr>
          <w:rFonts w:ascii="Times New Roman" w:cs="Times New Roman" w:eastAsia="Times New Roman" w:hAnsi="Times New Roman"/>
          <w:sz w:val="14"/>
          <w:szCs w:val="14"/>
          <w:color w:val="auto"/>
        </w:rPr>
        <w:t>Certain provisions of Delaware law, our amended and restated certificate of incorporation, amended and restated bylaws, and our Stockholders Agreement dated October 27, 2021 by and among Fluence Energy, LLC, Fluence Energy, Inc., and the Stockholders (as defined therein) party thereto (the “Stockholders Agreement”)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45" w:lineRule="exact"/>
        <w:rPr>
          <w:sz w:val="20"/>
          <w:szCs w:val="20"/>
          <w:color w:val="auto"/>
        </w:rPr>
      </w:pPr>
    </w:p>
    <w:p>
      <w:pPr>
        <w:ind w:left="1700" w:hanging="149"/>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one or more series of preferred stock;</w:t>
      </w:r>
    </w:p>
    <w:p>
      <w:pPr>
        <w:spacing w:after="0" w:line="62" w:lineRule="exact"/>
        <w:rPr>
          <w:rFonts w:ascii="Times New Roman" w:cs="Times New Roman" w:eastAsia="Times New Roman" w:hAnsi="Times New Roman"/>
          <w:sz w:val="14"/>
          <w:szCs w:val="14"/>
          <w:color w:val="auto"/>
        </w:rPr>
      </w:pPr>
    </w:p>
    <w:p>
      <w:pPr>
        <w:ind w:left="1700" w:right="1399" w:hanging="149"/>
        <w:spacing w:after="0" w:line="289"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for nominations of directors by stockholders and for stockholders to include matters to be considered at our annual meetings;</w:t>
      </w:r>
    </w:p>
    <w:p>
      <w:pPr>
        <w:spacing w:after="0" w:line="16"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limitations on convening special stockholder meetings;</w:t>
      </w:r>
    </w:p>
    <w:p>
      <w:pPr>
        <w:spacing w:after="0" w:line="62"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 in the election of directors;</w:t>
      </w:r>
    </w:p>
    <w:p>
      <w:pPr>
        <w:spacing w:after="0" w:line="62" w:lineRule="exact"/>
        <w:rPr>
          <w:rFonts w:ascii="Times New Roman" w:cs="Times New Roman" w:eastAsia="Times New Roman" w:hAnsi="Times New Roman"/>
          <w:sz w:val="14"/>
          <w:szCs w:val="14"/>
          <w:color w:val="auto"/>
        </w:rPr>
      </w:pPr>
    </w:p>
    <w:p>
      <w:pPr>
        <w:ind w:left="1700" w:right="1339" w:hanging="149"/>
        <w:spacing w:after="0" w:line="237"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certain provisions of amended and restated certificate of incorporation may be amended only by the affirmative vote of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voting power represented by our then-outstanding common stock;</w:t>
      </w:r>
    </w:p>
    <w:p>
      <w:pPr>
        <w:spacing w:after="0" w:line="41" w:lineRule="exact"/>
        <w:rPr>
          <w:rFonts w:ascii="Times New Roman" w:cs="Times New Roman" w:eastAsia="Times New Roman" w:hAnsi="Times New Roman"/>
          <w:sz w:val="14"/>
          <w:szCs w:val="14"/>
          <w:color w:val="auto"/>
        </w:rPr>
      </w:pPr>
    </w:p>
    <w:p>
      <w:pPr>
        <w:ind w:left="1700" w:right="1459" w:hanging="149"/>
        <w:spacing w:after="0" w:line="289"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each of the AES Related Parties, Siemens Related Parties, and the QIA Related Parties (each as defined in the Stockholders Agreement) to nominate certain of our directors;</w:t>
      </w:r>
    </w:p>
    <w:p>
      <w:pPr>
        <w:spacing w:after="0" w:line="6" w:lineRule="exact"/>
        <w:rPr>
          <w:rFonts w:ascii="Times New Roman" w:cs="Times New Roman" w:eastAsia="Times New Roman" w:hAnsi="Times New Roman"/>
          <w:sz w:val="14"/>
          <w:szCs w:val="14"/>
          <w:color w:val="auto"/>
        </w:rPr>
      </w:pPr>
    </w:p>
    <w:p>
      <w:pPr>
        <w:ind w:left="1700" w:right="1539" w:hanging="149"/>
        <w:spacing w:after="0" w:line="289"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our Class B-1 common stock held by AES entitle them to five votes per share on all matters presented to our stockholders generally; and</w:t>
      </w:r>
    </w:p>
    <w:p>
      <w:pPr>
        <w:spacing w:after="0" w:line="6" w:lineRule="exact"/>
        <w:rPr>
          <w:rFonts w:ascii="Times New Roman" w:cs="Times New Roman" w:eastAsia="Times New Roman" w:hAnsi="Times New Roman"/>
          <w:sz w:val="14"/>
          <w:szCs w:val="14"/>
          <w:color w:val="auto"/>
        </w:rPr>
      </w:pPr>
    </w:p>
    <w:p>
      <w:pPr>
        <w:ind w:left="1700" w:right="1539" w:hanging="149"/>
        <w:spacing w:after="0" w:line="271"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rights of Siemens AG, AES Grid Stability, and Qatar Holding LLC, an affiliate of the Qatar Investment Authority (collectively with their permitted transferees from time to time, the “Continuing Equity Owners”), in the Stockholders Agreement.</w:t>
      </w:r>
    </w:p>
    <w:p>
      <w:pPr>
        <w:spacing w:after="0" w:line="72" w:lineRule="exact"/>
        <w:rPr>
          <w:sz w:val="20"/>
          <w:szCs w:val="20"/>
          <w:color w:val="auto"/>
        </w:rPr>
      </w:pPr>
    </w:p>
    <w:p>
      <w:pPr>
        <w:ind w:left="1260" w:right="1399" w:firstLine="284"/>
        <w:spacing w:after="0" w:line="263" w:lineRule="auto"/>
        <w:rPr>
          <w:sz w:val="20"/>
          <w:szCs w:val="20"/>
          <w:color w:val="auto"/>
        </w:rPr>
      </w:pPr>
      <w:r>
        <w:rPr>
          <w:rFonts w:ascii="Times New Roman" w:cs="Times New Roman" w:eastAsia="Times New Roman" w:hAnsi="Times New Roman"/>
          <w:sz w:val="14"/>
          <w:szCs w:val="14"/>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78" w:lineRule="exact"/>
        <w:rPr>
          <w:sz w:val="20"/>
          <w:szCs w:val="20"/>
          <w:color w:val="auto"/>
        </w:rPr>
      </w:pPr>
    </w:p>
    <w:p>
      <w:pPr>
        <w:ind w:left="1260" w:right="1319" w:firstLine="284"/>
        <w:spacing w:after="0" w:line="250" w:lineRule="auto"/>
        <w:rPr>
          <w:sz w:val="20"/>
          <w:szCs w:val="20"/>
          <w:color w:val="auto"/>
        </w:rPr>
      </w:pPr>
      <w:r>
        <w:rPr>
          <w:rFonts w:ascii="Times New Roman" w:cs="Times New Roman" w:eastAsia="Times New Roman" w:hAnsi="Times New Roman"/>
          <w:sz w:val="14"/>
          <w:szCs w:val="14"/>
          <w:color w:val="auto"/>
        </w:rPr>
        <w:t>In addition, we have opted out of Section 203 of the General Corporation Law of the State of Delaware (“DGCL”), but our amended and restated certificate of incorporation provides that engaging in any of a broad range of business combinations with any “interested” stockholder (any stockholder with 15% or more of our voting stock) for a period of three years following the date on which the stockholder became an “interested” stockholder is prohibited, subject to certain exceptions.</w:t>
      </w:r>
    </w:p>
    <w:p>
      <w:pPr>
        <w:spacing w:after="0" w:line="137" w:lineRule="exact"/>
        <w:rPr>
          <w:sz w:val="20"/>
          <w:szCs w:val="20"/>
          <w:color w:val="auto"/>
        </w:rPr>
      </w:pPr>
    </w:p>
    <w:p>
      <w:pPr>
        <w:ind w:left="1260" w:right="133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Because we have no current plans to pay regular cash dividends on our Class A common stock for the foreseeable future, you may not receive any return on investment unless you sell your Class A common stock for a price greater than that which you paid for it.</w:t>
      </w:r>
    </w:p>
    <w:p>
      <w:pPr>
        <w:spacing w:after="0" w:line="76" w:lineRule="exact"/>
        <w:rPr>
          <w:sz w:val="20"/>
          <w:szCs w:val="20"/>
          <w:color w:val="auto"/>
        </w:rPr>
      </w:pPr>
    </w:p>
    <w:p>
      <w:pPr>
        <w:ind w:left="1260" w:right="1339" w:firstLine="284"/>
        <w:spacing w:after="0" w:line="271" w:lineRule="auto"/>
        <w:rPr>
          <w:sz w:val="20"/>
          <w:szCs w:val="20"/>
          <w:color w:val="auto"/>
        </w:rPr>
      </w:pPr>
      <w:r>
        <w:rPr>
          <w:rFonts w:ascii="Times New Roman" w:cs="Times New Roman" w:eastAsia="Times New Roman" w:hAnsi="Times New Roman"/>
          <w:sz w:val="14"/>
          <w:szCs w:val="14"/>
          <w:color w:val="auto"/>
        </w:rPr>
        <w:t>We do not anticipate paying any regular cash dividends on our Class A common stock in the foreseeable future. Any decision to declare and pay dividends in the future will be made at the discretion of our board</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 w:name="page13"/>
    <w:bookmarkEnd w:id="12"/>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79"/>
        <w:spacing w:after="0" w:line="249" w:lineRule="auto"/>
        <w:rPr>
          <w:sz w:val="20"/>
          <w:szCs w:val="20"/>
          <w:color w:val="auto"/>
        </w:rPr>
      </w:pPr>
      <w:r>
        <w:rPr>
          <w:rFonts w:ascii="Times New Roman" w:cs="Times New Roman" w:eastAsia="Times New Roman" w:hAnsi="Times New Roman"/>
          <w:sz w:val="14"/>
          <w:szCs w:val="14"/>
          <w:color w:val="auto"/>
        </w:rPr>
        <w:t>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any future outstanding indebtedness we or our subsidiaries incur. Therefore, any return on investment in our Class A common stock is solely dependent upon the appreciation of the price of our Class A common stock on the open market, which may not occur.</w:t>
      </w:r>
    </w:p>
    <w:p>
      <w:pPr>
        <w:spacing w:after="0" w:line="147" w:lineRule="exact"/>
        <w:rPr>
          <w:sz w:val="20"/>
          <w:szCs w:val="20"/>
          <w:color w:val="auto"/>
        </w:rPr>
      </w:pPr>
    </w:p>
    <w:p>
      <w:pPr>
        <w:ind w:left="1260" w:right="157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may adversely affect the trading market for our Class A common stock. We cannot predict the effect our multiple class structure may have on the market price of our Class A common stock.</w:t>
      </w:r>
    </w:p>
    <w:p>
      <w:pPr>
        <w:spacing w:after="0" w:line="81" w:lineRule="exact"/>
        <w:rPr>
          <w:sz w:val="20"/>
          <w:szCs w:val="20"/>
          <w:color w:val="auto"/>
        </w:rPr>
      </w:pPr>
    </w:p>
    <w:p>
      <w:pPr>
        <w:ind w:left="1260" w:right="1279" w:firstLine="284"/>
        <w:spacing w:after="0" w:line="246" w:lineRule="auto"/>
        <w:rPr>
          <w:sz w:val="20"/>
          <w:szCs w:val="20"/>
          <w:color w:val="auto"/>
        </w:rPr>
      </w:pPr>
      <w:r>
        <w:rPr>
          <w:rFonts w:ascii="Times New Roman" w:cs="Times New Roman" w:eastAsia="Times New Roman" w:hAnsi="Times New Roman"/>
          <w:sz w:val="14"/>
          <w:szCs w:val="14"/>
          <w:color w:val="auto"/>
        </w:rPr>
        <w:t>We cannot predict whether our multi-class structure will result in a lower or more volatile market price of our Class A common stock, in adverse publicity or other adverse consequences. Certain stockholder advisory firms and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class share in certain of their indices. For example, from July 2017 to April 2023, S&amp;P Dow Jones excluded companies with multiple share classes from the S&amp;P Composite 1500 (composed of the S&amp;P 500, S&amp;P MidCap 400 and S&amp;P SmallCap 600). Indices have discretion to reassess and implement such policies with respect to multi- class differing voting right structures. Under any such policies, our dual class capital structure would make us ineligible for inclusion in any of these indices.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311" w:lineRule="exact"/>
        <w:rPr>
          <w:sz w:val="20"/>
          <w:szCs w:val="20"/>
          <w:color w:val="auto"/>
        </w:rPr>
      </w:pPr>
    </w:p>
    <w:p>
      <w:pPr>
        <w:ind w:left="1260" w:right="1419"/>
        <w:spacing w:after="0" w:line="296" w:lineRule="auto"/>
        <w:rPr>
          <w:sz w:val="20"/>
          <w:szCs w:val="20"/>
          <w:color w:val="auto"/>
        </w:rPr>
      </w:pPr>
      <w:r>
        <w:rPr>
          <w:rFonts w:ascii="Times New Roman" w:cs="Times New Roman" w:eastAsia="Times New Roman" w:hAnsi="Times New Roman"/>
          <w:sz w:val="13"/>
          <w:szCs w:val="13"/>
          <w:b w:val="1"/>
          <w:bCs w:val="1"/>
          <w:i w:val="1"/>
          <w:iCs w:val="1"/>
          <w:color w:val="auto"/>
        </w:rPr>
        <w:t>We are a “controlled company” within the meaning of the Nasdaq rules and, as a result, qualify for, and intend to rely on, exemptions from certain corporate governance requirements. You may not have the same protections afforded to stockholders of companies that are subject to such corporate governance requirements.</w:t>
      </w:r>
    </w:p>
    <w:p>
      <w:pPr>
        <w:spacing w:after="0" w:line="47" w:lineRule="exact"/>
        <w:rPr>
          <w:sz w:val="20"/>
          <w:szCs w:val="20"/>
          <w:color w:val="auto"/>
        </w:rPr>
      </w:pPr>
    </w:p>
    <w:p>
      <w:pPr>
        <w:ind w:left="1260" w:right="1299" w:firstLine="284"/>
        <w:spacing w:after="0" w:line="258" w:lineRule="auto"/>
        <w:rPr>
          <w:sz w:val="20"/>
          <w:szCs w:val="20"/>
          <w:color w:val="auto"/>
        </w:rPr>
      </w:pPr>
      <w:r>
        <w:rPr>
          <w:rFonts w:ascii="Times New Roman" w:cs="Times New Roman" w:eastAsia="Times New Roman" w:hAnsi="Times New Roman"/>
          <w:sz w:val="14"/>
          <w:szCs w:val="14"/>
          <w:color w:val="auto"/>
        </w:rPr>
        <w:t>Our Continuing Equity Owners have more than 50% of the voting power for the election of directors, and, as a result, we are considered a “controlled company” for the purposes of the Nasdaq rules. As such, we qualify for, and intend to rely on, exemptions from certain corporate governance requirements, including the requirements to have a majority of independent directors on our board of directors, an entirely independent compensation committee or to have director nominations be made, or recommended to the full board of directors, by its independent directors or by a nominations committee that is composed entirely of independent directors. The corporate governance requirements and, specifically, the independence standards are intended to ensure directors who are considered independent are free of any conflicting interest that could influence their actions as directors.</w:t>
      </w:r>
    </w:p>
    <w:p>
      <w:pPr>
        <w:spacing w:after="0" w:line="266" w:lineRule="exact"/>
        <w:rPr>
          <w:sz w:val="20"/>
          <w:szCs w:val="20"/>
          <w:color w:val="auto"/>
        </w:rPr>
      </w:pPr>
    </w:p>
    <w:p>
      <w:pPr>
        <w:ind w:left="1260" w:right="1539" w:firstLine="284"/>
        <w:spacing w:after="0" w:line="265" w:lineRule="auto"/>
        <w:rPr>
          <w:sz w:val="20"/>
          <w:szCs w:val="20"/>
          <w:color w:val="auto"/>
        </w:rPr>
      </w:pPr>
      <w:r>
        <w:rPr>
          <w:rFonts w:ascii="Times New Roman" w:cs="Times New Roman" w:eastAsia="Times New Roman" w:hAnsi="Times New Roman"/>
          <w:sz w:val="14"/>
          <w:szCs w:val="14"/>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137" w:lineRule="exact"/>
        <w:rPr>
          <w:sz w:val="20"/>
          <w:szCs w:val="20"/>
          <w:color w:val="auto"/>
        </w:rPr>
      </w:pPr>
    </w:p>
    <w:p>
      <w:pPr>
        <w:ind w:left="1260" w:right="129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provides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88" w:lineRule="exact"/>
        <w:rPr>
          <w:sz w:val="20"/>
          <w:szCs w:val="20"/>
          <w:color w:val="auto"/>
        </w:rPr>
      </w:pPr>
    </w:p>
    <w:p>
      <w:pPr>
        <w:ind w:left="1260" w:right="1299" w:firstLine="284"/>
        <w:spacing w:after="0" w:line="262"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 w:name="page14"/>
    <w:bookmarkEnd w:id="1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79"/>
        <w:spacing w:after="0" w:line="246" w:lineRule="auto"/>
        <w:rPr>
          <w:sz w:val="20"/>
          <w:szCs w:val="20"/>
          <w:color w:val="auto"/>
        </w:rPr>
      </w:pPr>
      <w:r>
        <w:rPr>
          <w:rFonts w:ascii="Times New Roman" w:cs="Times New Roman" w:eastAsia="Times New Roman" w:hAnsi="Times New Roman"/>
          <w:sz w:val="14"/>
          <w:szCs w:val="14"/>
          <w:color w:val="auto"/>
        </w:rPr>
        <w:t>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to the fullest extent permitted by law,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306" w:lineRule="exact"/>
        <w:rPr>
          <w:sz w:val="20"/>
          <w:szCs w:val="20"/>
          <w:color w:val="auto"/>
        </w:rPr>
      </w:pPr>
    </w:p>
    <w:p>
      <w:pPr>
        <w:ind w:left="1260" w:right="147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provides that the doctrine of “corporate opportunity” does not apply with respect to any director or stockholder who is not employed by us or our subsidiaries.</w:t>
      </w:r>
    </w:p>
    <w:p>
      <w:pPr>
        <w:spacing w:after="0" w:line="66" w:lineRule="exact"/>
        <w:rPr>
          <w:sz w:val="20"/>
          <w:szCs w:val="20"/>
          <w:color w:val="auto"/>
        </w:rPr>
      </w:pPr>
    </w:p>
    <w:p>
      <w:pPr>
        <w:ind w:left="1260" w:right="1279" w:firstLine="284"/>
        <w:spacing w:after="0" w:line="244" w:lineRule="auto"/>
        <w:rPr>
          <w:sz w:val="20"/>
          <w:szCs w:val="20"/>
          <w:color w:val="auto"/>
        </w:rPr>
      </w:pPr>
      <w:r>
        <w:rPr>
          <w:rFonts w:ascii="Times New Roman" w:cs="Times New Roman" w:eastAsia="Times New Roman" w:hAnsi="Times New Roman"/>
          <w:sz w:val="14"/>
          <w:szCs w:val="14"/>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any of our Continuing Equity Owners, any of our directors who are employees or affiliates of the Continuing Equity Owners, or any director or stockholder who is not employed by us or our subsidiaries, except as provided in our amended and restated certificate of incorporation. Any of the foregoing persons therefore, has no duty to communicate or present corporate opportunities to us, and has the right to either hold any corporate opportunity for their (and their affiliates’) own account and benefit or to recommend, assign or otherwise transfer such</w:t>
      </w:r>
    </w:p>
    <w:p>
      <w:pPr>
        <w:spacing w:after="0" w:line="8" w:lineRule="exact"/>
        <w:rPr>
          <w:sz w:val="20"/>
          <w:szCs w:val="20"/>
          <w:color w:val="auto"/>
        </w:rPr>
      </w:pPr>
    </w:p>
    <w:p>
      <w:pPr>
        <w:jc w:val="both"/>
        <w:ind w:left="1260" w:right="1279"/>
        <w:spacing w:after="0" w:line="251" w:lineRule="auto"/>
        <w:rPr>
          <w:sz w:val="20"/>
          <w:szCs w:val="20"/>
          <w:color w:val="auto"/>
        </w:rPr>
      </w:pPr>
      <w:r>
        <w:rPr>
          <w:rFonts w:ascii="Times New Roman" w:cs="Times New Roman" w:eastAsia="Times New Roman" w:hAnsi="Times New Roman"/>
          <w:sz w:val="14"/>
          <w:szCs w:val="14"/>
          <w:color w:val="auto"/>
        </w:rPr>
        <w:t>corporate opportunity to persons other than us, including to any director or stockholder who is not employed by us or our subsidiaries, and will not be liable to us or to our stockholders for breach of any fiduciary duty by reason of any of these activities.</w:t>
      </w:r>
    </w:p>
    <w:p>
      <w:pPr>
        <w:spacing w:after="0" w:line="86" w:lineRule="exact"/>
        <w:rPr>
          <w:sz w:val="20"/>
          <w:szCs w:val="20"/>
          <w:color w:val="auto"/>
        </w:rPr>
      </w:pPr>
    </w:p>
    <w:p>
      <w:pPr>
        <w:ind w:left="1260" w:right="1319" w:firstLine="284"/>
        <w:spacing w:after="0" w:line="247" w:lineRule="auto"/>
        <w:rPr>
          <w:sz w:val="20"/>
          <w:szCs w:val="20"/>
          <w:color w:val="auto"/>
        </w:rPr>
      </w:pPr>
      <w:r>
        <w:rPr>
          <w:rFonts w:ascii="Times New Roman" w:cs="Times New Roman" w:eastAsia="Times New Roman" w:hAnsi="Times New Roman"/>
          <w:sz w:val="14"/>
          <w:szCs w:val="14"/>
          <w:color w:val="auto"/>
        </w:rPr>
        <w:t>As a result, the Continuing Equity Owners, and any of our directors nominated by them that are not employed by us or our subsidiaries, are not prohibited from operating or investing in competing us in the energy storage business, including as a result of acquiring a company that operates an energy storage business. Due to the significant resources of our Continuing Equity Owners, including their intellectual property (all of which our Continuing Equity Owners retain and certain of which they license to us under applicable intellectual property license agreements), financial resources, name recognition and know-how resulting from the previous management of our business, our Continuing Equity Owners could have a significant competitive advantage over us should any of them decide to utilize these resources to engage in the type of business we conduct, which may in turn cause our operating results and financial condition to be materially adversely affected.</w:t>
      </w:r>
    </w:p>
    <w:p>
      <w:pPr>
        <w:spacing w:after="0" w:line="305" w:lineRule="exact"/>
        <w:rPr>
          <w:sz w:val="20"/>
          <w:szCs w:val="20"/>
          <w:color w:val="auto"/>
        </w:rPr>
      </w:pPr>
    </w:p>
    <w:p>
      <w:pPr>
        <w:jc w:val="both"/>
        <w:ind w:left="1260" w:right="129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You may be diluted by future issuances of additional Class A common stock or LLC Interests in connection with our incentive plans, acquisitions, or otherwise; future sales of such shares in the public market, or the expectations that such sales may occur, could lower our stock price.</w:t>
      </w:r>
    </w:p>
    <w:p>
      <w:pPr>
        <w:spacing w:after="0" w:line="76" w:lineRule="exact"/>
        <w:rPr>
          <w:sz w:val="20"/>
          <w:szCs w:val="20"/>
          <w:color w:val="auto"/>
        </w:rPr>
      </w:pPr>
    </w:p>
    <w:p>
      <w:pPr>
        <w:jc w:val="both"/>
        <w:ind w:left="1260" w:right="1339" w:firstLine="284"/>
        <w:spacing w:after="0" w:line="255" w:lineRule="auto"/>
        <w:rPr>
          <w:sz w:val="20"/>
          <w:szCs w:val="20"/>
          <w:color w:val="auto"/>
        </w:rPr>
      </w:pPr>
      <w:r>
        <w:rPr>
          <w:rFonts w:ascii="Times New Roman" w:cs="Times New Roman" w:eastAsia="Times New Roman" w:hAnsi="Times New Roman"/>
          <w:sz w:val="14"/>
          <w:szCs w:val="14"/>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 w:name="page15"/>
    <w:bookmarkEnd w:id="1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59" w:firstLine="284"/>
        <w:spacing w:after="0" w:line="254" w:lineRule="auto"/>
        <w:rPr>
          <w:sz w:val="20"/>
          <w:szCs w:val="20"/>
          <w:color w:val="auto"/>
        </w:rPr>
      </w:pPr>
      <w:r>
        <w:rPr>
          <w:rFonts w:ascii="Times New Roman" w:cs="Times New Roman" w:eastAsia="Times New Roman" w:hAnsi="Times New Roman"/>
          <w:sz w:val="14"/>
          <w:szCs w:val="14"/>
          <w:color w:val="auto"/>
        </w:rPr>
        <w:t>As of March 31, 2026, we had a total of 132,781,092 shares of Class A common stock outstanding. Of the outstanding shares, 66,613,622 shares held by public investors are freely tradable without restriction or further registration under the Securities Act. Any shares of Class A common stock held by our affiliates are eligible for resale pursuant to Rule 144 under the Securities Act, subject to the volume, manner of sale, holding period and other limitations of Rule 144.</w:t>
      </w:r>
    </w:p>
    <w:p>
      <w:pPr>
        <w:spacing w:after="0" w:line="85" w:lineRule="exact"/>
        <w:rPr>
          <w:sz w:val="20"/>
          <w:szCs w:val="20"/>
          <w:color w:val="auto"/>
        </w:rPr>
      </w:pPr>
    </w:p>
    <w:p>
      <w:pPr>
        <w:jc w:val="both"/>
        <w:ind w:left="1260" w:right="1359" w:firstLine="284"/>
        <w:spacing w:after="0" w:line="250" w:lineRule="auto"/>
        <w:rPr>
          <w:sz w:val="20"/>
          <w:szCs w:val="20"/>
          <w:color w:val="auto"/>
        </w:rPr>
      </w:pPr>
      <w:r>
        <w:rPr>
          <w:rFonts w:ascii="Times New Roman" w:cs="Times New Roman" w:eastAsia="Times New Roman" w:hAnsi="Times New Roman"/>
          <w:sz w:val="14"/>
          <w:szCs w:val="14"/>
          <w:color w:val="auto"/>
        </w:rPr>
        <w:t>In addition, we, Fluence Energy, LLC, Siemens Industry, Inc. and AES Grid Stability (collectively, the “Founders”) are party to the Third Amended and Restated Limited Liability Agreement of Fluence Energy, LLC, dated October 27, 2021, as may be amended from time to time (the “Fluence Energy,</w:t>
      </w:r>
    </w:p>
    <w:p>
      <w:pPr>
        <w:spacing w:after="0" w:line="1" w:lineRule="exact"/>
        <w:rPr>
          <w:sz w:val="20"/>
          <w:szCs w:val="20"/>
          <w:color w:val="auto"/>
        </w:rPr>
      </w:pPr>
    </w:p>
    <w:p>
      <w:pPr>
        <w:ind w:left="1260" w:right="1279"/>
        <w:spacing w:after="0" w:line="243" w:lineRule="auto"/>
        <w:rPr>
          <w:sz w:val="20"/>
          <w:szCs w:val="20"/>
          <w:color w:val="auto"/>
        </w:rPr>
      </w:pPr>
      <w:r>
        <w:rPr>
          <w:rFonts w:ascii="Times New Roman" w:cs="Times New Roman" w:eastAsia="Times New Roman" w:hAnsi="Times New Roman"/>
          <w:sz w:val="14"/>
          <w:szCs w:val="14"/>
          <w:color w:val="auto"/>
        </w:rPr>
        <w:t>LLC Agreement”) under which Founders (or certain permitted transferees thereof) were granted the right (subject to the terms of the Fluence Energy, LLC Agreement) to have their LLC Interests redeemed from time to time at our election (determined solely by our independent directors (within the meaning of the rules of the Nasdaq) who are disinterested), newly-issued shares of our Class A common stock on a one-for-one basis or a cash payment from the sale of newly issued shares of our Class A common stock equal to a volume weighted average market price of one share of our Class A common stock for each LLC Interest so redeemed, in each case, in accordance with the terms of the Fluence Energy, LLC Agreement; provided that, at our election (determined solely by our independent directors (within the meaning of the rules of the Nasdaq) who are disinterested), we may effect a direct exchange by us of such Class A common stock or such cash, as applicable, for such LLC Interests. The Founders may exercise such redemption right, subject to certain exceptions, for as long as their LLC Interests remain outstanding. As of March 31, 2026, AES Grid Stability maintained ownership of 51,499,195 LLC Interests, which may be redeemed pursuant to the Fluence Energy, LLC Agreement and the Company may choose to settle through the issuance of 51,499,195 shares of our Class A common stock. The market price of shares of our Class A common stock could decline as a result of these redemptions or exchanges or the perception that a redemption or exchange any subsequent sale could occur, which might make it more difficult for holders of our Class A common stock to sell such stock in the future at a time and at a price that they deem appropriate.</w:t>
      </w:r>
    </w:p>
    <w:p>
      <w:pPr>
        <w:spacing w:after="0" w:line="264" w:lineRule="exact"/>
        <w:rPr>
          <w:sz w:val="20"/>
          <w:szCs w:val="20"/>
          <w:color w:val="auto"/>
        </w:rPr>
      </w:pPr>
    </w:p>
    <w:p>
      <w:pPr>
        <w:ind w:left="1260" w:right="1339" w:firstLine="284"/>
        <w:spacing w:after="0" w:line="249" w:lineRule="auto"/>
        <w:rPr>
          <w:sz w:val="20"/>
          <w:szCs w:val="20"/>
          <w:color w:val="auto"/>
        </w:rPr>
      </w:pPr>
      <w:r>
        <w:rPr>
          <w:rFonts w:ascii="Times New Roman" w:cs="Times New Roman" w:eastAsia="Times New Roman" w:hAnsi="Times New Roman"/>
          <w:sz w:val="14"/>
          <w:szCs w:val="14"/>
          <w:color w:val="auto"/>
        </w:rPr>
        <w:t>In addition, there are outstanding vested options to acquire shares of our Class A common stock pursuant to equity incentive awards issued previously pursuant to the 2020 Unit Option Plan of Fluence Energy, LLC. Finally, we have reserved 16,200,000 shares of our Class A common stock for issuance under the 2021 Equity Plan and there are 8,957,256 shares still available for grant under the 2021 Equity Plan as of March 31, 2026. Any Class A common stock that we issue under the 2021 Equity Plan or other equity incentive plans that we may adopt in the future as well as exercise of the outstanding options under any of equity plans would be dilutive to Class A common stockholders.</w:t>
      </w:r>
    </w:p>
    <w:p>
      <w:pPr>
        <w:spacing w:after="0" w:line="87" w:lineRule="exact"/>
        <w:rPr>
          <w:sz w:val="20"/>
          <w:szCs w:val="20"/>
          <w:color w:val="auto"/>
        </w:rPr>
      </w:pPr>
    </w:p>
    <w:p>
      <w:pPr>
        <w:ind w:left="1260" w:right="1339" w:firstLine="284"/>
        <w:spacing w:after="0" w:line="259" w:lineRule="auto"/>
        <w:rPr>
          <w:sz w:val="20"/>
          <w:szCs w:val="20"/>
          <w:color w:val="auto"/>
        </w:rPr>
      </w:pPr>
      <w:r>
        <w:rPr>
          <w:rFonts w:ascii="Times New Roman" w:cs="Times New Roman" w:eastAsia="Times New Roman" w:hAnsi="Times New Roman"/>
          <w:sz w:val="14"/>
          <w:szCs w:val="14"/>
          <w:color w:val="auto"/>
        </w:rPr>
        <w:t>In the future, we may also issue securities in connection with investments, acquisitions, strategic transactions, or capital raising activities, which could constitute a material portion of our then-outstanding shares of our Class A common stock. Further in connection with the completion of the IPO, we entered into a Registration Rights Agreement with certain of the Continuing Equity Owners. Any such issuance of additional securities or any exercise of registration rights or the prospect of any such sales, could materially impact the market price of our Class A common stock and could impair our ability to raise capital through future sales of equity securities.</w:t>
      </w:r>
    </w:p>
    <w:p>
      <w:pPr>
        <w:spacing w:after="0" w:line="143" w:lineRule="exact"/>
        <w:rPr>
          <w:sz w:val="20"/>
          <w:szCs w:val="20"/>
          <w:color w:val="auto"/>
        </w:rPr>
      </w:pPr>
    </w:p>
    <w:p>
      <w:pPr>
        <w:ind w:left="1260" w:right="1439"/>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Short sellers may engage in manipulative activity intended to drive down the market price of our Class A common stock, which has and could in the future result in related governmental and regulatory scrutiny, among other effects.</w:t>
      </w:r>
    </w:p>
    <w:p>
      <w:pPr>
        <w:spacing w:after="0" w:line="70" w:lineRule="exact"/>
        <w:rPr>
          <w:sz w:val="20"/>
          <w:szCs w:val="20"/>
          <w:color w:val="auto"/>
        </w:rPr>
      </w:pPr>
    </w:p>
    <w:p>
      <w:pPr>
        <w:ind w:left="1260" w:right="1299" w:firstLine="284"/>
        <w:spacing w:after="0" w:line="257" w:lineRule="auto"/>
        <w:rPr>
          <w:sz w:val="20"/>
          <w:szCs w:val="20"/>
          <w:color w:val="auto"/>
        </w:rPr>
      </w:pPr>
      <w:r>
        <w:rPr>
          <w:rFonts w:ascii="Times New Roman" w:cs="Times New Roman" w:eastAsia="Times New Roman" w:hAnsi="Times New Roman"/>
          <w:sz w:val="14"/>
          <w:szCs w:val="14"/>
          <w:color w:val="auto"/>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A common stock for the price to decline. At any time, short sellers may publish, or arrange for the publication of, opinions or characterizations that are intended to create negative market momentum. Short selling reports can cause increased volatility in an issuer’s stock price, and result in regulatory and governmental inquiries. For example, on February 22, 2024, as previously disclosed, a short seller report was published which contained certain allegations against the Company (the “Short Seller Report”). In response to the Short Seller Report, the Audit Committee of our board of directors completed an internal investigation, with the assistance of outside counsel and forensic accountants, into the allegations in the Short Seller Report. We, after consultation with</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 w:name="page16"/>
    <w:bookmarkEnd w:id="15"/>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99"/>
        <w:spacing w:after="0" w:line="256" w:lineRule="auto"/>
        <w:rPr>
          <w:sz w:val="20"/>
          <w:szCs w:val="20"/>
          <w:color w:val="auto"/>
        </w:rPr>
      </w:pPr>
      <w:r>
        <w:rPr>
          <w:rFonts w:ascii="Times New Roman" w:cs="Times New Roman" w:eastAsia="Times New Roman" w:hAnsi="Times New Roman"/>
          <w:sz w:val="14"/>
          <w:szCs w:val="14"/>
          <w:color w:val="auto"/>
        </w:rPr>
        <w:t>the Audit Committee, believe that the internal investigation demonstrated that the allegations of wrongdoing contained in the Short Seller Report are without merit. We have been informed that the SEC is conducting a formal investigation and asking for certain information regarding our financial reporting. We are fully cooperating with the SEC’s investigation. Based on the information requested by the SEC, we believe that the SEC is reviewing our revenue recognition practices, a previously-disclosed material weakness in internal controls, capitalization of internal-use software costs, as well as certain service contracts with related parties. These areas were the subject of assertions in the Short Seller Report and were included in the Audit Committee’s internal investigation. Any inquiries or investigations conducted by a governmental organization or other regulatory body, such as the ongoing SEC investigation, or any internal investigation, such as the one conducted by our Audit Committee, could result in a material diversion of our management’s time and result in substantial cost and, in the event of an adverse finding, could have a material adverse effect on our business and results of operations. In addition, any perceived or actual failure by us to comply with applicable laws, rules, regulations, and standards could have a significant impact on our reputation and expose us to legal risk and potential criminal and civil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 w:name="page17"/>
    <w:bookmarkEnd w:id="16"/>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9" w:lineRule="exact"/>
        <w:rPr>
          <w:sz w:val="20"/>
          <w:szCs w:val="20"/>
          <w:color w:val="auto"/>
        </w:rPr>
      </w:pPr>
    </w:p>
    <w:p>
      <w:pPr>
        <w:ind w:left="1260" w:right="1319" w:firstLine="284"/>
        <w:spacing w:after="0" w:line="261" w:lineRule="auto"/>
        <w:rPr>
          <w:sz w:val="20"/>
          <w:szCs w:val="20"/>
          <w:color w:val="auto"/>
        </w:rPr>
      </w:pPr>
      <w:r>
        <w:rPr>
          <w:rFonts w:ascii="Times New Roman" w:cs="Times New Roman" w:eastAsia="Times New Roman" w:hAnsi="Times New Roman"/>
          <w:sz w:val="14"/>
          <w:szCs w:val="14"/>
          <w:color w:val="auto"/>
        </w:rPr>
        <w:t>All of the shares of our Class A common stock offered under this prospectus supplement are being sold by the Selling Securityholders. We will not receive any of the proceeds from any sale of shares of our Class A common stock in this offering by the Selling Securityholders. Pursuant to the registration rights agreement, dated as of November 1, 2021, by and among the Company and certain stockholders party thereto, we have agreed to pay certain expenses of the Selling Securityholders related to this offering. The Selling Securityholders will pay all applicable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 w:name="page18"/>
    <w:bookmarkEnd w:id="17"/>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29" w:lineRule="exact"/>
        <w:rPr>
          <w:sz w:val="20"/>
          <w:szCs w:val="20"/>
          <w:color w:val="auto"/>
        </w:rPr>
      </w:pPr>
    </w:p>
    <w:p>
      <w:pPr>
        <w:ind w:left="1260" w:right="1419" w:firstLine="284"/>
        <w:spacing w:after="0" w:line="262"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 intend to retain all available funds and any future earnings to fund the development and growth of our business, and therefore we do not anticipate declaring or paying any cash dividends on our Class A common stock in the foreseeable future. Holders of our Class B-1 and Class B-2 common stock are not entitled to participate in any dividends declared by our board of directors.</w:t>
      </w:r>
    </w:p>
    <w:p>
      <w:pPr>
        <w:spacing w:after="0" w:line="90" w:lineRule="exact"/>
        <w:rPr>
          <w:sz w:val="20"/>
          <w:szCs w:val="20"/>
          <w:color w:val="auto"/>
        </w:rPr>
      </w:pPr>
    </w:p>
    <w:p>
      <w:pPr>
        <w:ind w:left="1260" w:right="1319" w:firstLine="284"/>
        <w:spacing w:after="0" w:line="271" w:lineRule="auto"/>
        <w:rPr>
          <w:sz w:val="20"/>
          <w:szCs w:val="20"/>
          <w:color w:val="auto"/>
        </w:rPr>
      </w:pPr>
      <w:r>
        <w:rPr>
          <w:rFonts w:ascii="Times New Roman" w:cs="Times New Roman" w:eastAsia="Times New Roman" w:hAnsi="Times New Roman"/>
          <w:sz w:val="14"/>
          <w:szCs w:val="14"/>
          <w:color w:val="auto"/>
        </w:rPr>
        <w:t>Furthermore, because we are a holding company, our ability to pay cash dividends on our Class A common stock depends on our receipt of cash distributions from Fluence Energy, LLC and, through Fluence Energy, LLC, cash distributions and dividends from our other direct and indirect subsidiaries.</w:t>
      </w:r>
    </w:p>
    <w:p>
      <w:pPr>
        <w:spacing w:after="0" w:line="72" w:lineRule="exact"/>
        <w:rPr>
          <w:sz w:val="20"/>
          <w:szCs w:val="20"/>
          <w:color w:val="auto"/>
        </w:rPr>
      </w:pPr>
    </w:p>
    <w:p>
      <w:pPr>
        <w:ind w:left="1260" w:right="1319" w:firstLine="284"/>
        <w:spacing w:after="0" w:line="257" w:lineRule="auto"/>
        <w:rPr>
          <w:sz w:val="20"/>
          <w:szCs w:val="20"/>
          <w:color w:val="auto"/>
        </w:rPr>
      </w:pPr>
      <w:r>
        <w:rPr>
          <w:rFonts w:ascii="Times New Roman" w:cs="Times New Roman" w:eastAsia="Times New Roman" w:hAnsi="Times New Roman"/>
          <w:sz w:val="14"/>
          <w:szCs w:val="14"/>
          <w:color w:val="auto"/>
        </w:rPr>
        <w:t>Assuming Fluence Energy, LLC makes distributions out of earnings and profits (other than tax distributions and other distributions to pay expenses) to its members in any given year, we currently expect, subject to the determination of our board of directors, to pay dividends on our Class A common stock out of the portion of such distributions remaining after our payment of taxes, tax receivable agreement payments and expenses, and subject to Delaware law. Our ability to pay dividends is, and may be, limited by covenants of any outstanding or future indebtedness we or our subsidiaries incur. Any future determination as to the declaration and payment of dividends, if any, will be at the discretion of our board of directors and subject to compliance with contractual restrictions and covenants in the agreements governing our future indebtedness. Any such determination will also depend upon our business prospects, results of operations, financial condition, cash requirements and availability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8" w:name="page19"/>
    <w:bookmarkEnd w:id="18"/>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29" w:lineRule="exact"/>
        <w:rPr>
          <w:sz w:val="20"/>
          <w:szCs w:val="20"/>
          <w:color w:val="auto"/>
        </w:rPr>
      </w:pPr>
    </w:p>
    <w:p>
      <w:pPr>
        <w:ind w:left="1260" w:right="1359" w:firstLine="284"/>
        <w:spacing w:after="0" w:line="259" w:lineRule="auto"/>
        <w:rPr>
          <w:sz w:val="20"/>
          <w:szCs w:val="20"/>
          <w:color w:val="auto"/>
        </w:rPr>
      </w:pPr>
      <w:r>
        <w:rPr>
          <w:rFonts w:ascii="Times New Roman" w:cs="Times New Roman" w:eastAsia="Times New Roman" w:hAnsi="Times New Roman"/>
          <w:sz w:val="14"/>
          <w:szCs w:val="14"/>
          <w:color w:val="auto"/>
        </w:rPr>
        <w:t>The following table and footnotes set forth information with respect to the beneficial ownership of our Class A common stock by the Selling Securityholders as of March 31, 2026, subject to certain assumptions set forth in the footnotes and as adjusted to reflect the sale of shares of our Class A common stock by the Selling Securityholders in this offering as set forth on the cover page of this prospectus supplement.</w:t>
      </w:r>
    </w:p>
    <w:p>
      <w:pPr>
        <w:spacing w:after="0" w:line="1" w:lineRule="exact"/>
        <w:rPr>
          <w:sz w:val="20"/>
          <w:szCs w:val="20"/>
          <w:color w:val="auto"/>
        </w:rPr>
      </w:pPr>
    </w:p>
    <w:p>
      <w:pPr>
        <w:ind w:left="1260" w:right="1359"/>
        <w:spacing w:after="0" w:line="255" w:lineRule="auto"/>
        <w:rPr>
          <w:sz w:val="20"/>
          <w:szCs w:val="20"/>
          <w:color w:val="auto"/>
        </w:rPr>
      </w:pPr>
      <w:r>
        <w:rPr>
          <w:rFonts w:ascii="Times New Roman" w:cs="Times New Roman" w:eastAsia="Times New Roman" w:hAnsi="Times New Roman"/>
          <w:sz w:val="14"/>
          <w:szCs w:val="14"/>
          <w:color w:val="auto"/>
        </w:rPr>
        <w:t>The percentage of beneficial ownership before this offering set forth below is based on an aggregate of 132,781,092 shares of our Class A common stock, 51,499,195 shares of Class B-1 common stock and no shares of Class B-2 common stock, in each case, outstanding as of March 31, 2026. Beneficial ownership information after this offering set forth below reflects the redemption of 8,753,404 LLC Interests owned by AES Grid Stability, the corresponding cancellation of an equivalent number of shares of our Class B-1 common stock and the settlement of such redemption through the issuance of an equivalent number of new shares of our Class A common stock to AES Grid Stability to be sold in the offering. Beneficial ownership is based on information furnished by the Selling Securityholders. Beneficial ownership and percentage ownership are determined in accordance with the rules of the SEC.</w:t>
      </w:r>
    </w:p>
    <w:p>
      <w:pPr>
        <w:spacing w:after="0" w:line="97" w:lineRule="exact"/>
        <w:rPr>
          <w:sz w:val="20"/>
          <w:szCs w:val="20"/>
          <w:color w:val="auto"/>
        </w:rPr>
      </w:pPr>
    </w:p>
    <w:p>
      <w:pPr>
        <w:ind w:left="1260" w:right="1879" w:firstLine="284"/>
        <w:spacing w:after="0" w:line="271" w:lineRule="auto"/>
        <w:rPr>
          <w:sz w:val="20"/>
          <w:szCs w:val="20"/>
          <w:color w:val="auto"/>
        </w:rPr>
      </w:pPr>
      <w:r>
        <w:rPr>
          <w:rFonts w:ascii="Times New Roman" w:cs="Times New Roman" w:eastAsia="Times New Roman" w:hAnsi="Times New Roman"/>
          <w:sz w:val="14"/>
          <w:szCs w:val="14"/>
          <w:color w:val="auto"/>
        </w:rPr>
        <w:t>When we refer to the “Selling Securityholders” in this prospectus supplement, we include any pledgees, donees, assignees, transferees, successors and others who may hold any of the Selling Securityholders’ interests.</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1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0" w:type="dxa"/>
            <w:vAlign w:val="bottom"/>
            <w:gridSpan w:val="11"/>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1"/>
              </w:rPr>
              <w:t>Shares Beneficially Owned Prior to the Offering</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360" w:type="dxa"/>
            <w:vAlign w:val="bottom"/>
            <w:gridSpan w:val="12"/>
          </w:tcPr>
          <w:p>
            <w:pPr>
              <w:ind w:left="380"/>
              <w:spacing w:after="0"/>
              <w:rPr>
                <w:sz w:val="20"/>
                <w:szCs w:val="20"/>
                <w:color w:val="auto"/>
              </w:rPr>
            </w:pPr>
            <w:r>
              <w:rPr>
                <w:rFonts w:ascii="Times New Roman" w:cs="Times New Roman" w:eastAsia="Times New Roman" w:hAnsi="Times New Roman"/>
                <w:sz w:val="11"/>
                <w:szCs w:val="11"/>
                <w:b w:val="1"/>
                <w:bCs w:val="1"/>
                <w:color w:val="auto"/>
                <w:w w:val="91"/>
              </w:rPr>
              <w:t>Shares Beneficially Owned After the Offering</w:t>
            </w:r>
          </w:p>
        </w:tc>
        <w:tc>
          <w:tcPr>
            <w:tcW w:w="40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center"/>
              <w:ind w:left="227"/>
              <w:spacing w:after="0"/>
              <w:rPr>
                <w:sz w:val="20"/>
                <w:szCs w:val="20"/>
                <w:color w:val="auto"/>
              </w:rPr>
            </w:pPr>
            <w:r>
              <w:rPr>
                <w:rFonts w:ascii="Times New Roman" w:cs="Times New Roman" w:eastAsia="Times New Roman" w:hAnsi="Times New Roman"/>
                <w:sz w:val="11"/>
                <w:szCs w:val="11"/>
                <w:b w:val="1"/>
                <w:bCs w:val="1"/>
                <w:color w:val="auto"/>
                <w:w w:val="94"/>
              </w:rPr>
              <w:t>Class B-1</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5"/>
              </w:rPr>
              <w:t>% of</w:t>
            </w: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w w:val="89"/>
              </w:rPr>
              <w:t>Class A</w:t>
            </w: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jc w:val="center"/>
              <w:ind w:left="227"/>
              <w:spacing w:after="0"/>
              <w:rPr>
                <w:sz w:val="20"/>
                <w:szCs w:val="20"/>
                <w:color w:val="auto"/>
              </w:rPr>
            </w:pPr>
            <w:r>
              <w:rPr>
                <w:rFonts w:ascii="Times New Roman" w:cs="Times New Roman" w:eastAsia="Times New Roman" w:hAnsi="Times New Roman"/>
                <w:sz w:val="11"/>
                <w:szCs w:val="11"/>
                <w:b w:val="1"/>
                <w:bCs w:val="1"/>
                <w:color w:val="auto"/>
                <w:w w:val="90"/>
              </w:rPr>
              <w:t>Class B-1</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5"/>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ind w:left="100"/>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4"/>
          </w:tcPr>
          <w:p>
            <w:pPr>
              <w:ind w:left="160"/>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 ​</w:t>
            </w:r>
          </w:p>
        </w:tc>
        <w:tc>
          <w:tcPr>
            <w:tcW w:w="1040" w:type="dxa"/>
            <w:vAlign w:val="bottom"/>
            <w:gridSpan w:val="5"/>
          </w:tcPr>
          <w:p>
            <w:pPr>
              <w:ind w:left="120"/>
              <w:spacing w:after="0" w:line="118" w:lineRule="exact"/>
              <w:rPr>
                <w:sz w:val="20"/>
                <w:szCs w:val="20"/>
                <w:color w:val="auto"/>
              </w:rPr>
            </w:pPr>
            <w:r>
              <w:rPr>
                <w:rFonts w:ascii="Times New Roman" w:cs="Times New Roman" w:eastAsia="Times New Roman" w:hAnsi="Times New Roman"/>
                <w:sz w:val="11"/>
                <w:szCs w:val="11"/>
                <w:b w:val="1"/>
                <w:bCs w:val="1"/>
                <w:color w:val="auto"/>
              </w:rPr>
              <w:t>Common Stock</w:t>
            </w:r>
            <w:r>
              <w:rPr>
                <w:rFonts w:ascii="Times New Roman" w:cs="Times New Roman" w:eastAsia="Times New Roman" w:hAnsi="Times New Roman"/>
                <w:sz w:val="12"/>
                <w:szCs w:val="12"/>
                <w:b w:val="1"/>
                <w:bCs w:val="1"/>
                <w:color w:val="auto"/>
                <w:vertAlign w:val="superscript"/>
              </w:rPr>
              <w:t>(1)</w:t>
            </w:r>
          </w:p>
        </w:tc>
        <w:tc>
          <w:tcPr>
            <w:tcW w:w="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440" w:type="dxa"/>
            <w:vAlign w:val="bottom"/>
          </w:tcPr>
          <w:p>
            <w:pPr>
              <w:jc w:val="center"/>
              <w:ind w:right="47"/>
              <w:spacing w:after="0" w:line="119"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8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1"/>
              </w:rPr>
              <w:t>Number</w:t>
            </w:r>
          </w:p>
        </w:tc>
        <w:tc>
          <w:tcPr>
            <w:tcW w:w="60" w:type="dxa"/>
            <w:vAlign w:val="bottom"/>
          </w:tcPr>
          <w:p>
            <w:pPr>
              <w:spacing w:after="0"/>
              <w:rPr>
                <w:sz w:val="10"/>
                <w:szCs w:val="10"/>
                <w:color w:val="auto"/>
              </w:rPr>
            </w:pPr>
          </w:p>
        </w:tc>
        <w:tc>
          <w:tcPr>
            <w:tcW w:w="6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5"/>
          </w:tcPr>
          <w:p>
            <w:pPr>
              <w:ind w:left="160"/>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 ​</w:t>
            </w:r>
          </w:p>
        </w:tc>
        <w:tc>
          <w:tcPr>
            <w:tcW w:w="102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0"/>
              </w:rPr>
              <w:t>Common Stock</w:t>
            </w:r>
            <w:r>
              <w:rPr>
                <w:rFonts w:ascii="Times New Roman" w:cs="Times New Roman" w:eastAsia="Times New Roman" w:hAnsi="Times New Roman"/>
                <w:sz w:val="12"/>
                <w:szCs w:val="12"/>
                <w:b w:val="1"/>
                <w:bCs w:val="1"/>
                <w:color w:val="auto"/>
                <w:w w:val="90"/>
                <w:vertAlign w:val="superscript"/>
              </w:rPr>
              <w:t>(1)</w:t>
            </w:r>
          </w:p>
        </w:tc>
        <w:tc>
          <w:tcPr>
            <w:tcW w:w="18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center"/>
              <w:ind w:right="47"/>
              <w:spacing w:after="0" w:line="119"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vMerge w:val="restart"/>
          </w:tcPr>
          <w:p>
            <w:pPr>
              <w:jc w:val="center"/>
              <w:ind w:right="27"/>
              <w:spacing w:after="0" w:line="103" w:lineRule="exact"/>
              <w:rPr>
                <w:sz w:val="20"/>
                <w:szCs w:val="20"/>
                <w:color w:val="auto"/>
              </w:rPr>
            </w:pPr>
            <w:r>
              <w:rPr>
                <w:rFonts w:ascii="Times New Roman" w:cs="Times New Roman" w:eastAsia="Times New Roman" w:hAnsi="Times New Roman"/>
                <w:sz w:val="11"/>
                <w:szCs w:val="11"/>
                <w:b w:val="1"/>
                <w:bCs w:val="1"/>
                <w:color w:val="auto"/>
                <w:w w:val="87"/>
              </w:rPr>
              <w:t>Voting</w:t>
            </w:r>
          </w:p>
        </w:tc>
        <w:tc>
          <w:tcPr>
            <w:tcW w:w="80" w:type="dxa"/>
            <w:vAlign w:val="bottom"/>
            <w:vMerge w:val="restart"/>
          </w:tcPr>
          <w:p>
            <w:pPr>
              <w:spacing w:after="0"/>
              <w:rPr>
                <w:sz w:val="3"/>
                <w:szCs w:val="3"/>
                <w:color w:val="auto"/>
              </w:rPr>
            </w:pPr>
          </w:p>
        </w:tc>
        <w:tc>
          <w:tcPr>
            <w:tcW w:w="440" w:type="dxa"/>
            <w:vAlign w:val="bottom"/>
            <w:vMerge w:val="restart"/>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vMerge w:val="restart"/>
          </w:tcPr>
          <w:p>
            <w:pPr>
              <w:jc w:val="center"/>
              <w:ind w:right="67"/>
              <w:spacing w:after="0" w:line="103" w:lineRule="exact"/>
              <w:rPr>
                <w:sz w:val="20"/>
                <w:szCs w:val="20"/>
                <w:color w:val="auto"/>
              </w:rPr>
            </w:pPr>
            <w:r>
              <w:rPr>
                <w:rFonts w:ascii="Times New Roman" w:cs="Times New Roman" w:eastAsia="Times New Roman" w:hAnsi="Times New Roman"/>
                <w:sz w:val="11"/>
                <w:szCs w:val="11"/>
                <w:b w:val="1"/>
                <w:bCs w:val="1"/>
                <w:color w:val="auto"/>
                <w:w w:val="87"/>
              </w:rPr>
              <w:t>Voting</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320"/>
              <w:spacing w:after="0" w:line="120" w:lineRule="exact"/>
              <w:rPr>
                <w:sz w:val="20"/>
                <w:szCs w:val="20"/>
                <w:color w:val="auto"/>
              </w:rPr>
            </w:pPr>
            <w:r>
              <w:rPr>
                <w:rFonts w:ascii="Times New Roman" w:cs="Times New Roman" w:eastAsia="Times New Roman" w:hAnsi="Times New Roman"/>
                <w:sz w:val="11"/>
                <w:szCs w:val="11"/>
                <w:b w:val="1"/>
                <w:bCs w:val="1"/>
                <w:color w:val="auto"/>
                <w:w w:val="91"/>
              </w:rPr>
              <w:t>Number</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27"/>
              <w:spacing w:after="0" w:line="120" w:lineRule="exact"/>
              <w:rPr>
                <w:sz w:val="20"/>
                <w:szCs w:val="20"/>
                <w:color w:val="auto"/>
              </w:rPr>
            </w:pPr>
            <w:r>
              <w:rPr>
                <w:rFonts w:ascii="Times New Roman" w:cs="Times New Roman" w:eastAsia="Times New Roman" w:hAnsi="Times New Roman"/>
                <w:sz w:val="11"/>
                <w:szCs w:val="11"/>
                <w:b w:val="1"/>
                <w:bCs w:val="1"/>
                <w:color w:val="auto"/>
                <w:w w:val="93"/>
              </w:rPr>
              <w:t>Power</w:t>
            </w:r>
          </w:p>
        </w:tc>
        <w:tc>
          <w:tcPr>
            <w:tcW w:w="80" w:type="dxa"/>
            <w:vAlign w:val="bottom"/>
          </w:tcPr>
          <w:p>
            <w:pPr>
              <w:spacing w:after="0"/>
              <w:rPr>
                <w:sz w:val="10"/>
                <w:szCs w:val="10"/>
                <w:color w:val="auto"/>
              </w:rPr>
            </w:pPr>
          </w:p>
        </w:tc>
        <w:tc>
          <w:tcPr>
            <w:tcW w:w="44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tcPr>
          <w:p>
            <w:pPr>
              <w:jc w:val="right"/>
              <w:ind w:right="320"/>
              <w:spacing w:after="0" w:line="120" w:lineRule="exact"/>
              <w:rPr>
                <w:sz w:val="20"/>
                <w:szCs w:val="20"/>
                <w:color w:val="auto"/>
              </w:rPr>
            </w:pPr>
            <w:r>
              <w:rPr>
                <w:rFonts w:ascii="Times New Roman" w:cs="Times New Roman" w:eastAsia="Times New Roman" w:hAnsi="Times New Roman"/>
                <w:sz w:val="11"/>
                <w:szCs w:val="11"/>
                <w:b w:val="1"/>
                <w:bCs w:val="1"/>
                <w:color w:val="auto"/>
                <w:w w:val="86"/>
              </w:rPr>
              <w:t>Number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right="67"/>
              <w:spacing w:after="0" w:line="120" w:lineRule="exact"/>
              <w:rPr>
                <w:sz w:val="20"/>
                <w:szCs w:val="20"/>
                <w:color w:val="auto"/>
              </w:rPr>
            </w:pPr>
            <w:r>
              <w:rPr>
                <w:rFonts w:ascii="Times New Roman" w:cs="Times New Roman" w:eastAsia="Times New Roman" w:hAnsi="Times New Roman"/>
                <w:sz w:val="11"/>
                <w:szCs w:val="11"/>
                <w:b w:val="1"/>
                <w:bCs w:val="1"/>
                <w:color w:val="auto"/>
                <w:w w:val="93"/>
              </w:rPr>
              <w:t>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1"/>
                <w:szCs w:val="11"/>
                <w:b w:val="1"/>
                <w:bCs w:val="1"/>
                <w:color w:val="auto"/>
              </w:rPr>
              <w:t>of</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460"/>
              <w:spacing w:after="0" w:line="125" w:lineRule="exact"/>
              <w:rPr>
                <w:sz w:val="20"/>
                <w:szCs w:val="20"/>
                <w:color w:val="auto"/>
              </w:rPr>
            </w:pPr>
            <w:r>
              <w:rPr>
                <w:rFonts w:ascii="Times New Roman" w:cs="Times New Roman" w:eastAsia="Times New Roman" w:hAnsi="Times New Roman"/>
                <w:sz w:val="11"/>
                <w:szCs w:val="11"/>
                <w:b w:val="1"/>
                <w:bCs w:val="1"/>
                <w:color w:val="auto"/>
              </w:rPr>
              <w:t>of</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27"/>
              <w:spacing w:after="0" w:line="125" w:lineRule="exact"/>
              <w:rPr>
                <w:sz w:val="20"/>
                <w:szCs w:val="20"/>
                <w:color w:val="auto"/>
              </w:rPr>
            </w:pPr>
            <w:r>
              <w:rPr>
                <w:rFonts w:ascii="Times New Roman" w:cs="Times New Roman" w:eastAsia="Times New Roman" w:hAnsi="Times New Roman"/>
                <w:sz w:val="11"/>
                <w:szCs w:val="11"/>
                <w:b w:val="1"/>
                <w:bCs w:val="1"/>
                <w:color w:val="auto"/>
                <w:w w:val="89"/>
              </w:rPr>
              <w:t>Before</w:t>
            </w:r>
          </w:p>
        </w:tc>
        <w:tc>
          <w:tcPr>
            <w:tcW w:w="80" w:type="dxa"/>
            <w:vAlign w:val="bottom"/>
          </w:tcPr>
          <w:p>
            <w:pPr>
              <w:spacing w:after="0"/>
              <w:rPr>
                <w:sz w:val="10"/>
                <w:szCs w:val="10"/>
                <w:color w:val="auto"/>
              </w:rPr>
            </w:pPr>
          </w:p>
        </w:tc>
        <w:tc>
          <w:tcPr>
            <w:tcW w:w="4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Being</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ind w:left="160"/>
              <w:spacing w:after="0" w:line="125" w:lineRule="exact"/>
              <w:rPr>
                <w:sz w:val="20"/>
                <w:szCs w:val="20"/>
                <w:color w:val="auto"/>
              </w:rPr>
            </w:pPr>
            <w:r>
              <w:rPr>
                <w:rFonts w:ascii="Times New Roman" w:cs="Times New Roman" w:eastAsia="Times New Roman" w:hAnsi="Times New Roman"/>
                <w:sz w:val="11"/>
                <w:szCs w:val="11"/>
                <w:b w:val="1"/>
                <w:bCs w:val="1"/>
                <w:color w:val="auto"/>
              </w:rPr>
              <w:t>of</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tcPr>
          <w:p>
            <w:pPr>
              <w:jc w:val="right"/>
              <w:ind w:right="460"/>
              <w:spacing w:after="0" w:line="125" w:lineRule="exact"/>
              <w:rPr>
                <w:sz w:val="20"/>
                <w:szCs w:val="20"/>
                <w:color w:val="auto"/>
              </w:rPr>
            </w:pPr>
            <w:r>
              <w:rPr>
                <w:rFonts w:ascii="Times New Roman" w:cs="Times New Roman" w:eastAsia="Times New Roman" w:hAnsi="Times New Roman"/>
                <w:sz w:val="11"/>
                <w:szCs w:val="11"/>
                <w:b w:val="1"/>
                <w:bCs w:val="1"/>
                <w:color w:val="auto"/>
              </w:rPr>
              <w:t>of</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right="67"/>
              <w:spacing w:after="0" w:line="125" w:lineRule="exact"/>
              <w:rPr>
                <w:sz w:val="20"/>
                <w:szCs w:val="20"/>
                <w:color w:val="auto"/>
              </w:rPr>
            </w:pPr>
            <w:r>
              <w:rPr>
                <w:rFonts w:ascii="Times New Roman" w:cs="Times New Roman" w:eastAsia="Times New Roman" w:hAnsi="Times New Roman"/>
                <w:sz w:val="11"/>
                <w:szCs w:val="11"/>
                <w:b w:val="1"/>
                <w:bCs w:val="1"/>
                <w:color w:val="auto"/>
                <w:w w:val="95"/>
              </w:rPr>
              <w:t>After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Percentage </w:t>
            </w:r>
            <w:r>
              <w:rPr>
                <w:rFonts w:ascii="Times New Roman" w:cs="Times New Roman" w:eastAsia="Times New Roman" w:hAnsi="Times New Roman"/>
                <w:sz w:val="18"/>
                <w:szCs w:val="18"/>
                <w:b w:val="1"/>
                <w:bCs w:val="1"/>
                <w:color w:val="auto"/>
                <w:vertAlign w:val="subscript"/>
              </w:rPr>
              <w:t>​ ​</w:t>
            </w:r>
          </w:p>
        </w:tc>
        <w:tc>
          <w:tcPr>
            <w:tcW w:w="1100" w:type="dxa"/>
            <w:vAlign w:val="bottom"/>
            <w:gridSpan w:val="6"/>
          </w:tcPr>
          <w:p>
            <w:pPr>
              <w:jc w:val="right"/>
              <w:spacing w:after="0" w:line="162" w:lineRule="exact"/>
              <w:rPr>
                <w:sz w:val="20"/>
                <w:szCs w:val="20"/>
                <w:color w:val="auto"/>
              </w:rPr>
            </w:pP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Percentage </w:t>
            </w:r>
            <w:r>
              <w:rPr>
                <w:rFonts w:ascii="Times New Roman" w:cs="Times New Roman" w:eastAsia="Times New Roman" w:hAnsi="Times New Roman"/>
                <w:sz w:val="18"/>
                <w:szCs w:val="18"/>
                <w:b w:val="1"/>
                <w:bCs w:val="1"/>
                <w:color w:val="auto"/>
                <w:vertAlign w:val="subscript"/>
              </w:rPr>
              <w:t>​</w:t>
            </w:r>
          </w:p>
        </w:tc>
        <w:tc>
          <w:tcPr>
            <w:tcW w:w="52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Offering</w:t>
            </w:r>
            <w:r>
              <w:rPr>
                <w:rFonts w:ascii="Times New Roman" w:cs="Times New Roman" w:eastAsia="Times New Roman" w:hAnsi="Times New Roman"/>
                <w:sz w:val="11"/>
                <w:szCs w:val="11"/>
                <w:b w:val="1"/>
                <w:bCs w:val="1"/>
                <w:color w:val="auto"/>
                <w:vertAlign w:val="superscript"/>
              </w:rPr>
              <w:t>(2)</w:t>
            </w:r>
          </w:p>
        </w:tc>
        <w:tc>
          <w:tcPr>
            <w:tcW w:w="58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Offered† </w:t>
            </w:r>
            <w:r>
              <w:rPr>
                <w:rFonts w:ascii="Times New Roman" w:cs="Times New Roman" w:eastAsia="Times New Roman" w:hAnsi="Times New Roman"/>
                <w:sz w:val="18"/>
                <w:szCs w:val="18"/>
                <w:b w:val="1"/>
                <w:bCs w:val="1"/>
                <w:color w:val="auto"/>
                <w:vertAlign w:val="subscript"/>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gridSpan w:val="6"/>
          </w:tcPr>
          <w:p>
            <w:pPr>
              <w:ind w:left="60"/>
              <w:spacing w:after="0" w:line="162" w:lineRule="exact"/>
              <w:rPr>
                <w:sz w:val="20"/>
                <w:szCs w:val="20"/>
                <w:color w:val="auto"/>
              </w:rPr>
            </w:pP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Percentage </w:t>
            </w:r>
            <w:r>
              <w:rPr>
                <w:rFonts w:ascii="Times New Roman" w:cs="Times New Roman" w:eastAsia="Times New Roman" w:hAnsi="Times New Roman"/>
                <w:sz w:val="18"/>
                <w:szCs w:val="18"/>
                <w:b w:val="1"/>
                <w:bCs w:val="1"/>
                <w:color w:val="auto"/>
                <w:vertAlign w:val="subscript"/>
              </w:rPr>
              <w:t>​ ​</w:t>
            </w:r>
          </w:p>
        </w:tc>
        <w:tc>
          <w:tcPr>
            <w:tcW w:w="1620" w:type="dxa"/>
            <w:vAlign w:val="bottom"/>
            <w:gridSpan w:val="8"/>
          </w:tcPr>
          <w:p>
            <w:pPr>
              <w:jc w:val="right"/>
              <w:spacing w:after="0" w:line="162" w:lineRule="exact"/>
              <w:rPr>
                <w:sz w:val="20"/>
                <w:szCs w:val="20"/>
                <w:color w:val="auto"/>
              </w:rPr>
            </w:pP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Percentage </w:t>
            </w: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Offering</w:t>
            </w:r>
            <w:r>
              <w:rPr>
                <w:rFonts w:ascii="Times New Roman" w:cs="Times New Roman" w:eastAsia="Times New Roman" w:hAnsi="Times New Roman"/>
                <w:sz w:val="11"/>
                <w:szCs w:val="11"/>
                <w:b w:val="1"/>
                <w:bCs w:val="1"/>
                <w:color w:val="auto"/>
                <w:vertAlign w:val="superscript"/>
              </w:rPr>
              <w:t>(2)</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13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98"/>
              </w:rPr>
              <w:t>Name of Selling Stockholder</w:t>
            </w: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 ​</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 ​</w:t>
            </w: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20"/>
                <w:szCs w:val="20"/>
                <w:color w:val="auto"/>
              </w:rPr>
            </w:pPr>
            <w:r>
              <w:rPr>
                <w:rFonts w:ascii="Times New Roman" w:cs="Times New Roman" w:eastAsia="Times New Roman" w:hAnsi="Times New Roman"/>
                <w:sz w:val="11"/>
                <w:szCs w:val="11"/>
                <w:color w:val="auto"/>
              </w:rPr>
              <w:t>AES Grid Stability, LLC</w:t>
            </w:r>
            <w:r>
              <w:rPr>
                <w:rFonts w:ascii="Times New Roman" w:cs="Times New Roman" w:eastAsia="Times New Roman" w:hAnsi="Times New Roman"/>
                <w:sz w:val="12"/>
                <w:szCs w:val="12"/>
                <w:color w:val="auto"/>
                <w:vertAlign w:val="superscript"/>
              </w:rPr>
              <w:t>(3)</w:t>
            </w:r>
          </w:p>
        </w:tc>
        <w:tc>
          <w:tcPr>
            <w:tcW w:w="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51,499,195​​ ​</w:t>
            </w:r>
          </w:p>
        </w:tc>
        <w:tc>
          <w:tcPr>
            <w:tcW w:w="3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66.0%</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8,753,404​​</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42,745,791​​ ​</w:t>
            </w: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100%</w:t>
            </w:r>
          </w:p>
        </w:tc>
        <w:tc>
          <w:tcPr>
            <w:tcW w:w="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60.2%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Siemens AG</w:t>
            </w:r>
            <w:r>
              <w:rPr>
                <w:rFonts w:ascii="Times New Roman" w:cs="Times New Roman" w:eastAsia="Times New Roman" w:hAnsi="Times New Roman"/>
                <w:sz w:val="12"/>
                <w:szCs w:val="12"/>
                <w:color w:val="auto"/>
                <w:vertAlign w:val="superscript"/>
              </w:rPr>
              <w:t>(4)</w:t>
            </w:r>
          </w:p>
        </w:tc>
        <w:tc>
          <w:tcPr>
            <w:tcW w:w="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51,499,195​​​</w:t>
            </w:r>
          </w:p>
        </w:tc>
        <w:tc>
          <w:tcPr>
            <w:tcW w:w="46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​38.8%</w:t>
            </w:r>
          </w:p>
        </w:tc>
        <w:tc>
          <w:tcPr>
            <w:tcW w:w="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13.2%</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8,753,404​​</w:t>
            </w:r>
          </w:p>
        </w:tc>
        <w:tc>
          <w:tcPr>
            <w:tcW w:w="720" w:type="dxa"/>
            <w:vAlign w:val="bottom"/>
            <w:tcBorders>
              <w:lef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42,745,791​​ ​</w:t>
            </w:r>
          </w:p>
        </w:tc>
        <w:tc>
          <w:tcPr>
            <w:tcW w:w="3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​30.2%</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12.0%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20"/>
                <w:szCs w:val="20"/>
                <w:color w:val="auto"/>
              </w:rPr>
            </w:pPr>
            <w:r>
              <w:rPr>
                <w:rFonts w:ascii="Times New Roman" w:cs="Times New Roman" w:eastAsia="Times New Roman" w:hAnsi="Times New Roman"/>
                <w:sz w:val="11"/>
                <w:szCs w:val="11"/>
                <w:color w:val="auto"/>
              </w:rPr>
              <w:t>Qatar Holding LLC</w:t>
            </w:r>
            <w:r>
              <w:rPr>
                <w:rFonts w:ascii="Times New Roman" w:cs="Times New Roman" w:eastAsia="Times New Roman" w:hAnsi="Times New Roman"/>
                <w:sz w:val="12"/>
                <w:szCs w:val="12"/>
                <w:color w:val="auto"/>
                <w:vertAlign w:val="superscript"/>
              </w:rPr>
              <w:t>(5)</w:t>
            </w: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14,668,275​​​</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​11.0%</w:t>
            </w: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1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3.8%</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2,493,192​​</w:t>
            </w:r>
          </w:p>
        </w:tc>
        <w:tc>
          <w:tcPr>
            <w:tcW w:w="7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12,175,083​​ ​</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8.6%</w:t>
            </w:r>
          </w:p>
        </w:tc>
        <w:tc>
          <w:tcPr>
            <w:tcW w:w="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3.4%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-403225</wp:posOffset>
            </wp:positionV>
            <wp:extent cx="5397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-403225</wp:posOffset>
            </wp:positionV>
            <wp:extent cx="5397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-403225</wp:posOffset>
            </wp:positionV>
            <wp:extent cx="5397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-403225</wp:posOffset>
            </wp:positionV>
            <wp:extent cx="5397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-403225</wp:posOffset>
            </wp:positionV>
            <wp:extent cx="5397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422275</wp:posOffset>
            </wp:positionH>
            <wp:positionV relativeFrom="paragraph">
              <wp:posOffset>-403225</wp:posOffset>
            </wp:positionV>
            <wp:extent cx="129857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98575" cy="698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-403225</wp:posOffset>
            </wp:positionV>
            <wp:extent cx="5397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3465195</wp:posOffset>
            </wp:positionH>
            <wp:positionV relativeFrom="paragraph">
              <wp:posOffset>-403225</wp:posOffset>
            </wp:positionV>
            <wp:extent cx="5397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-403225</wp:posOffset>
            </wp:positionV>
            <wp:extent cx="5397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-403225</wp:posOffset>
            </wp:positionV>
            <wp:extent cx="5397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90170</wp:posOffset>
            </wp:positionV>
            <wp:extent cx="97345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973455" cy="6985"/>
                    </a:xfrm>
                    <a:prstGeom prst="rect">
                      <a:avLst/>
                    </a:prstGeom>
                    <a:noFill/>
                  </pic:spPr>
                </pic:pic>
              </a:graphicData>
            </a:graphic>
          </wp:anchor>
        </w:drawing>
      </w:r>
    </w:p>
    <w:p>
      <w:pPr>
        <w:spacing w:after="0" w:line="181" w:lineRule="exact"/>
        <w:rPr>
          <w:sz w:val="20"/>
          <w:szCs w:val="20"/>
          <w:color w:val="auto"/>
        </w:rPr>
      </w:pPr>
    </w:p>
    <w:p>
      <w:pPr>
        <w:ind w:left="1560" w:right="1279" w:hanging="293"/>
        <w:spacing w:after="0" w:line="257" w:lineRule="auto"/>
        <w:tabs>
          <w:tab w:leader="none" w:pos="1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Class B-1 common stock listed in the table above correlates to the number of LLC Interests owned by AES Grid Stability. Each LLC Interest (other than LLC Interests held by us) is redeemable from time to time at each holder’s option for, at our election (determined solely by our independent directors (within the meaning of Nasdaq rules) who are disinterested), newly-issued shares of our Class A common stock on a one-for-one basis or a cash payment equal to a volume-weighted average market price of one share of Class A common stock for each LLC Interest so redeemed, in each case, in accordance with the Third Amended and Restated Limited Liability Company Agreement of Fluence Energy, LLC (the “Fluence Energy LLC Agreement”); provided that, at our election (determined solely by our independent directors (within the meaning of Nasdaq rules) who are disinterested), we may effect a direct exchange by Fluence Energy, Inc. of such Class A common stock or such cash, as applicable, for such LLC Interests.</w:t>
      </w:r>
    </w:p>
    <w:p>
      <w:pPr>
        <w:spacing w:after="0" w:line="203" w:lineRule="exact"/>
        <w:rPr>
          <w:rFonts w:ascii="Times New Roman" w:cs="Times New Roman" w:eastAsia="Times New Roman" w:hAnsi="Times New Roman"/>
          <w:sz w:val="14"/>
          <w:szCs w:val="14"/>
          <w:color w:val="auto"/>
        </w:rPr>
      </w:pPr>
    </w:p>
    <w:p>
      <w:pPr>
        <w:ind w:left="1560" w:right="1359" w:hanging="293"/>
        <w:spacing w:after="0" w:line="261" w:lineRule="auto"/>
        <w:tabs>
          <w:tab w:leader="none" w:pos="1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of voting power of our Class A common stock and Class B-1 common stock voting as a single class. Each share of Class A common stock entitles the registered holder to one vote per share and each share of Class B-1 common stock entitles the registered holder thereof to five votes per share on all matters presented to stockholders for a vote generally, including the election of directors. The Class A common stock and Class B-1 common stock will vote as a single class on all matters except as required by law or our amended and restated certificate of incorporation.</w:t>
      </w:r>
    </w:p>
    <w:p>
      <w:pPr>
        <w:spacing w:after="0" w:line="35" w:lineRule="exact"/>
        <w:rPr>
          <w:rFonts w:ascii="Times New Roman" w:cs="Times New Roman" w:eastAsia="Times New Roman" w:hAnsi="Times New Roman"/>
          <w:sz w:val="14"/>
          <w:szCs w:val="14"/>
          <w:color w:val="auto"/>
        </w:rPr>
      </w:pPr>
    </w:p>
    <w:p>
      <w:pPr>
        <w:ind w:left="1560" w:right="1279" w:hanging="293"/>
        <w:spacing w:after="0" w:line="259" w:lineRule="auto"/>
        <w:tabs>
          <w:tab w:leader="none" w:pos="1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Class B-1 common stock listed in the table above correlates to the number of LLC Interests owned by AES Grid Stability. The number of shares of Class A common stock to be sold in the offering by AES Grid Stability assumes the redemption of LLC Interests owned by AES Grid Stability pursuant to the terms of the Fluence Energy LLC Agreement, together with the corresponding cancellation of the equivalent number of shares of Class B-1 common stock of Fluence Energy, Inc., and the settlement of such redemption through the issuance of an equal number of shares of our Class A common stock to be sold in the offering. The AES Corporation is the indirect parent of AES Grid</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 w:name="page20"/>
    <w:bookmarkEnd w:id="1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60" w:right="1479"/>
        <w:spacing w:after="0" w:line="271" w:lineRule="auto"/>
        <w:rPr>
          <w:sz w:val="20"/>
          <w:szCs w:val="20"/>
          <w:color w:val="auto"/>
        </w:rPr>
      </w:pPr>
      <w:r>
        <w:rPr>
          <w:rFonts w:ascii="Times New Roman" w:cs="Times New Roman" w:eastAsia="Times New Roman" w:hAnsi="Times New Roman"/>
          <w:sz w:val="14"/>
          <w:szCs w:val="14"/>
          <w:color w:val="auto"/>
        </w:rPr>
        <w:t>Stability and may be deemed to share beneficial ownership of the shares held of record by AES Grid Stability. The business address of AES Grid Stability is 4300 Wilson Blvd, 11th Floor, Arlington, Virginia, 22203.</w:t>
      </w:r>
    </w:p>
    <w:p>
      <w:pPr>
        <w:spacing w:after="0" w:line="30" w:lineRule="exact"/>
        <w:rPr>
          <w:sz w:val="20"/>
          <w:szCs w:val="20"/>
          <w:color w:val="auto"/>
        </w:rPr>
      </w:pPr>
    </w:p>
    <w:p>
      <w:pPr>
        <w:ind w:left="1560" w:right="1359" w:hanging="293"/>
        <w:spacing w:after="0" w:line="257" w:lineRule="auto"/>
        <w:tabs>
          <w:tab w:leader="none" w:pos="1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beneficially owned prior to the offering includes 19,738,064 shares of Class A common stock held of record by Siemens AG and 31,761,131 shares of Class A common stock held of record by SPT Holding, SARL (“SPT Holding”). All shares to be sold in this offering by such holders are being offered by SPT Holding. SPT Holding is a wholly owned subsidiary of Siemens Pension-Trust e.V. (“Siemens e.V.”) and as such, Siemens e.V. may be deemed to share beneficial ownership of the shares of Class A common stock beneficially owned by SPT Holding. Siemens AG is an affiliate of Siemens e.V. and as such, may be deemed to share beneficial ownership of the shares of Class A common stock beneficially owned by Siemens e.V. The business address of SPT Holding is 21 Rue Edmond Reuter, Contern Luxembourg 5326. The business address of Siemens e.V. is Wittelsbacher Platz 2, 80333 Munich, Germany. The business address of Siemens AG is Werner-von-Siemens-Strasse 1, 80333 Munich, Germany.</w:t>
      </w:r>
    </w:p>
    <w:p>
      <w:pPr>
        <w:spacing w:after="0" w:line="203" w:lineRule="exact"/>
        <w:rPr>
          <w:rFonts w:ascii="Times New Roman" w:cs="Times New Roman" w:eastAsia="Times New Roman" w:hAnsi="Times New Roman"/>
          <w:sz w:val="14"/>
          <w:szCs w:val="14"/>
          <w:color w:val="auto"/>
        </w:rPr>
      </w:pPr>
    </w:p>
    <w:p>
      <w:pPr>
        <w:ind w:left="1560" w:right="1379" w:hanging="293"/>
        <w:spacing w:after="0" w:line="271" w:lineRule="auto"/>
        <w:tabs>
          <w:tab w:leader="none" w:pos="1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14,668,275 shares of Class A common stock held of record by Qatar Holding LLC. The business address of Qatar Holding LLC is Ooredoo Tower (Building 14), Al Dafna Street (Street 801), Al Dafna (Zone 61), Doha, State of Qatar.</w:t>
      </w:r>
    </w:p>
    <w:p>
      <w:pPr>
        <w:spacing w:after="0" w:line="83" w:lineRule="exact"/>
        <w:rPr>
          <w:sz w:val="20"/>
          <w:szCs w:val="20"/>
          <w:color w:val="auto"/>
        </w:rPr>
      </w:pPr>
    </w:p>
    <w:p>
      <w:pPr>
        <w:jc w:val="both"/>
        <w:ind w:left="1260" w:right="1359" w:firstLine="284"/>
        <w:spacing w:after="0" w:line="271" w:lineRule="auto"/>
        <w:rPr>
          <w:sz w:val="20"/>
          <w:szCs w:val="20"/>
          <w:color w:val="auto"/>
        </w:rPr>
      </w:pPr>
      <w:r>
        <w:rPr>
          <w:rFonts w:ascii="Times New Roman" w:cs="Times New Roman" w:eastAsia="Times New Roman" w:hAnsi="Times New Roman"/>
          <w:sz w:val="14"/>
          <w:szCs w:val="14"/>
          <w:color w:val="auto"/>
        </w:rPr>
        <w:t>For more information about our relationships with the Selling Securityholders and their affiliates, see “Certain Relationships and Related Party Transactions” in our definitive proxy statement on Schedule 14A, filed with the SEC on January 26, 2026,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 w:name="page21"/>
    <w:bookmarkEnd w:id="20"/>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TO NON-U.S. HOLDERS</w:t>
      </w:r>
    </w:p>
    <w:p>
      <w:pPr>
        <w:spacing w:after="0" w:line="129" w:lineRule="exact"/>
        <w:rPr>
          <w:sz w:val="20"/>
          <w:szCs w:val="20"/>
          <w:color w:val="auto"/>
        </w:rPr>
      </w:pPr>
    </w:p>
    <w:p>
      <w:pPr>
        <w:ind w:left="1260" w:right="1279" w:firstLine="284"/>
        <w:spacing w:after="0" w:line="259" w:lineRule="auto"/>
        <w:rPr>
          <w:sz w:val="20"/>
          <w:szCs w:val="20"/>
          <w:color w:val="auto"/>
        </w:rPr>
      </w:pPr>
      <w:r>
        <w:rPr>
          <w:rFonts w:ascii="Times New Roman" w:cs="Times New Roman" w:eastAsia="Times New Roman" w:hAnsi="Times New Roman"/>
          <w:sz w:val="14"/>
          <w:szCs w:val="14"/>
          <w:color w:val="auto"/>
        </w:rPr>
        <w:t>The following discussion is a summary of the material U.S. federal income tax consequences to Non-U.S. Holders (as defined below) of the purchase, ownership, and disposition of our Class A common stock acquired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w:t>
      </w:r>
    </w:p>
    <w:p>
      <w:pPr>
        <w:spacing w:after="0" w:line="90" w:lineRule="exact"/>
        <w:rPr>
          <w:sz w:val="20"/>
          <w:szCs w:val="20"/>
          <w:color w:val="auto"/>
        </w:rPr>
      </w:pPr>
    </w:p>
    <w:p>
      <w:pPr>
        <w:ind w:left="1260" w:right="1299" w:firstLine="284"/>
        <w:spacing w:after="0" w:line="262" w:lineRule="auto"/>
        <w:rPr>
          <w:sz w:val="20"/>
          <w:szCs w:val="20"/>
          <w:color w:val="auto"/>
        </w:rPr>
      </w:pPr>
      <w:r>
        <w:rPr>
          <w:rFonts w:ascii="Times New Roman" w:cs="Times New Roman" w:eastAsia="Times New Roman" w:hAnsi="Times New Roman"/>
          <w:sz w:val="14"/>
          <w:szCs w:val="14"/>
          <w:color w:val="auto"/>
        </w:rPr>
        <w:t>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80" w:lineRule="exact"/>
        <w:rPr>
          <w:sz w:val="20"/>
          <w:szCs w:val="20"/>
          <w:color w:val="auto"/>
        </w:rPr>
      </w:pPr>
    </w:p>
    <w:p>
      <w:pPr>
        <w:ind w:left="1260" w:right="1319" w:firstLine="284"/>
        <w:spacing w:after="0" w:line="261" w:lineRule="auto"/>
        <w:rPr>
          <w:sz w:val="20"/>
          <w:szCs w:val="20"/>
          <w:color w:val="auto"/>
        </w:rPr>
      </w:pPr>
      <w:r>
        <w:rPr>
          <w:rFonts w:ascii="Times New Roman" w:cs="Times New Roman" w:eastAsia="Times New Roman" w:hAnsi="Times New Roman"/>
          <w:sz w:val="14"/>
          <w:szCs w:val="14"/>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alternative minimum tax and the impact of the Medicare contribution tax on net investment income. In addition, it does not address consequences relevant to Non-U.S. Holders subject to special rules, including, without limitation:</w:t>
      </w:r>
    </w:p>
    <w:p>
      <w:pPr>
        <w:spacing w:after="0" w:line="57" w:lineRule="exact"/>
        <w:rPr>
          <w:sz w:val="20"/>
          <w:szCs w:val="20"/>
          <w:color w:val="auto"/>
        </w:rPr>
      </w:pPr>
    </w:p>
    <w:p>
      <w:pPr>
        <w:ind w:left="1700" w:hanging="149"/>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94" w:lineRule="exact"/>
        <w:rPr>
          <w:rFonts w:ascii="Times New Roman" w:cs="Times New Roman" w:eastAsia="Times New Roman" w:hAnsi="Times New Roman"/>
          <w:sz w:val="14"/>
          <w:szCs w:val="14"/>
          <w:color w:val="auto"/>
        </w:rPr>
      </w:pPr>
    </w:p>
    <w:p>
      <w:pPr>
        <w:ind w:left="1700" w:right="1739" w:hanging="149"/>
        <w:spacing w:after="0" w:line="289"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Class A common stock as part of a hedge, straddle or other risk reduction strategy or as part of a conversion transaction or other integrated investment;</w:t>
      </w:r>
    </w:p>
    <w:p>
      <w:pPr>
        <w:spacing w:after="0" w:line="38"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94"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94" w:lineRule="exact"/>
        <w:rPr>
          <w:rFonts w:ascii="Times New Roman" w:cs="Times New Roman" w:eastAsia="Times New Roman" w:hAnsi="Times New Roman"/>
          <w:sz w:val="14"/>
          <w:szCs w:val="14"/>
          <w:color w:val="auto"/>
        </w:rPr>
      </w:pPr>
    </w:p>
    <w:p>
      <w:pPr>
        <w:ind w:left="1700" w:right="1339" w:hanging="149"/>
        <w:spacing w:after="0" w:line="289"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“foreign controlled foreign corporations,” “passive foreign investment companies,” and corporations that accumulate earnings to avoid U.S. federal income tax;</w:t>
      </w:r>
    </w:p>
    <w:p>
      <w:pPr>
        <w:spacing w:after="0" w:line="38" w:lineRule="exact"/>
        <w:rPr>
          <w:rFonts w:ascii="Times New Roman" w:cs="Times New Roman" w:eastAsia="Times New Roman" w:hAnsi="Times New Roman"/>
          <w:sz w:val="14"/>
          <w:szCs w:val="14"/>
          <w:color w:val="auto"/>
        </w:rPr>
      </w:pPr>
    </w:p>
    <w:p>
      <w:pPr>
        <w:ind w:left="1700" w:right="1599" w:hanging="149"/>
        <w:spacing w:after="0" w:line="289"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partnerships for U.S. federal income tax purposes (and investors therein);</w:t>
      </w:r>
    </w:p>
    <w:p>
      <w:pPr>
        <w:spacing w:after="0" w:line="38"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94" w:lineRule="exact"/>
        <w:rPr>
          <w:rFonts w:ascii="Times New Roman" w:cs="Times New Roman" w:eastAsia="Times New Roman" w:hAnsi="Times New Roman"/>
          <w:sz w:val="14"/>
          <w:szCs w:val="14"/>
          <w:color w:val="auto"/>
        </w:rPr>
      </w:pPr>
    </w:p>
    <w:p>
      <w:pPr>
        <w:ind w:left="1700" w:right="1659" w:hanging="149"/>
        <w:spacing w:after="0" w:line="289"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Class A common stock under the constructive sale provisions of the Code;</w:t>
      </w:r>
    </w:p>
    <w:p>
      <w:pPr>
        <w:spacing w:after="0" w:line="38" w:lineRule="exact"/>
        <w:rPr>
          <w:rFonts w:ascii="Times New Roman" w:cs="Times New Roman" w:eastAsia="Times New Roman" w:hAnsi="Times New Roman"/>
          <w:sz w:val="14"/>
          <w:szCs w:val="14"/>
          <w:color w:val="auto"/>
        </w:rPr>
      </w:pPr>
    </w:p>
    <w:p>
      <w:pPr>
        <w:ind w:left="1700" w:right="1539" w:hanging="149"/>
        <w:spacing w:after="0" w:line="289"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Class A common stock pursuant to the exercise of any employee stock option or otherwise as compensation;</w:t>
      </w:r>
    </w:p>
    <w:p>
      <w:pPr>
        <w:spacing w:after="0" w:line="38"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w:t>
      </w:r>
    </w:p>
    <w:p>
      <w:pPr>
        <w:spacing w:after="0" w:line="94" w:lineRule="exact"/>
        <w:rPr>
          <w:rFonts w:ascii="Times New Roman" w:cs="Times New Roman" w:eastAsia="Times New Roman" w:hAnsi="Times New Roman"/>
          <w:sz w:val="14"/>
          <w:szCs w:val="14"/>
          <w:color w:val="auto"/>
        </w:rPr>
      </w:pPr>
    </w:p>
    <w:p>
      <w:pPr>
        <w:ind w:left="1700" w:right="1439" w:hanging="149"/>
        <w:spacing w:after="0" w:line="289"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 and</w:t>
      </w:r>
    </w:p>
    <w:p>
      <w:pPr>
        <w:spacing w:after="0" w:line="38" w:lineRule="exact"/>
        <w:rPr>
          <w:rFonts w:ascii="Times New Roman" w:cs="Times New Roman" w:eastAsia="Times New Roman" w:hAnsi="Times New Roman"/>
          <w:sz w:val="14"/>
          <w:szCs w:val="14"/>
          <w:color w:val="auto"/>
        </w:rPr>
      </w:pPr>
    </w:p>
    <w:p>
      <w:pPr>
        <w:ind w:left="1700" w:right="1319" w:hanging="149"/>
        <w:spacing w:after="0" w:line="289"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the stock being taken into account in an applicable financial statement.</w:t>
      </w:r>
    </w:p>
    <w:p>
      <w:pPr>
        <w:spacing w:after="0" w:line="70" w:lineRule="exact"/>
        <w:rPr>
          <w:sz w:val="20"/>
          <w:szCs w:val="20"/>
          <w:color w:val="auto"/>
        </w:rPr>
      </w:pPr>
    </w:p>
    <w:p>
      <w:pPr>
        <w:ind w:left="1260" w:right="1299" w:firstLine="284"/>
        <w:spacing w:after="0" w:line="261" w:lineRule="auto"/>
        <w:rPr>
          <w:sz w:val="20"/>
          <w:szCs w:val="20"/>
          <w:color w:val="auto"/>
        </w:rPr>
      </w:pPr>
      <w:r>
        <w:rPr>
          <w:rFonts w:ascii="Times New Roman" w:cs="Times New Roman" w:eastAsia="Times New Roman" w:hAnsi="Times New Roman"/>
          <w:sz w:val="14"/>
          <w:szCs w:val="14"/>
          <w:color w:val="auto"/>
        </w:rPr>
        <w:t>If an entity or arrangement treated as a partnership for U.S. federal income tax purposes holds our Class A common stock, the tax treatment of a partner in such a partnership will depend on the status of the partner, the activities of such partnership, and certain determinations made at the partner level. Accordingly, entities or arrangements treated as partnerships for U.S. federal income tax purposes holding our Class A common stock and the partners in such partnerships should consult their tax advisors regarding the U.S. federal income tax consequences to them.</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1" w:name="page22"/>
    <w:bookmarkEnd w:id="21"/>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19" w:firstLine="284"/>
        <w:spacing w:after="0" w:line="259" w:lineRule="auto"/>
        <w:rPr>
          <w:sz w:val="20"/>
          <w:szCs w:val="20"/>
          <w:color w:val="auto"/>
        </w:rPr>
      </w:pPr>
      <w:r>
        <w:rPr>
          <w:rFonts w:ascii="Times New Roman" w:cs="Times New Roman" w:eastAsia="Times New Roman" w:hAnsi="Times New Roman"/>
          <w:sz w:val="14"/>
          <w:szCs w:val="14"/>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Definition of a non-U.S. holder</w:t>
      </w:r>
    </w:p>
    <w:p>
      <w:pPr>
        <w:spacing w:after="0" w:line="129" w:lineRule="exact"/>
        <w:rPr>
          <w:sz w:val="20"/>
          <w:szCs w:val="20"/>
          <w:color w:val="auto"/>
        </w:rPr>
      </w:pPr>
    </w:p>
    <w:p>
      <w:pPr>
        <w:ind w:left="1260" w:right="1339" w:firstLine="284"/>
        <w:spacing w:after="0" w:line="265"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56" w:lineRule="exact"/>
        <w:rPr>
          <w:sz w:val="20"/>
          <w:szCs w:val="20"/>
          <w:color w:val="auto"/>
        </w:rPr>
      </w:pPr>
    </w:p>
    <w:p>
      <w:pPr>
        <w:ind w:left="1700" w:hanging="149"/>
        <w:spacing w:after="0"/>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4" w:lineRule="exact"/>
        <w:rPr>
          <w:rFonts w:ascii="Times New Roman" w:cs="Times New Roman" w:eastAsia="Times New Roman" w:hAnsi="Times New Roman"/>
          <w:sz w:val="14"/>
          <w:szCs w:val="14"/>
          <w:color w:val="auto"/>
        </w:rPr>
      </w:pPr>
    </w:p>
    <w:p>
      <w:pPr>
        <w:ind w:left="1700" w:right="1719" w:hanging="149"/>
        <w:spacing w:after="0" w:line="289"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38"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94"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w:t>
      </w:r>
    </w:p>
    <w:p>
      <w:pPr>
        <w:spacing w:after="0" w:line="23" w:lineRule="exact"/>
        <w:rPr>
          <w:rFonts w:ascii="Times New Roman" w:cs="Times New Roman" w:eastAsia="Times New Roman" w:hAnsi="Times New Roman"/>
          <w:sz w:val="14"/>
          <w:szCs w:val="14"/>
          <w:color w:val="auto"/>
        </w:rPr>
      </w:pPr>
    </w:p>
    <w:p>
      <w:pPr>
        <w:ind w:left="1700" w:right="1439"/>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States persons” (within​ the meaning of Section 7701(a)(30) of the Code) or (2) has a valid election in effect to be treated as a United States person for U.S. federal income tax purposes.</w:t>
      </w:r>
    </w:p>
    <w:p>
      <w:pPr>
        <w:spacing w:after="0" w:line="1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29" w:lineRule="exact"/>
        <w:rPr>
          <w:sz w:val="20"/>
          <w:szCs w:val="20"/>
          <w:color w:val="auto"/>
        </w:rPr>
      </w:pPr>
    </w:p>
    <w:p>
      <w:pPr>
        <w:ind w:left="1260" w:right="1299" w:firstLine="284"/>
        <w:spacing w:after="0" w:line="260" w:lineRule="auto"/>
        <w:rPr>
          <w:sz w:val="20"/>
          <w:szCs w:val="20"/>
          <w:color w:val="auto"/>
        </w:rPr>
      </w:pPr>
      <w:r>
        <w:rPr>
          <w:rFonts w:ascii="Times New Roman" w:cs="Times New Roman" w:eastAsia="Times New Roman" w:hAnsi="Times New Roman"/>
          <w:sz w:val="14"/>
          <w:szCs w:val="14"/>
          <w:color w:val="auto"/>
        </w:rPr>
        <w:t>If we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 Sale or Other Taxable Disposition.”</w:t>
      </w:r>
    </w:p>
    <w:p>
      <w:pPr>
        <w:spacing w:after="0" w:line="253" w:lineRule="exact"/>
        <w:rPr>
          <w:sz w:val="20"/>
          <w:szCs w:val="20"/>
          <w:color w:val="auto"/>
        </w:rPr>
      </w:pPr>
    </w:p>
    <w:p>
      <w:pPr>
        <w:ind w:left="1260" w:right="1339" w:firstLine="284"/>
        <w:spacing w:after="0" w:line="259" w:lineRule="auto"/>
        <w:rPr>
          <w:sz w:val="20"/>
          <w:szCs w:val="20"/>
          <w:color w:val="auto"/>
        </w:rPr>
      </w:pPr>
      <w:r>
        <w:rPr>
          <w:rFonts w:ascii="Times New Roman" w:cs="Times New Roman" w:eastAsia="Times New Roman" w:hAnsi="Times New Roman"/>
          <w:sz w:val="14"/>
          <w:szCs w:val="14"/>
          <w:color w:val="auto"/>
        </w:rPr>
        <w:t>Subject to the discussion below on effectively connected income,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90" w:lineRule="exact"/>
        <w:rPr>
          <w:sz w:val="20"/>
          <w:szCs w:val="20"/>
          <w:color w:val="auto"/>
        </w:rPr>
      </w:pPr>
    </w:p>
    <w:p>
      <w:pPr>
        <w:ind w:left="1260" w:right="1279" w:firstLine="284"/>
        <w:spacing w:after="0" w:line="259" w:lineRule="auto"/>
        <w:rPr>
          <w:sz w:val="20"/>
          <w:szCs w:val="20"/>
          <w:color w:val="auto"/>
        </w:rPr>
      </w:pPr>
      <w:r>
        <w:rPr>
          <w:rFonts w:ascii="Times New Roman" w:cs="Times New Roman" w:eastAsia="Times New Roman" w:hAnsi="Times New Roman"/>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94" w:lineRule="exact"/>
        <w:rPr>
          <w:sz w:val="20"/>
          <w:szCs w:val="20"/>
          <w:color w:val="auto"/>
        </w:rPr>
      </w:pPr>
    </w:p>
    <w:p>
      <w:pPr>
        <w:ind w:left="1260" w:right="1279" w:firstLine="284"/>
        <w:spacing w:after="0" w:line="262" w:lineRule="auto"/>
        <w:rPr>
          <w:sz w:val="20"/>
          <w:szCs w:val="20"/>
          <w:color w:val="auto"/>
        </w:rPr>
      </w:pPr>
      <w:r>
        <w:rPr>
          <w:rFonts w:ascii="Times New Roman" w:cs="Times New Roman" w:eastAsia="Times New Roman" w:hAnsi="Times New Roman"/>
          <w:sz w:val="14"/>
          <w:szCs w:val="14"/>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 w:name="page23"/>
    <w:bookmarkEnd w:id="22"/>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SALE OR OTHER TAXABLE DISPOSITION</w:t>
      </w:r>
    </w:p>
    <w:p>
      <w:pPr>
        <w:spacing w:after="0" w:line="129" w:lineRule="exact"/>
        <w:rPr>
          <w:sz w:val="20"/>
          <w:szCs w:val="20"/>
          <w:color w:val="auto"/>
        </w:rPr>
      </w:pPr>
    </w:p>
    <w:p>
      <w:pPr>
        <w:ind w:left="1260" w:right="1479" w:firstLine="284"/>
        <w:spacing w:after="0" w:line="265" w:lineRule="auto"/>
        <w:rPr>
          <w:sz w:val="20"/>
          <w:szCs w:val="20"/>
          <w:color w:val="auto"/>
        </w:rPr>
      </w:pPr>
      <w:r>
        <w:rPr>
          <w:rFonts w:ascii="Times New Roman" w:cs="Times New Roman" w:eastAsia="Times New Roman" w:hAnsi="Times New Roman"/>
          <w:sz w:val="14"/>
          <w:szCs w:val="14"/>
          <w:color w:val="auto"/>
        </w:rPr>
        <w:t>Subject to the discussion below under “— Information Reporting and Backup Withholding” and “— Additional Withholding Tax on Payments Made to Foreign Accounts,” a Non-U.S. Holder will not be subject to U.S. federal income tax on any gain realized upon the sale or other taxable disposition of our Class A common stock unless:</w:t>
      </w:r>
    </w:p>
    <w:p>
      <w:pPr>
        <w:spacing w:after="0" w:line="56" w:lineRule="exact"/>
        <w:rPr>
          <w:sz w:val="20"/>
          <w:szCs w:val="20"/>
          <w:color w:val="auto"/>
        </w:rPr>
      </w:pPr>
    </w:p>
    <w:p>
      <w:pPr>
        <w:ind w:left="1700" w:right="1299" w:hanging="149"/>
        <w:spacing w:after="0" w:line="271"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61" w:lineRule="exact"/>
        <w:rPr>
          <w:rFonts w:ascii="Times New Roman" w:cs="Times New Roman" w:eastAsia="Times New Roman" w:hAnsi="Times New Roman"/>
          <w:sz w:val="14"/>
          <w:szCs w:val="14"/>
          <w:color w:val="auto"/>
        </w:rPr>
      </w:pPr>
    </w:p>
    <w:p>
      <w:pPr>
        <w:ind w:left="1700" w:right="1519" w:hanging="149"/>
        <w:spacing w:after="0" w:line="289"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 or</w:t>
      </w:r>
    </w:p>
    <w:p>
      <w:pPr>
        <w:spacing w:after="0" w:line="38" w:lineRule="exact"/>
        <w:rPr>
          <w:rFonts w:ascii="Times New Roman" w:cs="Times New Roman" w:eastAsia="Times New Roman" w:hAnsi="Times New Roman"/>
          <w:sz w:val="14"/>
          <w:szCs w:val="14"/>
          <w:color w:val="auto"/>
        </w:rPr>
      </w:pPr>
    </w:p>
    <w:p>
      <w:pPr>
        <w:ind w:left="1700" w:right="1299" w:hanging="149"/>
        <w:spacing w:after="0" w:line="289"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A common stock constitutes a U.S. real property interest (“USRPI”) by reason of our status as a U.S. real property holding corporation (“USRPHC”) for U.S. federal income tax purposes.</w:t>
      </w:r>
    </w:p>
    <w:p>
      <w:pPr>
        <w:spacing w:after="0" w:line="70" w:lineRule="exact"/>
        <w:rPr>
          <w:sz w:val="20"/>
          <w:szCs w:val="20"/>
          <w:color w:val="auto"/>
        </w:rPr>
      </w:pPr>
    </w:p>
    <w:p>
      <w:pPr>
        <w:ind w:left="1260" w:right="1359" w:firstLine="284"/>
        <w:spacing w:after="0" w:line="265"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77" w:lineRule="exact"/>
        <w:rPr>
          <w:sz w:val="20"/>
          <w:szCs w:val="20"/>
          <w:color w:val="auto"/>
        </w:rPr>
      </w:pPr>
    </w:p>
    <w:p>
      <w:pPr>
        <w:ind w:left="1260" w:right="1359" w:firstLine="284"/>
        <w:spacing w:after="0" w:line="261" w:lineRule="auto"/>
        <w:rPr>
          <w:sz w:val="20"/>
          <w:szCs w:val="20"/>
          <w:color w:val="auto"/>
        </w:rPr>
      </w:pPr>
      <w:r>
        <w:rPr>
          <w:rFonts w:ascii="Times New Roman" w:cs="Times New Roman" w:eastAsia="Times New Roman" w:hAnsi="Times New Roman"/>
          <w:sz w:val="14"/>
          <w:szCs w:val="14"/>
          <w:color w:val="auto"/>
        </w:rPr>
        <w:t>A holder described in the second bullet point above will be subject to U.S. federal income tax at a rate of 30% (or such lower rate specified by an applicable income tax treaty) on any gain realized upon the sale or other taxable disposition of our Class A common stock,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264" w:lineRule="exact"/>
        <w:rPr>
          <w:sz w:val="20"/>
          <w:szCs w:val="20"/>
          <w:color w:val="auto"/>
        </w:rPr>
      </w:pPr>
    </w:p>
    <w:p>
      <w:pPr>
        <w:ind w:left="1260" w:right="1319" w:firstLine="284"/>
        <w:spacing w:after="0" w:line="257" w:lineRule="auto"/>
        <w:rPr>
          <w:sz w:val="20"/>
          <w:szCs w:val="20"/>
          <w:color w:val="auto"/>
        </w:rPr>
      </w:pPr>
      <w:r>
        <w:rPr>
          <w:rFonts w:ascii="Times New Roman" w:cs="Times New Roman" w:eastAsia="Times New Roman" w:hAnsi="Times New Roman"/>
          <w:sz w:val="14"/>
          <w:szCs w:val="14"/>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97" w:lineRule="exact"/>
        <w:rPr>
          <w:sz w:val="20"/>
          <w:szCs w:val="20"/>
          <w:color w:val="auto"/>
        </w:rPr>
      </w:pPr>
    </w:p>
    <w:p>
      <w:pPr>
        <w:ind w:left="1260" w:right="1499" w:firstLine="284"/>
        <w:spacing w:after="0" w:line="289" w:lineRule="auto"/>
        <w:rPr>
          <w:sz w:val="20"/>
          <w:szCs w:val="20"/>
          <w:color w:val="auto"/>
        </w:rPr>
      </w:pPr>
      <w:r>
        <w:rPr>
          <w:rFonts w:ascii="Times New Roman" w:cs="Times New Roman" w:eastAsia="Times New Roman" w:hAnsi="Times New Roman"/>
          <w:sz w:val="14"/>
          <w:szCs w:val="14"/>
          <w:color w:val="auto"/>
        </w:rPr>
        <w:t>Non-U.S. Holders should consult their tax advisors regarding any applicable income tax treaties that may provide for different rules.</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18" w:lineRule="exact"/>
        <w:rPr>
          <w:sz w:val="20"/>
          <w:szCs w:val="20"/>
          <w:color w:val="auto"/>
        </w:rPr>
      </w:pPr>
    </w:p>
    <w:p>
      <w:pPr>
        <w:ind w:left="1260" w:right="1319" w:firstLine="284"/>
        <w:spacing w:after="0" w:line="257" w:lineRule="auto"/>
        <w:rPr>
          <w:sz w:val="20"/>
          <w:szCs w:val="20"/>
          <w:color w:val="auto"/>
        </w:rPr>
      </w:pPr>
      <w:r>
        <w:rPr>
          <w:rFonts w:ascii="Times New Roman" w:cs="Times New Roman" w:eastAsia="Times New Roman" w:hAnsi="Times New Roman"/>
          <w:sz w:val="14"/>
          <w:szCs w:val="14"/>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3" w:name="page24"/>
    <w:bookmarkEnd w:id="2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439" w:firstLine="284"/>
        <w:spacing w:after="0" w:line="271" w:lineRule="auto"/>
        <w:rPr>
          <w:sz w:val="20"/>
          <w:szCs w:val="20"/>
          <w:color w:val="auto"/>
        </w:rPr>
      </w:pPr>
      <w:r>
        <w:rPr>
          <w:rFonts w:ascii="Times New Roman" w:cs="Times New Roman" w:eastAsia="Times New Roman" w:hAnsi="Times New Roman"/>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83" w:lineRule="exact"/>
        <w:rPr>
          <w:sz w:val="20"/>
          <w:szCs w:val="20"/>
          <w:color w:val="auto"/>
        </w:rPr>
      </w:pPr>
    </w:p>
    <w:p>
      <w:pPr>
        <w:ind w:left="1260" w:right="1299" w:firstLine="284"/>
        <w:spacing w:after="0" w:line="271"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129" w:lineRule="exact"/>
        <w:rPr>
          <w:sz w:val="20"/>
          <w:szCs w:val="20"/>
          <w:color w:val="auto"/>
        </w:rPr>
      </w:pPr>
    </w:p>
    <w:p>
      <w:pPr>
        <w:ind w:left="1260" w:right="1319" w:firstLine="284"/>
        <w:spacing w:after="0" w:line="258"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w:t>
      </w:r>
    </w:p>
    <w:p>
      <w:pPr>
        <w:spacing w:after="0" w:line="1" w:lineRule="exact"/>
        <w:rPr>
          <w:sz w:val="20"/>
          <w:szCs w:val="20"/>
          <w:color w:val="auto"/>
        </w:rPr>
      </w:pPr>
    </w:p>
    <w:p>
      <w:pPr>
        <w:ind w:left="1260" w:right="1299"/>
        <w:spacing w:after="0" w:line="255" w:lineRule="auto"/>
        <w:rPr>
          <w:sz w:val="20"/>
          <w:szCs w:val="20"/>
          <w:color w:val="auto"/>
        </w:rPr>
      </w:pPr>
      <w:r>
        <w:rPr>
          <w:rFonts w:ascii="Times New Roman" w:cs="Times New Roman" w:eastAsia="Times New Roman" w:hAnsi="Times New Roman"/>
          <w:sz w:val="14"/>
          <w:szCs w:val="14"/>
          <w:color w:val="auto"/>
        </w:rPr>
        <w:t>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85" w:lineRule="exact"/>
        <w:rPr>
          <w:sz w:val="20"/>
          <w:szCs w:val="20"/>
          <w:color w:val="auto"/>
        </w:rPr>
      </w:pPr>
    </w:p>
    <w:p>
      <w:pPr>
        <w:ind w:left="1260" w:right="1319" w:firstLine="284"/>
        <w:spacing w:after="0" w:line="262" w:lineRule="auto"/>
        <w:rPr>
          <w:sz w:val="20"/>
          <w:szCs w:val="20"/>
          <w:color w:val="auto"/>
        </w:rPr>
      </w:pPr>
      <w:r>
        <w:rPr>
          <w:rFonts w:ascii="Times New Roman" w:cs="Times New Roman" w:eastAsia="Times New Roman" w:hAnsi="Times New Roman"/>
          <w:sz w:val="14"/>
          <w:szCs w:val="14"/>
          <w:color w:val="auto"/>
        </w:rPr>
        <w:t>Under the applicable Treasury Regulations and administrative guidance, withholding under FATCA generally applies to payments of dividends on our Class A common stock. While withholding under FATCA would also have applied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w:t>
      </w:r>
    </w:p>
    <w:p>
      <w:pPr>
        <w:spacing w:after="0" w:line="90" w:lineRule="exact"/>
        <w:rPr>
          <w:sz w:val="20"/>
          <w:szCs w:val="20"/>
          <w:color w:val="auto"/>
        </w:rPr>
      </w:pPr>
    </w:p>
    <w:p>
      <w:pPr>
        <w:ind w:left="1260" w:right="1979" w:firstLine="284"/>
        <w:spacing w:after="0" w:line="289"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4" w:name="page25"/>
    <w:bookmarkEnd w:id="24"/>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29" w:lineRule="exact"/>
        <w:rPr>
          <w:sz w:val="20"/>
          <w:szCs w:val="20"/>
          <w:color w:val="auto"/>
        </w:rPr>
      </w:pPr>
    </w:p>
    <w:p>
      <w:pPr>
        <w:ind w:left="1260" w:right="1299" w:firstLine="284"/>
        <w:spacing w:after="0" w:line="262" w:lineRule="auto"/>
        <w:rPr>
          <w:sz w:val="20"/>
          <w:szCs w:val="20"/>
          <w:color w:val="auto"/>
        </w:rPr>
      </w:pPr>
      <w:r>
        <w:rPr>
          <w:rFonts w:ascii="Times New Roman" w:cs="Times New Roman" w:eastAsia="Times New Roman" w:hAnsi="Times New Roman"/>
          <w:sz w:val="14"/>
          <w:szCs w:val="14"/>
          <w:color w:val="auto"/>
        </w:rPr>
        <w:t>The Company, the Selling Securityholders and Barclays Capital Inc., Goldman Sachs &amp; Co. LLC and J.P. Morgan Securities LLC, acting as representatives of the underwriters named below, have entered into an underwriting agreement with respect to the Class A common stock being offered. Subject to certain conditions, each underwriter has severally agreed to purchase the number of shares of Class A common stock indicated in the following table.</w:t>
      </w:r>
    </w:p>
    <w:p>
      <w:pPr>
        <w:spacing w:after="0" w:line="107" w:lineRule="exact"/>
        <w:rPr>
          <w:sz w:val="20"/>
          <w:szCs w:val="20"/>
          <w:color w:val="auto"/>
        </w:rPr>
      </w:pPr>
    </w:p>
    <w:tbl>
      <w:tblPr>
        <w:tblLayout w:type="fixed"/>
        <w:tblInd w:w="1540" w:type="dxa"/>
        <w:tblCellMar>
          <w:top w:w="0" w:type="dxa"/>
          <w:left w:w="0" w:type="dxa"/>
          <w:bottom w:w="0" w:type="dxa"/>
          <w:right w:w="0" w:type="dxa"/>
        </w:tblCellMar>
      </w:tblPr>
      <w:tr>
        <w:trPr>
          <w:trHeight w:val="128"/>
        </w:trPr>
        <w:tc>
          <w:tcPr>
            <w:tcW w:w="5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Number</w:t>
            </w:r>
          </w:p>
        </w:tc>
      </w:tr>
      <w:tr>
        <w:trPr>
          <w:trHeight w:val="168"/>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Pr>
          <w:p>
            <w:pPr>
              <w:spacing w:after="0"/>
              <w:rPr>
                <w:sz w:val="14"/>
                <w:szCs w:val="14"/>
                <w:color w:val="auto"/>
              </w:rPr>
            </w:pPr>
          </w:p>
        </w:tc>
        <w:tc>
          <w:tcPr>
            <w:tcW w:w="60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0"/>
                <w:szCs w:val="10"/>
                <w:b w:val="1"/>
                <w:bCs w:val="1"/>
                <w:color w:val="auto"/>
              </w:rPr>
              <w:t xml:space="preserve">of shares  </w:t>
            </w:r>
            <w:r>
              <w:rPr>
                <w:rFonts w:ascii="Times New Roman" w:cs="Times New Roman" w:eastAsia="Times New Roman" w:hAnsi="Times New Roman"/>
                <w:sz w:val="19"/>
                <w:szCs w:val="19"/>
                <w:b w:val="1"/>
                <w:bCs w:val="1"/>
                <w:color w:val="auto"/>
                <w:vertAlign w:val="subscript"/>
              </w:rPr>
              <w:t>​</w:t>
            </w:r>
          </w:p>
        </w:tc>
      </w:tr>
      <w:tr>
        <w:trPr>
          <w:trHeight w:val="20"/>
        </w:trPr>
        <w:tc>
          <w:tcPr>
            <w:tcW w:w="5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Barclays Capital Inc.</w:t>
            </w: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 4,888,889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Goldman Sachs &amp; Co. LLC</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4,888,889​</w:t>
            </w:r>
          </w:p>
        </w:tc>
      </w:tr>
      <w:tr>
        <w:trPr>
          <w:trHeight w:val="20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J.P. Morgan Securities LLC</w:t>
            </w: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 4,888,889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BNP Paribas Securities Corp.</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888,889​</w:t>
            </w:r>
          </w:p>
        </w:tc>
      </w:tr>
      <w:tr>
        <w:trPr>
          <w:trHeight w:val="20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4"/>
                <w:szCs w:val="14"/>
                <w:color w:val="auto"/>
              </w:rPr>
              <w:t>888,889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Mizuho Securities USA LLC</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888,889​</w:t>
            </w:r>
          </w:p>
        </w:tc>
      </w:tr>
      <w:tr>
        <w:trPr>
          <w:trHeight w:val="21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Morgan Stanley &amp; Co. LLC</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4"/>
                <w:szCs w:val="14"/>
                <w:color w:val="auto"/>
              </w:rPr>
              <w:t>888,889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RBC Capital Markets, LLC</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888,889​</w:t>
            </w:r>
          </w:p>
        </w:tc>
      </w:tr>
      <w:tr>
        <w:trPr>
          <w:trHeight w:val="224"/>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260" w:type="dxa"/>
            <w:vAlign w:val="bottom"/>
            <w:gridSpan w:val="2"/>
            <w:shd w:val="clear" w:color="auto" w:fill="CCEEFF"/>
          </w:tcPr>
          <w:p>
            <w:pPr>
              <w:ind w:left="60"/>
              <w:spacing w:after="0" w:line="223"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5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4"/>
                <w:szCs w:val="14"/>
                <w:color w:val="auto"/>
              </w:rPr>
              <w:t>888,888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3"/>
        </w:trPr>
        <w:tc>
          <w:tcPr>
            <w:tcW w:w="5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​20,000,000</w:t>
            </w:r>
            <w:r>
              <w:rPr>
                <w:rFonts w:ascii="Times New Roman" w:cs="Times New Roman" w:eastAsia="Times New Roman" w:hAnsi="Times New Roman"/>
                <w:sz w:val="28"/>
                <w:szCs w:val="28"/>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-1420495</wp:posOffset>
            </wp:positionV>
            <wp:extent cx="10795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ind w:left="1260" w:right="1299" w:firstLine="284"/>
        <w:spacing w:after="0" w:line="255" w:lineRule="auto"/>
        <w:rPr>
          <w:sz w:val="20"/>
          <w:szCs w:val="20"/>
          <w:color w:val="auto"/>
        </w:rPr>
      </w:pPr>
      <w:r>
        <w:rPr>
          <w:rFonts w:ascii="Times New Roman" w:cs="Times New Roman" w:eastAsia="Times New Roman" w:hAnsi="Times New Roman"/>
          <w:sz w:val="14"/>
          <w:szCs w:val="14"/>
          <w:color w:val="auto"/>
        </w:rPr>
        <w:t>The underwriters and the representatives are collectively referred to as the “underwriters” and the “representatives,” respectively. The underwriters are offering the Class A common stock subject to their acceptance of the Class A common stock from us and subject to prior sale. The underwriting agreement provides that the obligations of the several underwriters to pay for and accept delivery of the Class A common stock offered by this prospectus are subject to the approval of certain legal matters by their counsel and to certain other conditions. The underwriters are obligated to take and pay for all of the Class A common stock offered by this prospectus if any such shares are taken.</w:t>
      </w:r>
    </w:p>
    <w:p>
      <w:pPr>
        <w:spacing w:after="0" w:line="97" w:lineRule="exact"/>
        <w:rPr>
          <w:sz w:val="20"/>
          <w:szCs w:val="20"/>
          <w:color w:val="auto"/>
        </w:rPr>
      </w:pPr>
    </w:p>
    <w:p>
      <w:pPr>
        <w:ind w:left="1260" w:right="1439" w:firstLine="284"/>
        <w:spacing w:after="0" w:line="265" w:lineRule="auto"/>
        <w:rPr>
          <w:sz w:val="20"/>
          <w:szCs w:val="20"/>
          <w:color w:val="auto"/>
        </w:rPr>
      </w:pPr>
      <w:r>
        <w:rPr>
          <w:rFonts w:ascii="Times New Roman" w:cs="Times New Roman" w:eastAsia="Times New Roman" w:hAnsi="Times New Roman"/>
          <w:sz w:val="14"/>
          <w:szCs w:val="14"/>
          <w:color w:val="auto"/>
        </w:rPr>
        <w:t>The underwriters initially propose to offer part of the Class A common stock directly to the public at the offering price listed on the cover page of this prospectus and part to certain dealers. After the initial offering of the Class A common stock, the offering price and other selling terms may from time to time be varied by the representatives.</w:t>
      </w:r>
    </w:p>
    <w:p>
      <w:pPr>
        <w:spacing w:after="0" w:line="77" w:lineRule="exact"/>
        <w:rPr>
          <w:sz w:val="20"/>
          <w:szCs w:val="20"/>
          <w:color w:val="auto"/>
        </w:rPr>
      </w:pPr>
    </w:p>
    <w:p>
      <w:pPr>
        <w:ind w:left="1260" w:right="1299" w:firstLine="284"/>
        <w:spacing w:after="0" w:line="260" w:lineRule="auto"/>
        <w:rPr>
          <w:sz w:val="20"/>
          <w:szCs w:val="20"/>
          <w:color w:val="auto"/>
        </w:rPr>
      </w:pPr>
      <w:r>
        <w:rPr>
          <w:rFonts w:ascii="Times New Roman" w:cs="Times New Roman" w:eastAsia="Times New Roman" w:hAnsi="Times New Roman"/>
          <w:sz w:val="14"/>
          <w:szCs w:val="14"/>
          <w:color w:val="auto"/>
        </w:rPr>
        <w:t>The Selling Securityholders have granted to the underwriters an option, exercisable for 30 days from the date of this prospectus, to purchase up to 3,000,000 additional common shares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common shares as the number listed next to the underwriter’s name in the preceding table bears to the total number of common shares listed next to the names of all underwriters in the preceding table.</w:t>
      </w:r>
    </w:p>
    <w:p>
      <w:pPr>
        <w:spacing w:after="0" w:line="263" w:lineRule="exact"/>
        <w:rPr>
          <w:sz w:val="20"/>
          <w:szCs w:val="20"/>
          <w:color w:val="auto"/>
        </w:rPr>
      </w:pPr>
    </w:p>
    <w:p>
      <w:pPr>
        <w:jc w:val="both"/>
        <w:ind w:left="1260" w:right="1339" w:firstLine="284"/>
        <w:spacing w:after="0" w:line="261" w:lineRule="auto"/>
        <w:rPr>
          <w:sz w:val="20"/>
          <w:szCs w:val="20"/>
          <w:color w:val="auto"/>
        </w:rPr>
      </w:pPr>
      <w:r>
        <w:rPr>
          <w:rFonts w:ascii="Times New Roman" w:cs="Times New Roman" w:eastAsia="Times New Roman" w:hAnsi="Times New Roman"/>
          <w:sz w:val="14"/>
          <w:szCs w:val="14"/>
          <w:color w:val="auto"/>
        </w:rPr>
        <w:t>The following table shows the per share and total public offering price and underwriting discounts and commissions, and we will not receive any proceeds from the sale of shares of Class A common stock by the Selling Securityholders.</w:t>
      </w:r>
    </w:p>
    <w:tbl>
      <w:tblPr>
        <w:tblLayout w:type="fixed"/>
        <w:tblInd w:w="1540" w:type="dxa"/>
        <w:tblCellMar>
          <w:top w:w="0" w:type="dxa"/>
          <w:left w:w="0" w:type="dxa"/>
          <w:bottom w:w="0" w:type="dxa"/>
          <w:right w:w="0" w:type="dxa"/>
        </w:tblCellMar>
      </w:tblPr>
      <w:tr>
        <w:trPr>
          <w:trHeight w:val="288"/>
        </w:trPr>
        <w:tc>
          <w:tcPr>
            <w:tcW w:w="3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440" w:type="dxa"/>
            <w:vAlign w:val="bottom"/>
            <w:gridSpan w:val="5"/>
          </w:tcPr>
          <w:p>
            <w:pPr>
              <w:ind w:left="4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Per Share  </w:t>
            </w:r>
            <w:r>
              <w:rPr>
                <w:rFonts w:ascii="Times New Roman" w:cs="Times New Roman" w:eastAsia="Times New Roman" w:hAnsi="Times New Roman"/>
                <w:sz w:val="22"/>
                <w:szCs w:val="22"/>
                <w:b w:val="1"/>
                <w:bCs w:val="1"/>
                <w:color w:val="auto"/>
                <w:vertAlign w:val="subscript"/>
              </w:rPr>
              <w:t>​ ​</w:t>
            </w:r>
          </w:p>
        </w:tc>
        <w:tc>
          <w:tcPr>
            <w:tcW w:w="6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38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offering price</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3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21.00​​ ​​$420,000,000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Underwriting discounts and commissions</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0.4725​​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9,450,000​</w:t>
            </w:r>
          </w:p>
        </w:tc>
      </w:tr>
      <w:tr>
        <w:trPr>
          <w:trHeight w:val="20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to the Selling Securityholders, before expenses</w:t>
            </w:r>
          </w:p>
        </w:tc>
        <w:tc>
          <w:tcPr>
            <w:tcW w:w="2080" w:type="dxa"/>
            <w:vAlign w:val="bottom"/>
            <w:gridSpan w:val="6"/>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​​$20.5275​​ ​​$410,550,000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-391795</wp:posOffset>
            </wp:positionV>
            <wp:extent cx="323913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3239135" cy="6985"/>
                    </a:xfrm>
                    <a:prstGeom prst="rect">
                      <a:avLst/>
                    </a:prstGeom>
                    <a:noFill/>
                  </pic:spPr>
                </pic:pic>
              </a:graphicData>
            </a:graphic>
          </wp:anchor>
        </w:drawing>
      </w:r>
    </w:p>
    <w:p>
      <w:pPr>
        <w:spacing w:after="0" w:line="93" w:lineRule="exact"/>
        <w:rPr>
          <w:sz w:val="20"/>
          <w:szCs w:val="20"/>
          <w:color w:val="auto"/>
        </w:rPr>
      </w:pPr>
    </w:p>
    <w:p>
      <w:pPr>
        <w:ind w:left="1260" w:right="1279" w:firstLine="284"/>
        <w:spacing w:after="0" w:line="271" w:lineRule="auto"/>
        <w:rPr>
          <w:sz w:val="20"/>
          <w:szCs w:val="20"/>
          <w:color w:val="auto"/>
        </w:rPr>
      </w:pPr>
      <w:r>
        <w:rPr>
          <w:rFonts w:ascii="Times New Roman" w:cs="Times New Roman" w:eastAsia="Times New Roman" w:hAnsi="Times New Roman"/>
          <w:sz w:val="14"/>
          <w:szCs w:val="14"/>
          <w:color w:val="auto"/>
        </w:rPr>
        <w:t>The estimated offering expenses payable by us are approximately $860,000. We have also agreed to reimburse the underwriters for up to $25,000 for certain of its out-of-pocket expenses incurred in connection with this offering.</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 w:name="page26"/>
    <w:bookmarkEnd w:id="25"/>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79" w:firstLine="284"/>
        <w:spacing w:after="0" w:line="289" w:lineRule="auto"/>
        <w:rPr>
          <w:sz w:val="20"/>
          <w:szCs w:val="20"/>
          <w:color w:val="auto"/>
        </w:rPr>
      </w:pPr>
      <w:r>
        <w:rPr>
          <w:rFonts w:ascii="Times New Roman" w:cs="Times New Roman" w:eastAsia="Times New Roman" w:hAnsi="Times New Roman"/>
          <w:sz w:val="14"/>
          <w:szCs w:val="14"/>
          <w:color w:val="auto"/>
        </w:rPr>
        <w:t>Our Class A common stock has been approved for listing on the Nasdaq Select Global Market under the trading symbol “FLNC.”</w:t>
      </w:r>
    </w:p>
    <w:p>
      <w:pPr>
        <w:spacing w:after="0" w:line="60" w:lineRule="exact"/>
        <w:rPr>
          <w:sz w:val="20"/>
          <w:szCs w:val="20"/>
          <w:color w:val="auto"/>
        </w:rPr>
      </w:pPr>
    </w:p>
    <w:p>
      <w:pPr>
        <w:ind w:left="1260" w:right="1519" w:firstLine="284"/>
        <w:spacing w:after="0" w:line="248" w:lineRule="auto"/>
        <w:rPr>
          <w:sz w:val="20"/>
          <w:szCs w:val="20"/>
          <w:color w:val="auto"/>
        </w:rPr>
      </w:pPr>
      <w:r>
        <w:rPr>
          <w:rFonts w:ascii="Times New Roman" w:cs="Times New Roman" w:eastAsia="Times New Roman" w:hAnsi="Times New Roman"/>
          <w:sz w:val="14"/>
          <w:szCs w:val="14"/>
          <w:color w:val="auto"/>
        </w:rPr>
        <w:t>We, the Selling Securityholders and our directors and officers have agreed that, without the prior written consent of the representatives on behalf of the underwriters, we and they will not, and will not publicly disclose an intention to, during the period beginning on the date of the lock-up agreement and ending at the close of business 30 days after the date of the final prospectus relating to this offering with respect to us and 45 days after the date of the final prospectus relating to this offering with respect to the Selling Securityholders and our directors and officers (such periods, the “restricted period”):</w:t>
      </w:r>
    </w:p>
    <w:p>
      <w:pPr>
        <w:spacing w:after="0" w:line="56" w:lineRule="exact"/>
        <w:rPr>
          <w:sz w:val="20"/>
          <w:szCs w:val="20"/>
          <w:color w:val="auto"/>
        </w:rPr>
      </w:pPr>
    </w:p>
    <w:p>
      <w:pPr>
        <w:ind w:left="1700" w:right="1359" w:hanging="149"/>
        <w:spacing w:after="0" w:line="265"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pledge, sell, contract to sell, sell any option or contract to purchase, purchase any option or contract to sell, grant any option, right or warrant to purchase, lend, or otherwise transfer or dispose of, directly or indirectly, any Class A common stock or any securities convertible into or exercisable or exchangeable for Class A common stock;</w:t>
      </w:r>
    </w:p>
    <w:p>
      <w:pPr>
        <w:spacing w:after="0" w:line="55" w:lineRule="exact"/>
        <w:rPr>
          <w:rFonts w:ascii="Times New Roman" w:cs="Times New Roman" w:eastAsia="Times New Roman" w:hAnsi="Times New Roman"/>
          <w:sz w:val="14"/>
          <w:szCs w:val="14"/>
          <w:color w:val="auto"/>
        </w:rPr>
      </w:pPr>
    </w:p>
    <w:p>
      <w:pPr>
        <w:ind w:left="1700" w:right="1359" w:hanging="149"/>
        <w:spacing w:after="0" w:line="289"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any registration statement with the SEC relating to the offering of any Class A common stock or any securities convertible into or exercisable or exchangeable for Class A common stock; or</w:t>
      </w:r>
    </w:p>
    <w:p>
      <w:pPr>
        <w:spacing w:after="0" w:line="38" w:lineRule="exact"/>
        <w:rPr>
          <w:rFonts w:ascii="Times New Roman" w:cs="Times New Roman" w:eastAsia="Times New Roman" w:hAnsi="Times New Roman"/>
          <w:sz w:val="14"/>
          <w:szCs w:val="14"/>
          <w:color w:val="auto"/>
        </w:rPr>
      </w:pPr>
    </w:p>
    <w:p>
      <w:pPr>
        <w:ind w:left="1700" w:right="1579" w:hanging="149"/>
        <w:spacing w:after="0" w:line="289"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or other arrangement that transfers to another, in whole or in part, any of the economic consequences of ownership of the Class A common stock,</w:t>
      </w:r>
    </w:p>
    <w:p>
      <w:pPr>
        <w:spacing w:after="0" w:line="70" w:lineRule="exact"/>
        <w:rPr>
          <w:sz w:val="20"/>
          <w:szCs w:val="20"/>
          <w:color w:val="auto"/>
        </w:rPr>
      </w:pPr>
    </w:p>
    <w:p>
      <w:pPr>
        <w:ind w:left="1260" w:right="1299"/>
        <w:spacing w:after="0" w:line="249" w:lineRule="auto"/>
        <w:rPr>
          <w:sz w:val="20"/>
          <w:szCs w:val="20"/>
          <w:color w:val="auto"/>
        </w:rPr>
      </w:pPr>
      <w:r>
        <w:rPr>
          <w:rFonts w:ascii="Times New Roman" w:cs="Times New Roman" w:eastAsia="Times New Roman" w:hAnsi="Times New Roman"/>
          <w:sz w:val="14"/>
          <w:szCs w:val="14"/>
          <w:color w:val="auto"/>
        </w:rPr>
        <w:t>whether any such transaction described above is to be settled by delivery of Class A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Class A common stock or any security convertible into or exercisable or exchangeable for Class A common stock, as used in the following ten numbered paragraphs, the term “Common Stock” refers to the shares of our common stock, including any shares of Class A common stock.</w:t>
      </w:r>
    </w:p>
    <w:p>
      <w:pPr>
        <w:spacing w:after="0" w:line="87" w:lineRule="exact"/>
        <w:rPr>
          <w:sz w:val="20"/>
          <w:szCs w:val="20"/>
          <w:color w:val="auto"/>
        </w:rPr>
      </w:pPr>
    </w:p>
    <w:p>
      <w:pPr>
        <w:ind w:left="1260" w:right="1839" w:firstLine="284"/>
        <w:spacing w:after="0" w:line="273" w:lineRule="auto"/>
        <w:rPr>
          <w:sz w:val="20"/>
          <w:szCs w:val="20"/>
          <w:color w:val="auto"/>
        </w:rPr>
      </w:pPr>
      <w:r>
        <w:rPr>
          <w:rFonts w:ascii="Times New Roman" w:cs="Times New Roman" w:eastAsia="Times New Roman" w:hAnsi="Times New Roman"/>
          <w:sz w:val="14"/>
          <w:szCs w:val="14"/>
          <w:color w:val="auto"/>
        </w:rPr>
        <w:t>The restrictions described in the immediately preceding paragraphs do not apply to the Selling Securityholders, our directors and officers with respect to:</w:t>
      </w:r>
    </w:p>
    <w:p>
      <w:pPr>
        <w:spacing w:after="0" w:line="70" w:lineRule="exact"/>
        <w:rPr>
          <w:sz w:val="20"/>
          <w:szCs w:val="20"/>
          <w:color w:val="auto"/>
        </w:rPr>
      </w:pPr>
    </w:p>
    <w:p>
      <w:pPr>
        <w:ind w:left="1840" w:right="1279" w:hanging="289"/>
        <w:spacing w:after="0" w:line="261" w:lineRule="auto"/>
        <w:tabs>
          <w:tab w:leader="none" w:pos="1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relating to Common Stock or other securities acquired in open market transactions after the completion of the offering of the shares, provided that no filing under Section 16(a) of the Exchange Act reporting a reduction in beneficial ownership of Common Stock shall be required or shall be voluntarily made in connection with subsequent sales of Common Stock or other securities acquired in the offering of the shares or such open market transactions during the restricted period;</w:t>
      </w:r>
    </w:p>
    <w:p>
      <w:pPr>
        <w:spacing w:after="0" w:line="264" w:lineRule="exact"/>
        <w:rPr>
          <w:rFonts w:ascii="Times New Roman" w:cs="Times New Roman" w:eastAsia="Times New Roman" w:hAnsi="Times New Roman"/>
          <w:sz w:val="14"/>
          <w:szCs w:val="14"/>
          <w:color w:val="auto"/>
        </w:rPr>
      </w:pPr>
    </w:p>
    <w:p>
      <w:pPr>
        <w:ind w:left="1840" w:right="1299" w:hanging="289"/>
        <w:spacing w:after="0" w:line="259" w:lineRule="auto"/>
        <w:tabs>
          <w:tab w:leader="none" w:pos="1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Common Stock or any security convertible into or exercisable or exchangeable for Common Stock as a bona fide gift, for bona fide estate planning purposes to an immediate family member or to any trust for the direct or indirect benefit of the lock-up party, provided that (i) each recipient shall sign and deliver a lock-up agreement substantially in the form of the agreed lock-up agreement, (ii) no filing under Section 16(a) of the Exchange Act reporting a reduction in beneficial ownership of Common Stock shall be required or shall be voluntarily made during the restricted period and (iii) and such transfer does not involve a disposition for value;</w:t>
      </w:r>
    </w:p>
    <w:p>
      <w:pPr>
        <w:spacing w:after="0" w:line="83" w:lineRule="exact"/>
        <w:rPr>
          <w:rFonts w:ascii="Times New Roman" w:cs="Times New Roman" w:eastAsia="Times New Roman" w:hAnsi="Times New Roman"/>
          <w:sz w:val="14"/>
          <w:szCs w:val="14"/>
          <w:color w:val="auto"/>
        </w:rPr>
      </w:pPr>
    </w:p>
    <w:p>
      <w:pPr>
        <w:ind w:left="1840" w:right="1299" w:hanging="289"/>
        <w:spacing w:after="0" w:line="271" w:lineRule="auto"/>
        <w:tabs>
          <w:tab w:leader="none" w:pos="1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Common Stock or any security convertible into or exercisable or exchangeable for Common Stock by will or intestate succession upon the death of the lock-up party, including to the transferee’s nominee or custodian;</w:t>
      </w:r>
    </w:p>
    <w:p>
      <w:pPr>
        <w:spacing w:after="0" w:line="82" w:lineRule="exact"/>
        <w:rPr>
          <w:rFonts w:ascii="Times New Roman" w:cs="Times New Roman" w:eastAsia="Times New Roman" w:hAnsi="Times New Roman"/>
          <w:sz w:val="14"/>
          <w:szCs w:val="14"/>
          <w:color w:val="auto"/>
        </w:rPr>
      </w:pPr>
    </w:p>
    <w:p>
      <w:pPr>
        <w:ind w:left="1840" w:right="1399" w:hanging="289"/>
        <w:spacing w:after="0" w:line="262" w:lineRule="auto"/>
        <w:tabs>
          <w:tab w:leader="none" w:pos="1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Common Stock or any security convertible into or exercisable or exchangeable for Common Stock that occurs by operation of law pursuant to a qualified domestic order or in connection with a divorce settlement or other court order; provided that any filing required under Section 16(a) of the Exchange Act during the restricted period shall clearly indicate in the footnotes thereto that the filing relates to the circumstances described in this clause;</w:t>
      </w:r>
    </w:p>
    <w:p>
      <w:pPr>
        <w:spacing w:after="0" w:line="79" w:lineRule="exact"/>
        <w:rPr>
          <w:rFonts w:ascii="Times New Roman" w:cs="Times New Roman" w:eastAsia="Times New Roman" w:hAnsi="Times New Roman"/>
          <w:sz w:val="14"/>
          <w:szCs w:val="14"/>
          <w:color w:val="auto"/>
        </w:rPr>
      </w:pPr>
    </w:p>
    <w:p>
      <w:pPr>
        <w:ind w:left="1840" w:right="1279" w:hanging="289"/>
        <w:spacing w:after="0" w:line="271" w:lineRule="auto"/>
        <w:tabs>
          <w:tab w:leader="none" w:pos="1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lock-up party is a corporation, partnership, limited liability company or other business entity, any transfer or distribution of Common Stock or any security convertible into or exercisable or exchangeable for Common Stock, including, without limitation, LLC Interests to limited</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205740</wp:posOffset>
            </wp:positionV>
            <wp:extent cx="53879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6" w:name="page27"/>
    <w:bookmarkEnd w:id="26"/>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40" w:right="1319"/>
        <w:spacing w:after="0" w:line="259" w:lineRule="auto"/>
        <w:rPr>
          <w:sz w:val="20"/>
          <w:szCs w:val="20"/>
          <w:color w:val="auto"/>
        </w:rPr>
      </w:pPr>
      <w:r>
        <w:rPr>
          <w:rFonts w:ascii="Times New Roman" w:cs="Times New Roman" w:eastAsia="Times New Roman" w:hAnsi="Times New Roman"/>
          <w:sz w:val="14"/>
          <w:szCs w:val="14"/>
          <w:color w:val="auto"/>
        </w:rPr>
        <w:t>partners, members, managers, stockholders or holders of similar equity interests in the lock-up party or to another corporation, partnership, limited liability company, trust or other business entity that is an affiliate (as defined in Rule 405 as promulgated under the Securities Act) of the lock-up party or to any investment fund or other entity controlled or managed by the lock-up party or affiliates of the lock-up party, provided that (i) each transferee shall sign and deliver a lock-up agreement substantially in the form of the agreed lock-up agreement and (ii) no filing under Section 16(a) of the Exchange Act, reporting a reduction in beneficial ownership of Common Stock, shall be required or shall be voluntarily made during the restricted period;</w:t>
      </w:r>
    </w:p>
    <w:p>
      <w:pPr>
        <w:spacing w:after="0" w:line="90" w:lineRule="exact"/>
        <w:rPr>
          <w:sz w:val="20"/>
          <w:szCs w:val="20"/>
          <w:color w:val="auto"/>
        </w:rPr>
      </w:pPr>
    </w:p>
    <w:p>
      <w:pPr>
        <w:ind w:left="1840" w:right="1439" w:hanging="289"/>
        <w:spacing w:after="0" w:line="265" w:lineRule="auto"/>
        <w:tabs>
          <w:tab w:leader="none" w:pos="1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Common Stock or any security convertible into or exercisable or exchangeable for Common Stock to a nominee or custodian of a person or entity to whom a disposition or transfer would be permissible under clauses (1) through (5) above, subject to the same terms and conditions herein;</w:t>
      </w:r>
    </w:p>
    <w:p>
      <w:pPr>
        <w:spacing w:after="0" w:line="87" w:lineRule="exact"/>
        <w:rPr>
          <w:rFonts w:ascii="Times New Roman" w:cs="Times New Roman" w:eastAsia="Times New Roman" w:hAnsi="Times New Roman"/>
          <w:sz w:val="14"/>
          <w:szCs w:val="14"/>
          <w:color w:val="auto"/>
        </w:rPr>
      </w:pPr>
    </w:p>
    <w:p>
      <w:pPr>
        <w:ind w:left="1840" w:right="1299" w:hanging="289"/>
        <w:spacing w:after="0" w:line="259" w:lineRule="auto"/>
        <w:tabs>
          <w:tab w:leader="none" w:pos="1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the Company of shares of Common Stock or any security convertible into or exercisable or exchangeable for Common Stock in connection with the repurchase by the Company from the lock-up party of shares of Common Stock or any security convertible into or exercisable or exchangeable for Common Stock pursuant to a repurchase right arising in connection with the termination of the lock-up party’s employment with or provision of services to the Company; provided that any public announcement or filing under Section 16(a) of the Exchange Act shall clearly indicate in the footnotes thereto that such transfer is being made pursuant to the circumstances described in this clause;</w:t>
      </w:r>
    </w:p>
    <w:p>
      <w:pPr>
        <w:spacing w:after="0" w:line="264" w:lineRule="exact"/>
        <w:rPr>
          <w:rFonts w:ascii="Times New Roman" w:cs="Times New Roman" w:eastAsia="Times New Roman" w:hAnsi="Times New Roman"/>
          <w:sz w:val="14"/>
          <w:szCs w:val="14"/>
          <w:color w:val="auto"/>
        </w:rPr>
      </w:pPr>
    </w:p>
    <w:p>
      <w:pPr>
        <w:ind w:left="1840" w:right="1299" w:hanging="289"/>
        <w:spacing w:after="0" w:line="256" w:lineRule="auto"/>
        <w:tabs>
          <w:tab w:leader="none" w:pos="1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or other disposition of Common Stock or any securities convertible into or exercisable or exchangeable for Common Stock upon a vesting or settlement event of the Company’s securities or upon the exercise of options, restricted share units, share value awards, warrants or other equity awards to purchase the Company’s securities (including any transfer or other disposition necessary to generate such amount of cash needed for the payment of taxes, including estimated taxes, due as a result of such vesting or exercise whether by means of a “net settlement” or otherwise to the Company in the case of a “cashless exercise” or “net exercise” that is effected solely by surrender of outstanding options, restricted share units, share value awards, warrants or other equity awards (or the Common Stock issuable upon the exercise thereof) to the Company and the Company’s cancellation of all or a portion thereof to pay the exercise price and/or withholding tax obligations); provided that any filing under Section 16(a) of the Exchange Act shall clearly indicate in the footnotes thereto that (i) the filing relates to the circumstances described in this clause (8), and (ii) any shares received upon exercise or settlement of the option, restricted share unit, share value award or other equity award or exercise of warrants are subject to a lock-up agreement substantially in the form of the agreed lock-up agreement;</w:t>
      </w:r>
    </w:p>
    <w:p>
      <w:pPr>
        <w:spacing w:after="0" w:line="268" w:lineRule="exact"/>
        <w:rPr>
          <w:rFonts w:ascii="Times New Roman" w:cs="Times New Roman" w:eastAsia="Times New Roman" w:hAnsi="Times New Roman"/>
          <w:sz w:val="14"/>
          <w:szCs w:val="14"/>
          <w:color w:val="auto"/>
        </w:rPr>
      </w:pPr>
    </w:p>
    <w:p>
      <w:pPr>
        <w:ind w:left="1840" w:right="1339" w:hanging="289"/>
        <w:spacing w:after="0" w:line="260" w:lineRule="auto"/>
        <w:tabs>
          <w:tab w:leader="none" w:pos="1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Common Stock pursuant to a bona fide third-party tender offer, merger, consolidation or other similar transaction after the completion of the offering of the shares that is approved by the board of directors of the Company and made to all holders of the Company’s capital stock involving a Change of Control (as defined in the agreed lock-up agreement) of the Company, provided that in the event that such tender offer, merger, consolidation or other such transaction is not completed, the lock-up party’s shares of Common Stock shall remain subject to the provisions of the agreed lock-up agreement;</w:t>
      </w:r>
    </w:p>
    <w:p>
      <w:pPr>
        <w:spacing w:after="0" w:line="252" w:lineRule="exact"/>
        <w:rPr>
          <w:rFonts w:ascii="Times New Roman" w:cs="Times New Roman" w:eastAsia="Times New Roman" w:hAnsi="Times New Roman"/>
          <w:sz w:val="14"/>
          <w:szCs w:val="14"/>
          <w:color w:val="auto"/>
        </w:rPr>
      </w:pPr>
    </w:p>
    <w:p>
      <w:pPr>
        <w:ind w:left="1840" w:right="1319" w:hanging="289"/>
        <w:spacing w:after="0" w:line="260" w:lineRule="auto"/>
        <w:tabs>
          <w:tab w:leader="none" w:pos="1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trading plans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lock-up party or the Company regarding the establishment of such plan, such announcement or filing shall include a statement to the effect that no transfer of Common Stock may be made under such plan during the restricted period;</w:t>
      </w:r>
    </w:p>
    <w:p>
      <w:pPr>
        <w:spacing w:after="0" w:line="263" w:lineRule="exact"/>
        <w:rPr>
          <w:rFonts w:ascii="Times New Roman" w:cs="Times New Roman" w:eastAsia="Times New Roman" w:hAnsi="Times New Roman"/>
          <w:sz w:val="14"/>
          <w:szCs w:val="14"/>
          <w:color w:val="auto"/>
        </w:rPr>
      </w:pPr>
    </w:p>
    <w:p>
      <w:pPr>
        <w:ind w:left="1840" w:right="1439" w:hanging="289"/>
        <w:spacing w:after="0" w:line="289" w:lineRule="auto"/>
        <w:tabs>
          <w:tab w:leader="none" w:pos="1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transfers of Common Stock pursuant to a trading plan established pursuant to Rule 10b5-1 under the Exchange Act entered into by the lock-up party prior to the date 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205740</wp:posOffset>
            </wp:positionV>
            <wp:extent cx="53879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40" w:right="1439"/>
        <w:spacing w:after="0" w:line="289" w:lineRule="auto"/>
        <w:rPr>
          <w:sz w:val="20"/>
          <w:szCs w:val="20"/>
          <w:color w:val="auto"/>
        </w:rPr>
      </w:pPr>
      <w:r>
        <w:rPr>
          <w:rFonts w:ascii="Times New Roman" w:cs="Times New Roman" w:eastAsia="Times New Roman" w:hAnsi="Times New Roman"/>
          <w:sz w:val="14"/>
          <w:szCs w:val="14"/>
          <w:color w:val="auto"/>
        </w:rPr>
        <w:t>filing required under Section 16(a) of the Exchange Act during the restricted period shall clearly indicate in the footnotes thereto that the filing relates to such plan;</w:t>
      </w:r>
    </w:p>
    <w:p>
      <w:pPr>
        <w:spacing w:after="0" w:line="49" w:lineRule="exact"/>
        <w:rPr>
          <w:sz w:val="20"/>
          <w:szCs w:val="20"/>
          <w:color w:val="auto"/>
        </w:rPr>
      </w:pPr>
    </w:p>
    <w:p>
      <w:pPr>
        <w:ind w:left="1840" w:right="1279" w:hanging="289"/>
        <w:spacing w:after="0" w:line="256" w:lineRule="auto"/>
        <w:tabs>
          <w:tab w:leader="none" w:pos="18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shares of Common Stock or any security convertible into or exercisable or exchangeable for Common Stock to the Company or any of its affiliates in connection with the transactions contemplated in the prospectus, upon exercise of the Company’s right to repurchase or reacquire the lock-up party’s Common Stock pursuant to agreements disclosed in the prospectus and in effect on the date of the consummation of the offering of the shares, or as permitted by section 9 of the Fluence Energy LLC Agreement, including in connection with exchanges qualifying under Section 351 of the Internal Revenue Code of 1986, as amended, provided, that any such shares of Common Stock received upon such exchange shall remain subject to the provisions of the agreed lock-up agreement and provided further that, to the extent a public announcement or filing under the Exchange Act, if any, is required of or voluntarily made by or on behalf of the lock-up party or the Company regarding the transfer, conversion, reclassification, redemption or exchange, as applicable, such announcement or filing shall include a statement explaining the circumstances of such transfer, or that such transfer, conversion, reclassification, redemption or exchange, occurred pursuant to the terms of section 9 of the Fluence Energy LLC Agreement, as applicable, and no transfer of the shares of Common Stock or other securities received upon exchange may be made during the restricted period other than as may be permitted by the agreed lock-up agreement;</w:t>
      </w:r>
    </w:p>
    <w:p>
      <w:pPr>
        <w:spacing w:after="0" w:line="266" w:lineRule="exact"/>
        <w:rPr>
          <w:rFonts w:ascii="Times New Roman" w:cs="Times New Roman" w:eastAsia="Times New Roman" w:hAnsi="Times New Roman"/>
          <w:sz w:val="14"/>
          <w:szCs w:val="14"/>
          <w:color w:val="auto"/>
        </w:rPr>
      </w:pPr>
    </w:p>
    <w:p>
      <w:pPr>
        <w:ind w:left="1840" w:hanging="289"/>
        <w:spacing w:after="0"/>
        <w:tabs>
          <w:tab w:leader="none" w:pos="18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Common Stock to the underwriters pursuant to the underwriting agreement; or</w:t>
      </w:r>
    </w:p>
    <w:p>
      <w:pPr>
        <w:spacing w:after="0" w:line="115" w:lineRule="exact"/>
        <w:rPr>
          <w:rFonts w:ascii="Times New Roman" w:cs="Times New Roman" w:eastAsia="Times New Roman" w:hAnsi="Times New Roman"/>
          <w:sz w:val="14"/>
          <w:szCs w:val="14"/>
          <w:color w:val="auto"/>
        </w:rPr>
      </w:pPr>
    </w:p>
    <w:p>
      <w:pPr>
        <w:ind w:left="1840" w:right="1299" w:hanging="289"/>
        <w:spacing w:after="0" w:line="271" w:lineRule="auto"/>
        <w:tabs>
          <w:tab w:leader="none" w:pos="18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with respect to AES Grid Stability, an exchange of shares of Class B-1 common stock for an equivalent number of shares of Class B-2 common stock of the Company, such shares of Class B-2 common stock shall remain subject to the agreed lock-up agreement;</w:t>
      </w:r>
    </w:p>
    <w:p>
      <w:pPr>
        <w:spacing w:after="0" w:line="83" w:lineRule="exact"/>
        <w:rPr>
          <w:sz w:val="20"/>
          <w:szCs w:val="20"/>
          <w:color w:val="auto"/>
        </w:rPr>
      </w:pPr>
    </w:p>
    <w:p>
      <w:pPr>
        <w:ind w:left="1260" w:right="1299" w:firstLine="284"/>
        <w:spacing w:after="0" w:line="244" w:lineRule="auto"/>
        <w:rPr>
          <w:sz w:val="20"/>
          <w:szCs w:val="20"/>
          <w:color w:val="auto"/>
        </w:rPr>
      </w:pPr>
      <w:r>
        <w:rPr>
          <w:rFonts w:ascii="Times New Roman" w:cs="Times New Roman" w:eastAsia="Times New Roman" w:hAnsi="Times New Roman"/>
          <w:sz w:val="14"/>
          <w:szCs w:val="14"/>
          <w:color w:val="auto"/>
        </w:rPr>
        <w:t>If any Major Holder (as defined below) party to a lock- up agreement in connection with this offering is in any way released from, or receives a waiver of, any of its obligations pursuant to such lock-up agreement (including by amendment to the lock-up agreement or otherwise) (a “Released Party”), the other lock-up parties will be similarly and contemporaneously released or waived from its obligations thereunder (which for the avoidance of doubt will include a release or waiver of the same percent of shares of Common Stock as the percent of shares of Common Stock held by the Released Party that are subject to the release or waiver, with such percentage calculated by reference to the aggregate number of shares of Common Stock beneficially owned by the Released Party and persons or entities, if any, identified as associated with such Released Party in a footnote to the beneficial ownership table under the caption “Selling Securityholders” of this prospectus). For purposes of the lock -up agreement, each of the following persons is a “Major Holder”: each officer and director of the Company and each “Selling Securityholder,” as such term is defined in the underwriting agreement pursuant to this offering. Notwithstanding the foregoing, no release or waiver will constitute a release or waiver for purposes of this paragraph, if: (a) such release or waiver is granted to any individual party or parties that represent, individually or in the aggregate with all releases or waivers under this clause (a), an amount less than or equal to 1% of the Company’s total then outstanding Common Stock,</w:t>
      </w:r>
    </w:p>
    <w:p>
      <w:pPr>
        <w:spacing w:after="0" w:line="8" w:lineRule="exact"/>
        <w:rPr>
          <w:sz w:val="20"/>
          <w:szCs w:val="20"/>
          <w:color w:val="auto"/>
        </w:rPr>
      </w:pPr>
    </w:p>
    <w:p>
      <w:pPr>
        <w:ind w:left="1260" w:right="1319" w:firstLine="7"/>
        <w:spacing w:after="0" w:line="241" w:lineRule="auto"/>
        <w:tabs>
          <w:tab w:leader="none" w:pos="147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release or waiver is effected solely to permit a transfer not involving a disposition for value, the transferee has agreed in writing to sign and deliver a lock-up agreement substantially in the form of the agreed lock-up agreement and any filing required under Section 16(a) of the Exchange Act during the Restricted Period related thereto shall clearly indicate in the footnotes thereto that the transferee has delivered a lock-up agreement substantially in the form of the agreed lock-up agreement for this offering, or</w:t>
      </w:r>
    </w:p>
    <w:p>
      <w:pPr>
        <w:spacing w:after="0" w:line="2" w:lineRule="exact"/>
        <w:rPr>
          <w:rFonts w:ascii="Times New Roman" w:cs="Times New Roman" w:eastAsia="Times New Roman" w:hAnsi="Times New Roman"/>
          <w:sz w:val="14"/>
          <w:szCs w:val="14"/>
          <w:color w:val="auto"/>
        </w:rPr>
      </w:pPr>
    </w:p>
    <w:p>
      <w:pPr>
        <w:ind w:left="1260" w:right="1399" w:firstLine="7"/>
        <w:spacing w:after="0" w:line="265" w:lineRule="auto"/>
        <w:tabs>
          <w:tab w:leader="none" w:pos="146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release or waiver is granted due to circumstances of an emergency or hardship as determined by the representatives in their sole judgment.</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In our case, such restrictions shall not apply to:</w:t>
      </w:r>
    </w:p>
    <w:p>
      <w:pPr>
        <w:spacing w:after="0" w:line="129" w:lineRule="exact"/>
        <w:rPr>
          <w:sz w:val="20"/>
          <w:szCs w:val="20"/>
          <w:color w:val="auto"/>
        </w:rPr>
      </w:pPr>
    </w:p>
    <w:p>
      <w:pPr>
        <w:ind w:left="1260" w:right="1299" w:firstLine="291"/>
        <w:spacing w:after="0" w:line="249" w:lineRule="auto"/>
        <w:tabs>
          <w:tab w:leader="none" w:pos="178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to be sold in the offering, (B) the issuance by the Company of shares of Common Stock upon the exercise of an option or warrant, the settlement of restricted stock units or share value award, or the conversion of a convertible loan, note or other security outstanding on December 5, 2023 as described in each of the time of sale prospectus and the prospectus, (C) the grant of options, restricted stock units, share value awards or any other type of equity award pursuant to employee benefit plans in effect on December 5, 2023 and described in the time of sale prospectus and the prospectus (the “Plans”) or the issuance of shares of Common Stock by the Company (whether upon the exercise of stock options or other</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99"/>
        <w:spacing w:after="0" w:line="245" w:lineRule="auto"/>
        <w:rPr>
          <w:sz w:val="20"/>
          <w:szCs w:val="20"/>
          <w:color w:val="auto"/>
        </w:rPr>
      </w:pPr>
      <w:r>
        <w:rPr>
          <w:rFonts w:ascii="Times New Roman" w:cs="Times New Roman" w:eastAsia="Times New Roman" w:hAnsi="Times New Roman"/>
          <w:sz w:val="14"/>
          <w:szCs w:val="14"/>
          <w:color w:val="auto"/>
        </w:rPr>
        <w:t>equity awards) to employees, officers, directors, advisors or consultants of the Company pursuant to the Plans, (D) the filing by the Company of a registration statement on Form S- 8 relating to issuance, vesting, exercise or settlement of equity awards granted or to be granted pursuant to the Plans, (E) the issuance of or entry into an agreement to issue shares of Common Stock or any securities substantially similar to the Common Stock or convertible into or exercisable or exchangeable for Common Stock in connection with one or more mergers, acquisitions or securities, businesses, property or other assets, products or technologies, joint ventures, commercial relationships or other strategic corporate transactions or alliances; provided that the aggregate amount of Common Stock or any securities convertible into or exercisable or exchangeable for Common Stock (on an as-converted, as-exercised or as- exchanged basis) that the Company may issue or agree to issue pursuant to this clause (E) shall not exceed 10% of the total number of shares of Common Stock of the Company issued and outstanding immediately following the completion of the transactions contemplated by the underwriting agreement determined on a fully diluted basis, and provided further, that each recipient of shares of Common Stock or any securities convertible into or exercisable or exchangeable for shares of Common Stock pursuant to this clause (E) shall execute a lock-up agreement substantially in the form of Exhibit A to the underwriting agreement, or (F) facilitating the establishing of a trading plan on behalf of a stockholder, officer or director of the Company pursuant to Rule 10b5-1 under the Exchange Act for the transfer of shares of Common Stock, provided that (i) such plan does not provide for the transfer of shares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shares of Common Stock may be made under such plan during the restricted period.</w:t>
      </w:r>
    </w:p>
    <w:p>
      <w:pPr>
        <w:spacing w:after="0" w:line="200" w:lineRule="exact"/>
        <w:rPr>
          <w:sz w:val="20"/>
          <w:szCs w:val="20"/>
          <w:color w:val="auto"/>
        </w:rPr>
      </w:pPr>
    </w:p>
    <w:p>
      <w:pPr>
        <w:spacing w:after="0" w:line="219" w:lineRule="exact"/>
        <w:rPr>
          <w:sz w:val="20"/>
          <w:szCs w:val="20"/>
          <w:color w:val="auto"/>
        </w:rPr>
      </w:pPr>
    </w:p>
    <w:p>
      <w:pPr>
        <w:ind w:left="1260" w:right="1299" w:firstLine="284"/>
        <w:spacing w:after="0" w:line="289" w:lineRule="auto"/>
        <w:rPr>
          <w:sz w:val="20"/>
          <w:szCs w:val="20"/>
          <w:color w:val="auto"/>
        </w:rPr>
      </w:pPr>
      <w:r>
        <w:rPr>
          <w:rFonts w:ascii="Times New Roman" w:cs="Times New Roman" w:eastAsia="Times New Roman" w:hAnsi="Times New Roman"/>
          <w:sz w:val="14"/>
          <w:szCs w:val="14"/>
          <w:color w:val="auto"/>
        </w:rPr>
        <w:t>The representatives, in their sole discretion, may release the Class A common stock and other securities subject to the lock-up agreements described above in whole or in part at any time.</w:t>
      </w:r>
    </w:p>
    <w:p>
      <w:pPr>
        <w:spacing w:after="0" w:line="60" w:lineRule="exact"/>
        <w:rPr>
          <w:sz w:val="20"/>
          <w:szCs w:val="20"/>
          <w:color w:val="auto"/>
        </w:rPr>
      </w:pPr>
    </w:p>
    <w:p>
      <w:pPr>
        <w:ind w:left="1260" w:right="1319" w:firstLine="284"/>
        <w:spacing w:after="0" w:line="245" w:lineRule="auto"/>
        <w:rPr>
          <w:sz w:val="20"/>
          <w:szCs w:val="20"/>
          <w:color w:val="auto"/>
        </w:rPr>
      </w:pPr>
      <w:r>
        <w:rPr>
          <w:rFonts w:ascii="Times New Roman" w:cs="Times New Roman" w:eastAsia="Times New Roman" w:hAnsi="Times New Roman"/>
          <w:sz w:val="14"/>
          <w:szCs w:val="14"/>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The underwriters can close out a covered short sale by purchasing shares in the open market. In determining the source of shares to close out a covered short sale, the underwriters will consider, among other things, the open market price of shares. The underwriters may also sell shares in excess of the amount of shares which they have committed to purchase,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257" w:lineRule="exact"/>
        <w:rPr>
          <w:sz w:val="20"/>
          <w:szCs w:val="20"/>
          <w:color w:val="auto"/>
        </w:rPr>
      </w:pPr>
    </w:p>
    <w:p>
      <w:pPr>
        <w:ind w:left="1260" w:right="1579" w:firstLine="284"/>
        <w:spacing w:after="0" w:line="273" w:lineRule="auto"/>
        <w:rPr>
          <w:sz w:val="20"/>
          <w:szCs w:val="20"/>
          <w:color w:val="auto"/>
        </w:rPr>
      </w:pPr>
      <w:r>
        <w:rPr>
          <w:rFonts w:ascii="Times New Roman" w:cs="Times New Roman" w:eastAsia="Times New Roman" w:hAnsi="Times New Roman"/>
          <w:sz w:val="14"/>
          <w:szCs w:val="14"/>
          <w:color w:val="auto"/>
        </w:rPr>
        <w:t>The underwriters may offer and sell the Class A common stock through certain of their affiliates or other registered broker-dealers or selling agents.</w:t>
      </w:r>
    </w:p>
    <w:p>
      <w:pPr>
        <w:spacing w:after="0" w:line="70" w:lineRule="exact"/>
        <w:rPr>
          <w:sz w:val="20"/>
          <w:szCs w:val="20"/>
          <w:color w:val="auto"/>
        </w:rPr>
      </w:pPr>
    </w:p>
    <w:p>
      <w:pPr>
        <w:ind w:left="1260" w:right="1659" w:firstLine="284"/>
        <w:spacing w:after="0" w:line="273" w:lineRule="auto"/>
        <w:rPr>
          <w:sz w:val="20"/>
          <w:szCs w:val="20"/>
          <w:color w:val="auto"/>
        </w:rPr>
      </w:pPr>
      <w:r>
        <w:rPr>
          <w:rFonts w:ascii="Times New Roman" w:cs="Times New Roman" w:eastAsia="Times New Roman" w:hAnsi="Times New Roman"/>
          <w:sz w:val="14"/>
          <w:szCs w:val="14"/>
          <w:color w:val="auto"/>
        </w:rPr>
        <w:t>We, the Selling Securityholders and the underwriters have agreed to indemnify each other against certain liabilities, including liabilities under the Securities Act.</w:t>
      </w:r>
    </w:p>
    <w:p>
      <w:pPr>
        <w:spacing w:after="0" w:line="70" w:lineRule="exact"/>
        <w:rPr>
          <w:sz w:val="20"/>
          <w:szCs w:val="20"/>
          <w:color w:val="auto"/>
        </w:rPr>
      </w:pPr>
    </w:p>
    <w:p>
      <w:pPr>
        <w:ind w:left="1260" w:right="1319" w:firstLine="284"/>
        <w:spacing w:after="0" w:line="255"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websites maintained by one or more underwriters participating in this offering. The representatives may agree to allocate a number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3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129" w:lineRule="exact"/>
        <w:rPr>
          <w:sz w:val="20"/>
          <w:szCs w:val="20"/>
          <w:color w:val="auto"/>
        </w:rPr>
      </w:pPr>
    </w:p>
    <w:p>
      <w:pPr>
        <w:ind w:left="1260" w:right="1339" w:firstLine="284"/>
        <w:spacing w:after="0" w:line="273"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79"/>
        <w:spacing w:after="0" w:line="250" w:lineRule="auto"/>
        <w:rPr>
          <w:sz w:val="20"/>
          <w:szCs w:val="20"/>
          <w:color w:val="auto"/>
        </w:rPr>
      </w:pPr>
      <w:r>
        <w:rPr>
          <w:rFonts w:ascii="Times New Roman" w:cs="Times New Roman" w:eastAsia="Times New Roman" w:hAnsi="Times New Roman"/>
          <w:sz w:val="14"/>
          <w:szCs w:val="14"/>
          <w:color w:val="auto"/>
        </w:rPr>
        <w:t>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Certain affiliates of the underwriters are lenders under the senior secured cash flow revolving credit facility, including: (a) an affiliate of Barclays Capital Inc. is acting joint lead arranger, joint bookrunner and issuing bank, (b) an affiliate of Goldman Sachs &amp; Co. LLC is a lender and (c) an affiliate of J.P. Morgan Securities LLC is acting as joint lead arranger, joint bookrunner and issuing bank.</w:t>
      </w:r>
    </w:p>
    <w:p>
      <w:pPr>
        <w:spacing w:after="0" w:line="253" w:lineRule="exact"/>
        <w:rPr>
          <w:sz w:val="20"/>
          <w:szCs w:val="20"/>
          <w:color w:val="auto"/>
        </w:rPr>
      </w:pPr>
    </w:p>
    <w:p>
      <w:pPr>
        <w:ind w:left="1260" w:right="1339" w:firstLine="284"/>
        <w:spacing w:after="0" w:line="246" w:lineRule="auto"/>
        <w:rPr>
          <w:sz w:val="20"/>
          <w:szCs w:val="20"/>
          <w:color w:val="auto"/>
        </w:rPr>
      </w:pPr>
      <w:r>
        <w:rPr>
          <w:rFonts w:ascii="Times New Roman" w:cs="Times New Roman" w:eastAsia="Times New Roman" w:hAnsi="Times New Roman"/>
          <w:sz w:val="14"/>
          <w:szCs w:val="14"/>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3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120" w:lineRule="exact"/>
        <w:rPr>
          <w:sz w:val="20"/>
          <w:szCs w:val="20"/>
          <w:color w:val="auto"/>
        </w:rPr>
      </w:pPr>
    </w:p>
    <w:p>
      <w:pPr>
        <w:ind w:left="1260" w:right="1419" w:firstLine="284"/>
        <w:spacing w:after="0" w:line="249"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Member State, no shares of common stock have been offered or will be offered pursuant to the offering to the public in that Relevant Member State prior to the publication of a prospectus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87" w:lineRule="exact"/>
        <w:rPr>
          <w:sz w:val="20"/>
          <w:szCs w:val="20"/>
          <w:color w:val="auto"/>
        </w:rPr>
      </w:pPr>
    </w:p>
    <w:p>
      <w:pPr>
        <w:ind w:left="1840" w:right="1739" w:hanging="289"/>
        <w:spacing w:after="0" w:line="289" w:lineRule="auto"/>
        <w:tabs>
          <w:tab w:leader="none" w:pos="1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70" w:lineRule="exact"/>
        <w:rPr>
          <w:rFonts w:ascii="Times New Roman" w:cs="Times New Roman" w:eastAsia="Times New Roman" w:hAnsi="Times New Roman"/>
          <w:sz w:val="14"/>
          <w:szCs w:val="14"/>
          <w:color w:val="auto"/>
        </w:rPr>
      </w:pPr>
    </w:p>
    <w:p>
      <w:pPr>
        <w:ind w:left="1840" w:right="1639" w:hanging="289"/>
        <w:spacing w:after="0" w:line="289" w:lineRule="auto"/>
        <w:tabs>
          <w:tab w:leader="none" w:pos="1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the Prospectus Regulation), subject to obtaining the prior consent of the representatives; or</w:t>
      </w:r>
    </w:p>
    <w:p>
      <w:pPr>
        <w:spacing w:after="0" w:line="59" w:lineRule="exact"/>
        <w:rPr>
          <w:rFonts w:ascii="Times New Roman" w:cs="Times New Roman" w:eastAsia="Times New Roman" w:hAnsi="Times New Roman"/>
          <w:sz w:val="14"/>
          <w:szCs w:val="14"/>
          <w:color w:val="auto"/>
        </w:rPr>
      </w:pPr>
    </w:p>
    <w:p>
      <w:pPr>
        <w:ind w:left="1840" w:hanging="289"/>
        <w:spacing w:after="0"/>
        <w:tabs>
          <w:tab w:leader="none" w:pos="1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27" w:lineRule="exact"/>
        <w:rPr>
          <w:sz w:val="20"/>
          <w:szCs w:val="20"/>
          <w:color w:val="auto"/>
        </w:rPr>
      </w:pPr>
    </w:p>
    <w:p>
      <w:pPr>
        <w:ind w:left="1260" w:right="1739"/>
        <w:spacing w:after="0" w:line="255" w:lineRule="auto"/>
        <w:rPr>
          <w:sz w:val="20"/>
          <w:szCs w:val="20"/>
          <w:color w:val="auto"/>
        </w:rPr>
      </w:pPr>
      <w:r>
        <w:rPr>
          <w:rFonts w:ascii="Times New Roman" w:cs="Times New Roman" w:eastAsia="Times New Roman" w:hAnsi="Times New Roman"/>
          <w:sz w:val="14"/>
          <w:szCs w:val="14"/>
          <w:color w:val="auto"/>
        </w:rPr>
        <w:t>provided that no such offer of the shares shall require us or any of our representatives to publish a prospectus pursuant to Article 3 of the Prospectus Regulation or supplement a prospectus pursuant to Article 23 of the Prospectus Regulation.</w:t>
      </w:r>
    </w:p>
    <w:p>
      <w:pPr>
        <w:spacing w:after="0" w:line="83" w:lineRule="exact"/>
        <w:rPr>
          <w:sz w:val="20"/>
          <w:szCs w:val="20"/>
          <w:color w:val="auto"/>
        </w:rPr>
      </w:pPr>
    </w:p>
    <w:p>
      <w:pPr>
        <w:ind w:left="1260" w:right="1519" w:firstLine="284"/>
        <w:spacing w:after="0" w:line="265"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88" w:lineRule="exact"/>
        <w:rPr>
          <w:sz w:val="20"/>
          <w:szCs w:val="20"/>
          <w:color w:val="auto"/>
        </w:rPr>
      </w:pPr>
    </w:p>
    <w:p>
      <w:pPr>
        <w:ind w:left="1260" w:right="1359" w:firstLine="284"/>
        <w:spacing w:after="0" w:line="271" w:lineRule="auto"/>
        <w:rPr>
          <w:sz w:val="20"/>
          <w:szCs w:val="20"/>
          <w:color w:val="auto"/>
        </w:rPr>
      </w:pPr>
      <w:r>
        <w:rPr>
          <w:rFonts w:ascii="Times New Roman" w:cs="Times New Roman" w:eastAsia="Times New Roman" w:hAnsi="Times New Roman"/>
          <w:sz w:val="14"/>
          <w:szCs w:val="14"/>
          <w:color w:val="auto"/>
        </w:rPr>
        <w:t>Each person in a Relevant Member State who receives any communication in respect of, or who acquires any shares under, the offering contemplated hereby will be deemed to have represented, warranted and agreed to and with each of the representatives and their affiliates and the Company that:</w:t>
      </w:r>
    </w:p>
    <w:p>
      <w:pPr>
        <w:spacing w:after="0" w:line="83" w:lineRule="exact"/>
        <w:rPr>
          <w:sz w:val="20"/>
          <w:szCs w:val="20"/>
          <w:color w:val="auto"/>
        </w:rPr>
      </w:pPr>
    </w:p>
    <w:p>
      <w:pPr>
        <w:ind w:left="1840" w:hanging="289"/>
        <w:spacing w:after="0"/>
        <w:tabs>
          <w:tab w:leader="none" w:pos="1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a qualified investor within the meaning of the Prospectus Regulation; and</w:t>
      </w:r>
    </w:p>
    <w:p>
      <w:pPr>
        <w:spacing w:after="0" w:line="115" w:lineRule="exact"/>
        <w:rPr>
          <w:rFonts w:ascii="Times New Roman" w:cs="Times New Roman" w:eastAsia="Times New Roman" w:hAnsi="Times New Roman"/>
          <w:sz w:val="14"/>
          <w:szCs w:val="14"/>
          <w:color w:val="auto"/>
        </w:rPr>
      </w:pPr>
    </w:p>
    <w:p>
      <w:pPr>
        <w:ind w:left="1840" w:right="1319" w:hanging="289"/>
        <w:spacing w:after="0" w:line="261" w:lineRule="auto"/>
        <w:tabs>
          <w:tab w:leader="none" w:pos="1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shares acquired by it as a financial intermediary, as that term is used in Article 5 of the Prospectus Regulation, (i) the shares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40" w:right="1379"/>
        <w:spacing w:after="0" w:line="256" w:lineRule="auto"/>
        <w:rPr>
          <w:sz w:val="20"/>
          <w:szCs w:val="20"/>
          <w:color w:val="auto"/>
        </w:rPr>
      </w:pPr>
      <w:r>
        <w:rPr>
          <w:rFonts w:ascii="Times New Roman" w:cs="Times New Roman" w:eastAsia="Times New Roman" w:hAnsi="Times New Roman"/>
          <w:sz w:val="14"/>
          <w:szCs w:val="14"/>
          <w:color w:val="auto"/>
        </w:rPr>
        <w:t>underwriter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w:t>
      </w:r>
    </w:p>
    <w:p>
      <w:pPr>
        <w:spacing w:after="0" w:line="252" w:lineRule="exact"/>
        <w:rPr>
          <w:sz w:val="20"/>
          <w:szCs w:val="20"/>
          <w:color w:val="auto"/>
        </w:rPr>
      </w:pPr>
    </w:p>
    <w:p>
      <w:pPr>
        <w:ind w:left="1260" w:right="1319" w:firstLine="284"/>
        <w:spacing w:after="0" w:line="255" w:lineRule="auto"/>
        <w:rPr>
          <w:sz w:val="20"/>
          <w:szCs w:val="20"/>
          <w:color w:val="auto"/>
        </w:rPr>
      </w:pPr>
      <w:r>
        <w:rPr>
          <w:rFonts w:ascii="Times New Roman" w:cs="Times New Roman" w:eastAsia="Times New Roman" w:hAnsi="Times New Roman"/>
          <w:sz w:val="14"/>
          <w:szCs w:val="14"/>
          <w:color w:val="auto"/>
        </w:rPr>
        <w:t>The Company, the representatives and their affiliates, and others will rely upon the truth and accuracy of the foregoing representation, acknowledgement and agreement. Notwithstanding the above, a person who is not a qualified investor and who has notified the underwriter of such fact in writing may, with the prior consent of the underwriter, be permitted to acquire shares in the offering.</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120" w:lineRule="exact"/>
        <w:rPr>
          <w:sz w:val="20"/>
          <w:szCs w:val="20"/>
          <w:color w:val="auto"/>
        </w:rPr>
      </w:pPr>
    </w:p>
    <w:p>
      <w:pPr>
        <w:ind w:left="1260" w:right="1339" w:firstLine="284"/>
        <w:spacing w:after="0" w:line="246" w:lineRule="auto"/>
        <w:rPr>
          <w:sz w:val="20"/>
          <w:szCs w:val="20"/>
          <w:color w:val="auto"/>
        </w:rPr>
      </w:pPr>
      <w:r>
        <w:rPr>
          <w:rFonts w:ascii="Times New Roman" w:cs="Times New Roman" w:eastAsia="Times New Roman" w:hAnsi="Times New Roman"/>
          <w:sz w:val="14"/>
          <w:szCs w:val="14"/>
          <w:color w:val="auto"/>
        </w:rPr>
        <w:t>This prospectus supplement and any other material in relation to the shares of common stock described herein is only being distributed to, and is only directed at, and any investment or investment activity to which this prospectus supplement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United Kingdom;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United Kingdom to, and any invitation, offer or agreement to purchase or otherwise acquire the shares will be engaged in only with, the Relevant Persons. This prospectus supplement and its contents are confidential and should not be distributed, published or reproduced (in whole or in part) or disclosed by recipients to any other person in the United Kingdom. Any person in the United Kingdom that is not a Relevant Person should not act or rely on this prospectus supplement or any of its contents.</w:t>
      </w:r>
    </w:p>
    <w:p>
      <w:pPr>
        <w:spacing w:after="0" w:line="97" w:lineRule="exact"/>
        <w:rPr>
          <w:sz w:val="20"/>
          <w:szCs w:val="20"/>
          <w:color w:val="auto"/>
        </w:rPr>
      </w:pPr>
    </w:p>
    <w:p>
      <w:pPr>
        <w:ind w:left="1260" w:right="1419" w:firstLine="284"/>
        <w:spacing w:after="0" w:line="251" w:lineRule="auto"/>
        <w:rPr>
          <w:sz w:val="20"/>
          <w:szCs w:val="20"/>
          <w:color w:val="auto"/>
        </w:rPr>
      </w:pPr>
      <w:r>
        <w:rPr>
          <w:rFonts w:ascii="Times New Roman" w:cs="Times New Roman" w:eastAsia="Times New Roman" w:hAnsi="Times New Roman"/>
          <w:sz w:val="14"/>
          <w:szCs w:val="14"/>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251" w:lineRule="exact"/>
        <w:rPr>
          <w:sz w:val="20"/>
          <w:szCs w:val="20"/>
          <w:color w:val="auto"/>
        </w:rPr>
      </w:pPr>
    </w:p>
    <w:p>
      <w:pPr>
        <w:ind w:left="1840" w:right="1399" w:hanging="289"/>
        <w:spacing w:after="0" w:line="289"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U.K. Prospectus Regulation;</w:t>
      </w:r>
    </w:p>
    <w:p>
      <w:pPr>
        <w:spacing w:after="0" w:line="70" w:lineRule="exact"/>
        <w:rPr>
          <w:rFonts w:ascii="Times New Roman" w:cs="Times New Roman" w:eastAsia="Times New Roman" w:hAnsi="Times New Roman"/>
          <w:sz w:val="14"/>
          <w:szCs w:val="14"/>
          <w:color w:val="auto"/>
        </w:rPr>
      </w:pPr>
    </w:p>
    <w:p>
      <w:pPr>
        <w:ind w:left="1840" w:right="1279" w:hanging="289"/>
        <w:spacing w:after="0" w:line="271"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2" w:lineRule="exact"/>
        <w:rPr>
          <w:rFonts w:ascii="Times New Roman" w:cs="Times New Roman" w:eastAsia="Times New Roman" w:hAnsi="Times New Roman"/>
          <w:sz w:val="14"/>
          <w:szCs w:val="14"/>
          <w:color w:val="auto"/>
        </w:rPr>
      </w:pPr>
    </w:p>
    <w:p>
      <w:pPr>
        <w:ind w:left="1840" w:hanging="289"/>
        <w:spacing w:after="0"/>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FSMA;</w:t>
      </w:r>
    </w:p>
    <w:p>
      <w:pPr>
        <w:spacing w:after="0" w:line="127" w:lineRule="exact"/>
        <w:rPr>
          <w:sz w:val="20"/>
          <w:szCs w:val="20"/>
          <w:color w:val="auto"/>
        </w:rPr>
      </w:pPr>
    </w:p>
    <w:p>
      <w:pPr>
        <w:ind w:left="1260" w:right="1319"/>
        <w:spacing w:after="0" w:line="247" w:lineRule="auto"/>
        <w:rPr>
          <w:sz w:val="20"/>
          <w:szCs w:val="20"/>
          <w:color w:val="auto"/>
        </w:rPr>
      </w:pPr>
      <w:r>
        <w:rPr>
          <w:rFonts w:ascii="Times New Roman" w:cs="Times New Roman" w:eastAsia="Times New Roman" w:hAnsi="Times New Roman"/>
          <w:sz w:val="14"/>
          <w:szCs w:val="14"/>
          <w:color w:val="auto"/>
        </w:rPr>
        <w:t>provided that no such offer of the shares shall require the Company and/or the underwriter or any of their respective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1" w:lineRule="exact"/>
        <w:rPr>
          <w:sz w:val="20"/>
          <w:szCs w:val="20"/>
          <w:color w:val="auto"/>
        </w:rPr>
      </w:pPr>
    </w:p>
    <w:p>
      <w:pPr>
        <w:ind w:left="1260" w:right="1519" w:firstLine="284"/>
        <w:spacing w:after="0" w:line="263" w:lineRule="auto"/>
        <w:rPr>
          <w:sz w:val="20"/>
          <w:szCs w:val="20"/>
          <w:color w:val="auto"/>
        </w:rPr>
      </w:pPr>
      <w:r>
        <w:rPr>
          <w:rFonts w:ascii="Times New Roman" w:cs="Times New Roman" w:eastAsia="Times New Roman" w:hAnsi="Times New Roman"/>
          <w:sz w:val="14"/>
          <w:szCs w:val="14"/>
          <w:color w:val="auto"/>
        </w:rPr>
        <w:t>Each person in the United Kingdom who acquires any shares in the offering or to whom any offer is made will be deemed to have represented, acknowledged and agreed to and with the Company, the representatives and their affiliates that it meets the criteria outlined in this section.</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131" w:lineRule="exact"/>
        <w:rPr>
          <w:sz w:val="20"/>
          <w:szCs w:val="20"/>
          <w:color w:val="auto"/>
        </w:rPr>
      </w:pPr>
    </w:p>
    <w:p>
      <w:pPr>
        <w:ind w:left="1260" w:right="1319" w:firstLine="284"/>
        <w:spacing w:after="0" w:line="255" w:lineRule="auto"/>
        <w:rPr>
          <w:sz w:val="20"/>
          <w:szCs w:val="20"/>
          <w:color w:val="auto"/>
        </w:rPr>
      </w:pPr>
      <w:r>
        <w:rPr>
          <w:rFonts w:ascii="Times New Roman" w:cs="Times New Roman" w:eastAsia="Times New Roman" w:hAnsi="Times New Roman"/>
          <w:sz w:val="14"/>
          <w:szCs w:val="14"/>
          <w:color w:val="auto"/>
        </w:rPr>
        <w:t>This prospectus is not intended to constitute an offer or solicitation to purchase or invest in the Class A common stock. The Class A common stock may not be publicly offered, directly or indirectly, in Switzerland within the meaning of the Swiss Financial Services Act (“FinSA”), and no application has or will be made to admit the Class A common stock to trading on any trading venue (exchange or multilateral</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205740</wp:posOffset>
            </wp:positionV>
            <wp:extent cx="53879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99"/>
        <w:spacing w:after="0" w:line="255" w:lineRule="auto"/>
        <w:rPr>
          <w:sz w:val="20"/>
          <w:szCs w:val="20"/>
          <w:color w:val="auto"/>
        </w:rPr>
      </w:pPr>
      <w:r>
        <w:rPr>
          <w:rFonts w:ascii="Times New Roman" w:cs="Times New Roman" w:eastAsia="Times New Roman" w:hAnsi="Times New Roman"/>
          <w:sz w:val="14"/>
          <w:szCs w:val="14"/>
          <w:color w:val="auto"/>
        </w:rPr>
        <w:t>trading facility) in Switzerland. Neither this prospectus nor any other offering or marketing material relating to the Class A common stock constitutes a prospectus pursuant to the FinSA, and neither this prospectus nor any other offering or marketing material relating to the Class A common stock may be publicly distributed or otherwise made publicly available in Switzerland.</w:t>
      </w:r>
    </w:p>
    <w:p>
      <w:pPr>
        <w:spacing w:after="0" w:line="83" w:lineRule="exact"/>
        <w:rPr>
          <w:sz w:val="20"/>
          <w:szCs w:val="20"/>
          <w:color w:val="auto"/>
        </w:rPr>
      </w:pPr>
    </w:p>
    <w:p>
      <w:pPr>
        <w:jc w:val="both"/>
        <w:ind w:left="1260" w:right="1459" w:firstLine="284"/>
        <w:spacing w:after="0" w:line="251" w:lineRule="auto"/>
        <w:rPr>
          <w:sz w:val="20"/>
          <w:szCs w:val="20"/>
          <w:color w:val="auto"/>
        </w:rPr>
      </w:pPr>
      <w:r>
        <w:rPr>
          <w:rFonts w:ascii="Times New Roman" w:cs="Times New Roman" w:eastAsia="Times New Roman" w:hAnsi="Times New Roman"/>
          <w:sz w:val="14"/>
          <w:szCs w:val="14"/>
          <w:color w:val="auto"/>
        </w:rPr>
        <w:t>In particular, this prospectus supplement will not be filed with, and the offer of the shares will not be supervised by, the Swiss Financial Market Supervisory Authority, and the offer of the shares has not been and will not be authorized under the Swiss Federal Act on Collective Investment Schemes (the “CISA”).</w:t>
      </w:r>
    </w:p>
    <w:p>
      <w:pPr>
        <w:spacing w:after="0" w:line="1" w:lineRule="exact"/>
        <w:rPr>
          <w:sz w:val="20"/>
          <w:szCs w:val="20"/>
          <w:color w:val="auto"/>
        </w:rPr>
      </w:pPr>
    </w:p>
    <w:p>
      <w:pPr>
        <w:ind w:left="1260" w:right="1419"/>
        <w:spacing w:after="0" w:line="265" w:lineRule="auto"/>
        <w:rPr>
          <w:sz w:val="20"/>
          <w:szCs w:val="20"/>
          <w:color w:val="auto"/>
        </w:rPr>
      </w:pPr>
      <w:r>
        <w:rPr>
          <w:rFonts w:ascii="Times New Roman" w:cs="Times New Roman" w:eastAsia="Times New Roman" w:hAnsi="Times New Roman"/>
          <w:sz w:val="14"/>
          <w:szCs w:val="14"/>
          <w:color w:val="auto"/>
        </w:rPr>
        <w:t>The investor protection afforded to acquirers of interests in collective investment schemes under the CISA does not extend to acquirers of the shares.</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131" w:lineRule="exact"/>
        <w:rPr>
          <w:sz w:val="20"/>
          <w:szCs w:val="20"/>
          <w:color w:val="auto"/>
        </w:rPr>
      </w:pPr>
    </w:p>
    <w:p>
      <w:pPr>
        <w:ind w:left="1260" w:right="1339" w:firstLine="284"/>
        <w:spacing w:after="0" w:line="248" w:lineRule="auto"/>
        <w:rPr>
          <w:sz w:val="20"/>
          <w:szCs w:val="20"/>
          <w:color w:val="auto"/>
        </w:rPr>
      </w:pPr>
      <w:r>
        <w:rPr>
          <w:rFonts w:ascii="Times New Roman" w:cs="Times New Roman" w:eastAsia="Times New Roman" w:hAnsi="Times New Roman"/>
          <w:sz w:val="14"/>
          <w:szCs w:val="14"/>
          <w:color w:val="auto"/>
        </w:rPr>
        <w:t>The Class A common stock may be sold only to purchasers purchasing, or deemed to be purchasing, as principal that are accredited investors, as defined in National Instrument 45- 106 Prospectus Exemptions or subsection 73.3(1) of the Securities Act (Ontario), and are permitted clients, as defined in National Instrument 31-103 Registration Requirements, Exemptions and Ongoing Registrant Obligations. Any resale of the Class A common stock must be made in accordance with an exemption from, or in a transaction not subject to, the prospectus requirements of applicable securities laws.</w:t>
      </w:r>
    </w:p>
    <w:p>
      <w:pPr>
        <w:spacing w:after="0" w:line="88" w:lineRule="exact"/>
        <w:rPr>
          <w:sz w:val="20"/>
          <w:szCs w:val="20"/>
          <w:color w:val="auto"/>
        </w:rPr>
      </w:pPr>
    </w:p>
    <w:p>
      <w:pPr>
        <w:ind w:left="1260" w:right="1399" w:firstLine="284"/>
        <w:spacing w:after="0" w:line="251"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87" w:lineRule="exact"/>
        <w:rPr>
          <w:sz w:val="20"/>
          <w:szCs w:val="20"/>
          <w:color w:val="auto"/>
        </w:rPr>
      </w:pPr>
    </w:p>
    <w:p>
      <w:pPr>
        <w:ind w:left="1260" w:right="1719" w:firstLine="284"/>
        <w:spacing w:after="0" w:line="255"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Cayman Islands</w:t>
      </w:r>
    </w:p>
    <w:p>
      <w:pPr>
        <w:spacing w:after="0" w:line="120" w:lineRule="exact"/>
        <w:rPr>
          <w:sz w:val="20"/>
          <w:szCs w:val="20"/>
          <w:color w:val="auto"/>
        </w:rPr>
      </w:pPr>
    </w:p>
    <w:p>
      <w:pPr>
        <w:ind w:left="1260" w:right="1299" w:firstLine="284"/>
        <w:spacing w:after="0" w:line="289" w:lineRule="auto"/>
        <w:rPr>
          <w:sz w:val="20"/>
          <w:szCs w:val="20"/>
          <w:color w:val="auto"/>
        </w:rPr>
      </w:pPr>
      <w:r>
        <w:rPr>
          <w:rFonts w:ascii="Times New Roman" w:cs="Times New Roman" w:eastAsia="Times New Roman" w:hAnsi="Times New Roman"/>
          <w:sz w:val="14"/>
          <w:szCs w:val="14"/>
          <w:color w:val="auto"/>
        </w:rPr>
        <w:t>This prospectus does not constitute a public offer of the Class A common stock, whether by way of sale or subscription, in the Cayman Islands.</w:t>
      </w: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131" w:lineRule="exact"/>
        <w:rPr>
          <w:sz w:val="20"/>
          <w:szCs w:val="20"/>
          <w:color w:val="auto"/>
        </w:rPr>
      </w:pPr>
    </w:p>
    <w:p>
      <w:pPr>
        <w:ind w:left="1260" w:right="1279" w:firstLine="284"/>
        <w:spacing w:after="0" w:line="256" w:lineRule="auto"/>
        <w:rPr>
          <w:sz w:val="20"/>
          <w:szCs w:val="20"/>
          <w:color w:val="auto"/>
        </w:rPr>
      </w:pPr>
      <w:r>
        <w:rPr>
          <w:rFonts w:ascii="Times New Roman" w:cs="Times New Roman" w:eastAsia="Times New Roman" w:hAnsi="Times New Roman"/>
          <w:sz w:val="14"/>
          <w:szCs w:val="14"/>
          <w:color w:val="auto"/>
        </w:rPr>
        <w:t>Our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120" w:lineRule="exact"/>
        <w:rPr>
          <w:sz w:val="20"/>
          <w:szCs w:val="20"/>
          <w:color w:val="auto"/>
        </w:rPr>
      </w:pPr>
    </w:p>
    <w:p>
      <w:pPr>
        <w:ind w:left="1260" w:right="1359" w:firstLine="284"/>
        <w:spacing w:after="0" w:line="289" w:lineRule="auto"/>
        <w:rPr>
          <w:sz w:val="20"/>
          <w:szCs w:val="20"/>
          <w:color w:val="auto"/>
        </w:rPr>
      </w:pPr>
      <w:r>
        <w:rPr>
          <w:rFonts w:ascii="Times New Roman" w:cs="Times New Roman" w:eastAsia="Times New Roman" w:hAnsi="Times New Roman"/>
          <w:sz w:val="14"/>
          <w:szCs w:val="14"/>
          <w:color w:val="auto"/>
        </w:rPr>
        <w:t>This prospectus supplement has not been registered as a prospectus with the Monetary Authority of Singapore. Accordingly, this prospectus supplement and any other document or material in connection with</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79"/>
        <w:spacing w:after="0" w:line="251" w:lineRule="auto"/>
        <w:rPr>
          <w:sz w:val="20"/>
          <w:szCs w:val="20"/>
          <w:color w:val="auto"/>
        </w:rPr>
      </w:pPr>
      <w:r>
        <w:rPr>
          <w:rFonts w:ascii="Times New Roman" w:cs="Times New Roman" w:eastAsia="Times New Roman" w:hAnsi="Times New Roman"/>
          <w:sz w:val="14"/>
          <w:szCs w:val="14"/>
          <w:color w:val="auto"/>
        </w:rPr>
        <w:t>the offer or sale, or invitation for subscription or purchase, of our Class A common stock may not be circulated or distributed, nor may our Class A common stock be offered or sold, or be made the subject of an invitation for subscription or purchase, whether directly or indirectly, to persons in Singapore other than</w:t>
      </w:r>
    </w:p>
    <w:p>
      <w:pPr>
        <w:spacing w:after="0" w:line="1" w:lineRule="exact"/>
        <w:rPr>
          <w:sz w:val="20"/>
          <w:szCs w:val="20"/>
          <w:color w:val="auto"/>
        </w:rPr>
      </w:pPr>
    </w:p>
    <w:p>
      <w:pPr>
        <w:ind w:left="1260" w:right="1439" w:firstLine="7"/>
        <w:spacing w:after="0" w:line="246" w:lineRule="auto"/>
        <w:tabs>
          <w:tab w:leader="none" w:pos="144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(as defined under Section 4A of the Securities and Futures Act, Chapter 289 of Singapore, or the SFA) under Section 274 of the SFA, (ii) to a relevant person (as defined in</w:t>
      </w:r>
    </w:p>
    <w:p>
      <w:pPr>
        <w:ind w:left="1260"/>
        <w:spacing w:after="0" w:line="23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275(2) of the SFA) pursuant to Section 275(1) of the SFA, or any person pursuant to</w:t>
      </w:r>
    </w:p>
    <w:p>
      <w:pPr>
        <w:ind w:left="1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275(1A) of the SFA, and in accordance with the conditions specified in Section 275 of the SFA or</w:t>
      </w:r>
    </w:p>
    <w:p>
      <w:pPr>
        <w:spacing w:after="0" w:line="7" w:lineRule="exact"/>
        <w:rPr>
          <w:rFonts w:ascii="Times New Roman" w:cs="Times New Roman" w:eastAsia="Times New Roman" w:hAnsi="Times New Roman"/>
          <w:sz w:val="14"/>
          <w:szCs w:val="14"/>
          <w:color w:val="auto"/>
        </w:rPr>
      </w:pPr>
    </w:p>
    <w:p>
      <w:pPr>
        <w:ind w:left="1260" w:right="1459" w:firstLine="7"/>
        <w:spacing w:after="0" w:line="252" w:lineRule="auto"/>
        <w:tabs>
          <w:tab w:leader="none" w:pos="152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pursuant to, and in accordance with the conditions of, any other applicable provision of the SFA, in each case subject to conditions set forth in the SFA.</w:t>
      </w:r>
    </w:p>
    <w:p>
      <w:pPr>
        <w:spacing w:after="0" w:line="84" w:lineRule="exact"/>
        <w:rPr>
          <w:sz w:val="20"/>
          <w:szCs w:val="20"/>
          <w:color w:val="auto"/>
        </w:rPr>
      </w:pPr>
    </w:p>
    <w:p>
      <w:pPr>
        <w:ind w:left="1260" w:right="1319" w:firstLine="284"/>
        <w:spacing w:after="0" w:line="246" w:lineRule="auto"/>
        <w:rPr>
          <w:sz w:val="20"/>
          <w:szCs w:val="20"/>
          <w:color w:val="auto"/>
        </w:rPr>
      </w:pPr>
      <w:r>
        <w:rPr>
          <w:rFonts w:ascii="Times New Roman" w:cs="Times New Roman" w:eastAsia="Times New Roman" w:hAnsi="Times New Roman"/>
          <w:sz w:val="14"/>
          <w:szCs w:val="14"/>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spacing w:after="0" w:line="4" w:lineRule="exact"/>
        <w:rPr>
          <w:sz w:val="20"/>
          <w:szCs w:val="20"/>
          <w:color w:val="auto"/>
        </w:rPr>
      </w:pPr>
    </w:p>
    <w:p>
      <w:pPr>
        <w:ind w:left="1480" w:hanging="213"/>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 (4) where the transfer is by operation of law,</w:t>
      </w:r>
    </w:p>
    <w:p>
      <w:pPr>
        <w:ind w:left="1260" w:right="1379" w:firstLine="7"/>
        <w:spacing w:after="0" w:line="249" w:lineRule="auto"/>
        <w:tabs>
          <w:tab w:leader="none" w:pos="14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 (6) as specified in Regulation 32 of the Securities and Futures (Offers of Investments) (Shares and Debentures) Regulations 2005 of Singapore, or Regulation 32.</w:t>
      </w:r>
    </w:p>
    <w:p>
      <w:pPr>
        <w:spacing w:after="0" w:line="87" w:lineRule="exact"/>
        <w:rPr>
          <w:sz w:val="20"/>
          <w:szCs w:val="20"/>
          <w:color w:val="auto"/>
        </w:rPr>
      </w:pPr>
    </w:p>
    <w:p>
      <w:pPr>
        <w:ind w:left="1260" w:right="1319" w:firstLine="284"/>
        <w:spacing w:after="0" w:line="249" w:lineRule="auto"/>
        <w:rPr>
          <w:sz w:val="20"/>
          <w:szCs w:val="20"/>
          <w:color w:val="auto"/>
        </w:rPr>
      </w:pPr>
      <w:r>
        <w:rPr>
          <w:rFonts w:ascii="Times New Roman" w:cs="Times New Roman" w:eastAsia="Times New Roman" w:hAnsi="Times New Roman"/>
          <w:sz w:val="14"/>
          <w:szCs w:val="14"/>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our Class A common stock under Section 275 of the SFA except:</w:t>
      </w:r>
    </w:p>
    <w:p>
      <w:pPr>
        <w:spacing w:after="0" w:line="1" w:lineRule="exact"/>
        <w:rPr>
          <w:sz w:val="20"/>
          <w:szCs w:val="20"/>
          <w:color w:val="auto"/>
        </w:rPr>
      </w:pPr>
    </w:p>
    <w:p>
      <w:pPr>
        <w:ind w:left="1260" w:right="1319" w:firstLine="7"/>
        <w:spacing w:after="0" w:line="243" w:lineRule="auto"/>
        <w:tabs>
          <w:tab w:leader="none" w:pos="147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92" w:lineRule="exact"/>
        <w:rPr>
          <w:sz w:val="20"/>
          <w:szCs w:val="20"/>
          <w:color w:val="auto"/>
        </w:rPr>
      </w:pPr>
    </w:p>
    <w:p>
      <w:pPr>
        <w:ind w:left="1260" w:right="1319" w:firstLine="284"/>
        <w:spacing w:after="0" w:line="256" w:lineRule="auto"/>
        <w:rPr>
          <w:sz w:val="20"/>
          <w:szCs w:val="20"/>
          <w:color w:val="auto"/>
        </w:rPr>
      </w:pPr>
      <w:r>
        <w:rPr>
          <w:rFonts w:ascii="Times New Roman" w:cs="Times New Roman" w:eastAsia="Times New Roman" w:hAnsi="Times New Roman"/>
          <w:sz w:val="14"/>
          <w:szCs w:val="14"/>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spacing w:after="0" w:line="3" w:lineRule="exact"/>
        <w:rPr>
          <w:sz w:val="20"/>
          <w:szCs w:val="20"/>
          <w:color w:val="auto"/>
        </w:rPr>
      </w:pPr>
    </w:p>
    <w:p>
      <w:pPr>
        <w:ind w:left="1480" w:hanging="213"/>
        <w:spacing w:after="0"/>
        <w:tabs>
          <w:tab w:leader="none" w:pos="1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 (4) where the transfer is by operation of law,</w:t>
      </w:r>
    </w:p>
    <w:p>
      <w:pPr>
        <w:spacing w:after="0" w:line="9" w:lineRule="exact"/>
        <w:rPr>
          <w:rFonts w:ascii="Times New Roman" w:cs="Times New Roman" w:eastAsia="Times New Roman" w:hAnsi="Times New Roman"/>
          <w:sz w:val="14"/>
          <w:szCs w:val="14"/>
          <w:color w:val="auto"/>
        </w:rPr>
      </w:pPr>
    </w:p>
    <w:p>
      <w:pPr>
        <w:ind w:left="1260" w:right="1479" w:firstLine="7"/>
        <w:spacing w:after="0" w:line="268" w:lineRule="auto"/>
        <w:tabs>
          <w:tab w:leader="none" w:pos="147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 (6) as specified in Regulation 32 of the Securities and Futures (Offers of Investments) (Shares and Debentures) Regulations 2005 of Singapore (Regulation 32).</w:t>
      </w:r>
    </w:p>
    <w:p>
      <w:pPr>
        <w:spacing w:after="0" w:line="1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Dubai International Financial Centre</w:t>
      </w:r>
    </w:p>
    <w:p>
      <w:pPr>
        <w:spacing w:after="0" w:line="131" w:lineRule="exact"/>
        <w:rPr>
          <w:sz w:val="20"/>
          <w:szCs w:val="20"/>
          <w:color w:val="auto"/>
        </w:rPr>
      </w:pPr>
    </w:p>
    <w:p>
      <w:pPr>
        <w:ind w:left="1260" w:right="1319" w:firstLine="284"/>
        <w:spacing w:after="0" w:line="258" w:lineRule="auto"/>
        <w:rPr>
          <w:sz w:val="20"/>
          <w:szCs w:val="20"/>
          <w:color w:val="auto"/>
        </w:rPr>
      </w:pPr>
      <w:r>
        <w:rPr>
          <w:rFonts w:ascii="Times New Roman" w:cs="Times New Roman" w:eastAsia="Times New Roman" w:hAnsi="Times New Roman"/>
          <w:sz w:val="14"/>
          <w:szCs w:val="14"/>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205740</wp:posOffset>
            </wp:positionV>
            <wp:extent cx="53879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131" w:lineRule="exact"/>
        <w:rPr>
          <w:sz w:val="20"/>
          <w:szCs w:val="20"/>
          <w:color w:val="auto"/>
        </w:rPr>
      </w:pPr>
    </w:p>
    <w:p>
      <w:pPr>
        <w:jc w:val="both"/>
        <w:ind w:left="1260" w:right="1479" w:firstLine="284"/>
        <w:spacing w:after="0" w:line="263" w:lineRule="auto"/>
        <w:rPr>
          <w:sz w:val="20"/>
          <w:szCs w:val="20"/>
          <w:color w:val="auto"/>
        </w:rPr>
      </w:pPr>
      <w:r>
        <w:rPr>
          <w:rFonts w:ascii="Times New Roman" w:cs="Times New Roman" w:eastAsia="Times New Roman" w:hAnsi="Times New Roman"/>
          <w:sz w:val="14"/>
          <w:szCs w:val="14"/>
          <w:color w:val="auto"/>
        </w:rPr>
        <w:t>No registration pursuant to Article 4, paragraph 1 of the Financial Instruments and Exchange Law of Japan (Law No. 25 of 1948, as amended) (the “FIEL”) has been made or will be made with respect to the solicitation of the application for the acquisition of the Class A common stock.</w:t>
      </w:r>
    </w:p>
    <w:p>
      <w:pPr>
        <w:spacing w:after="0" w:line="78" w:lineRule="exact"/>
        <w:rPr>
          <w:sz w:val="20"/>
          <w:szCs w:val="20"/>
          <w:color w:val="auto"/>
        </w:rPr>
      </w:pPr>
    </w:p>
    <w:p>
      <w:pPr>
        <w:ind w:left="1260" w:right="1399" w:firstLine="284"/>
        <w:spacing w:after="0" w:line="249" w:lineRule="auto"/>
        <w:rPr>
          <w:sz w:val="20"/>
          <w:szCs w:val="20"/>
          <w:color w:val="auto"/>
        </w:rPr>
      </w:pPr>
      <w:r>
        <w:rPr>
          <w:rFonts w:ascii="Times New Roman" w:cs="Times New Roman" w:eastAsia="Times New Roman" w:hAnsi="Times New Roman"/>
          <w:sz w:val="14"/>
          <w:szCs w:val="14"/>
          <w:color w:val="auto"/>
        </w:rPr>
        <w:t>Accordingly, the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 -offering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3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For qualified institutional investors (“QII”)</w:t>
      </w:r>
    </w:p>
    <w:p>
      <w:pPr>
        <w:spacing w:after="0" w:line="129" w:lineRule="exact"/>
        <w:rPr>
          <w:sz w:val="20"/>
          <w:szCs w:val="20"/>
          <w:color w:val="auto"/>
        </w:rPr>
      </w:pPr>
    </w:p>
    <w:p>
      <w:pPr>
        <w:ind w:left="1260" w:right="1459" w:firstLine="284"/>
        <w:spacing w:after="0" w:line="250" w:lineRule="auto"/>
        <w:rPr>
          <w:sz w:val="20"/>
          <w:szCs w:val="20"/>
          <w:color w:val="auto"/>
        </w:rPr>
      </w:pPr>
      <w:r>
        <w:rPr>
          <w:rFonts w:ascii="Times New Roman" w:cs="Times New Roman" w:eastAsia="Times New Roman" w:hAnsi="Times New Roman"/>
          <w:sz w:val="14"/>
          <w:szCs w:val="14"/>
          <w:color w:val="auto"/>
        </w:rPr>
        <w:t>Please note that the solicitation for newly -issued or secondary securities (each as described in Paragraph 2, Article 4 of the FIEL) in relation to the Class A common stock constitutes either a “QII only</w:t>
      </w:r>
    </w:p>
    <w:p>
      <w:pPr>
        <w:ind w:left="1260" w:right="1299"/>
        <w:spacing w:after="0" w:line="247" w:lineRule="auto"/>
        <w:rPr>
          <w:sz w:val="20"/>
          <w:szCs w:val="20"/>
          <w:color w:val="auto"/>
        </w:rPr>
      </w:pPr>
      <w:r>
        <w:rPr>
          <w:rFonts w:ascii="Times New Roman" w:cs="Times New Roman" w:eastAsia="Times New Roman" w:hAnsi="Times New Roman"/>
          <w:sz w:val="14"/>
          <w:szCs w:val="14"/>
          <w:color w:val="auto"/>
        </w:rPr>
        <w:t>private placement” or a “QII only secondary distribution” (each​ as described in Paragraph 1, Article 23-13 of the FIEL) . Disclosure regarding any such solicitation, as is otherwise prescribed in Paragraph 1, Article 4 of the FIEL, has not been made in relation to the Class A common stock. The Class A common stock may only be transferred to QIIs.</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For non-QII investors</w:t>
      </w:r>
    </w:p>
    <w:p>
      <w:pPr>
        <w:spacing w:after="0" w:line="118" w:lineRule="exact"/>
        <w:rPr>
          <w:sz w:val="20"/>
          <w:szCs w:val="20"/>
          <w:color w:val="auto"/>
        </w:rPr>
      </w:pPr>
    </w:p>
    <w:p>
      <w:pPr>
        <w:ind w:left="1260" w:right="1639" w:firstLine="284"/>
        <w:spacing w:after="0" w:line="258" w:lineRule="auto"/>
        <w:rPr>
          <w:sz w:val="20"/>
          <w:szCs w:val="20"/>
          <w:color w:val="auto"/>
        </w:rPr>
      </w:pPr>
      <w:r>
        <w:rPr>
          <w:rFonts w:ascii="Times New Roman" w:cs="Times New Roman" w:eastAsia="Times New Roman" w:hAnsi="Times New Roman"/>
          <w:sz w:val="14"/>
          <w:szCs w:val="14"/>
          <w:color w:val="auto"/>
        </w:rPr>
        <w:t>Please note that the solicitation for newly-issued or secondary securities (each as described in Paragraph 2, Article 4 of the FIEL) in relation to the Class A common stock constitutes either a “small</w:t>
      </w:r>
    </w:p>
    <w:p>
      <w:pPr>
        <w:ind w:left="1260" w:right="1399"/>
        <w:spacing w:after="0" w:line="247" w:lineRule="auto"/>
        <w:rPr>
          <w:sz w:val="20"/>
          <w:szCs w:val="20"/>
          <w:color w:val="auto"/>
        </w:rPr>
      </w:pPr>
      <w:r>
        <w:rPr>
          <w:rFonts w:ascii="Times New Roman" w:cs="Times New Roman" w:eastAsia="Times New Roman" w:hAnsi="Times New Roman"/>
          <w:sz w:val="14"/>
          <w:szCs w:val="14"/>
          <w:color w:val="auto"/>
        </w:rPr>
        <w:t>number private placement” or a “small number private secondary distribution” (each​ as is described in Paragraph 4, Article 23-13 of the FIEL). Disclosure regarding any such solicitation, as is otherwise prescribed in Paragraph 1, Article 4 of the FIEL, has not been made in relation to the Class A common stock. The Class A common stock may only be transferred en bloc without subdivision to a single investor.</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p>
      <w:pPr>
        <w:spacing w:after="0" w:line="131" w:lineRule="exact"/>
        <w:rPr>
          <w:sz w:val="20"/>
          <w:szCs w:val="20"/>
          <w:color w:val="auto"/>
        </w:rPr>
      </w:pPr>
    </w:p>
    <w:p>
      <w:pPr>
        <w:ind w:left="1260" w:right="1379" w:firstLine="284"/>
        <w:spacing w:after="0" w:line="248"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or will be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254" w:lineRule="exact"/>
        <w:rPr>
          <w:sz w:val="20"/>
          <w:szCs w:val="20"/>
          <w:color w:val="auto"/>
        </w:rPr>
      </w:pPr>
    </w:p>
    <w:p>
      <w:pPr>
        <w:ind w:left="1260" w:right="1579" w:firstLine="284"/>
        <w:spacing w:after="0" w:line="258" w:lineRule="auto"/>
        <w:rPr>
          <w:sz w:val="20"/>
          <w:szCs w:val="20"/>
          <w:color w:val="auto"/>
        </w:rPr>
      </w:pPr>
      <w:r>
        <w:rPr>
          <w:rFonts w:ascii="Times New Roman" w:cs="Times New Roman" w:eastAsia="Times New Roman" w:hAnsi="Times New Roman"/>
          <w:sz w:val="14"/>
          <w:szCs w:val="14"/>
          <w:color w:val="auto"/>
        </w:rPr>
        <w:t>Any offer in Australia of the Class A common stock may only be made to persons (the “Exempt Investors”) who are “sophisticated investors” ​(within the meaning of section 708(8) of the Corporations</w:t>
      </w:r>
    </w:p>
    <w:p>
      <w:pPr>
        <w:ind w:left="1260" w:right="1339"/>
        <w:spacing w:after="0" w:line="251" w:lineRule="auto"/>
        <w:rPr>
          <w:sz w:val="20"/>
          <w:szCs w:val="20"/>
          <w:color w:val="auto"/>
        </w:rPr>
      </w:pPr>
      <w:r>
        <w:rPr>
          <w:rFonts w:ascii="Times New Roman" w:cs="Times New Roman" w:eastAsia="Times New Roman" w:hAnsi="Times New Roman"/>
          <w:sz w:val="14"/>
          <w:szCs w:val="14"/>
          <w:color w:val="auto"/>
        </w:rPr>
        <w:t>Act), “professional investors” (within​ the meaning of section 708(11) of the Corporations Act) or otherwise pursuant to one or more exemptions contained in section 708 of the Corporations Act so that it is lawful to offer the Class A common stock without disclosure to investors under Chapter 6D of the Corporations Act.</w:t>
      </w:r>
    </w:p>
    <w:p>
      <w:pPr>
        <w:spacing w:after="0" w:line="86" w:lineRule="exact"/>
        <w:rPr>
          <w:sz w:val="20"/>
          <w:szCs w:val="20"/>
          <w:color w:val="auto"/>
        </w:rPr>
      </w:pPr>
    </w:p>
    <w:p>
      <w:pPr>
        <w:ind w:left="1260" w:right="1319" w:firstLine="284"/>
        <w:spacing w:after="0" w:line="248" w:lineRule="auto"/>
        <w:rPr>
          <w:sz w:val="20"/>
          <w:szCs w:val="20"/>
          <w:color w:val="auto"/>
        </w:rPr>
      </w:pPr>
      <w:r>
        <w:rPr>
          <w:rFonts w:ascii="Times New Roman" w:cs="Times New Roman" w:eastAsia="Times New Roman" w:hAnsi="Times New Roman"/>
          <w:sz w:val="14"/>
          <w:szCs w:val="14"/>
          <w:color w:val="auto"/>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Class A common stock must observe such Australian on-sale restrictions.</w:t>
      </w:r>
    </w:p>
    <w:p>
      <w:pPr>
        <w:spacing w:after="0" w:line="88" w:lineRule="exact"/>
        <w:rPr>
          <w:sz w:val="20"/>
          <w:szCs w:val="20"/>
          <w:color w:val="auto"/>
        </w:rPr>
      </w:pPr>
    </w:p>
    <w:p>
      <w:pPr>
        <w:ind w:left="1260" w:right="1359" w:firstLine="284"/>
        <w:spacing w:after="0" w:line="254" w:lineRule="auto"/>
        <w:rPr>
          <w:sz w:val="20"/>
          <w:szCs w:val="20"/>
          <w:color w:val="auto"/>
        </w:rPr>
      </w:pPr>
      <w:r>
        <w:rPr>
          <w:rFonts w:ascii="Times New Roman" w:cs="Times New Roman" w:eastAsia="Times New Roman" w:hAnsi="Times New Roman"/>
          <w:sz w:val="14"/>
          <w:szCs w:val="14"/>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Israel</w:t>
      </w:r>
    </w:p>
    <w:p>
      <w:pPr>
        <w:spacing w:after="0" w:line="131" w:lineRule="exact"/>
        <w:rPr>
          <w:sz w:val="20"/>
          <w:szCs w:val="20"/>
          <w:color w:val="auto"/>
        </w:rPr>
      </w:pPr>
    </w:p>
    <w:p>
      <w:pPr>
        <w:ind w:left="1260" w:right="1319" w:firstLine="284"/>
        <w:spacing w:after="0" w:line="261"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offered to the public in Israel within the meaning of the Israeli Securities Law, 5728-1968 (the “Israeli Securities Law”). The shares of Class A common stock may be offered in the State of Israel only to Qualified Israeli Investors in reliance on an exemption from the requirement to file a prospectus pursuant to Sections 15A(b)(1) and 15A(b)(2) of the Israeli Securities Law. Accordingly, no prospectus will be filed in the State of Israel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5" w:name="page36"/>
    <w:bookmarkEnd w:id="35"/>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9" w:lineRule="exact"/>
        <w:rPr>
          <w:sz w:val="20"/>
          <w:szCs w:val="20"/>
          <w:color w:val="auto"/>
        </w:rPr>
      </w:pPr>
    </w:p>
    <w:p>
      <w:pPr>
        <w:ind w:left="1260" w:right="1699" w:firstLine="284"/>
        <w:spacing w:after="0" w:line="271" w:lineRule="auto"/>
        <w:rPr>
          <w:sz w:val="20"/>
          <w:szCs w:val="20"/>
          <w:color w:val="auto"/>
        </w:rPr>
      </w:pPr>
      <w:r>
        <w:rPr>
          <w:rFonts w:ascii="Times New Roman" w:cs="Times New Roman" w:eastAsia="Times New Roman" w:hAnsi="Times New Roman"/>
          <w:sz w:val="14"/>
          <w:szCs w:val="14"/>
          <w:color w:val="auto"/>
        </w:rPr>
        <w:t>The validity of the shares of Class A common stock offered hereby will be passed upon for us by Latham &amp; Watkins LLP. Weil, Gotshal &amp; Manges LLP is acting as counsel for the underwriters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6" w:name="page37"/>
    <w:bookmarkEnd w:id="36"/>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9" w:lineRule="exact"/>
        <w:rPr>
          <w:sz w:val="20"/>
          <w:szCs w:val="20"/>
          <w:color w:val="auto"/>
        </w:rPr>
      </w:pPr>
    </w:p>
    <w:p>
      <w:pPr>
        <w:ind w:left="1260" w:right="1319" w:firstLine="284"/>
        <w:spacing w:after="0" w:line="258" w:lineRule="auto"/>
        <w:rPr>
          <w:rFonts w:ascii="Times New Roman" w:cs="Times New Roman" w:eastAsia="Times New Roman" w:hAnsi="Times New Roman"/>
          <w:sz w:val="14"/>
          <w:szCs w:val="14"/>
          <w:color w:val="0000EE"/>
        </w:rPr>
      </w:pPr>
      <w:hyperlink r:id="rId24">
        <w:r>
          <w:rPr>
            <w:rFonts w:ascii="Times New Roman" w:cs="Times New Roman" w:eastAsia="Times New Roman" w:hAnsi="Times New Roman"/>
            <w:sz w:val="14"/>
            <w:szCs w:val="14"/>
            <w:color w:val="auto"/>
          </w:rPr>
          <w:t xml:space="preserve">The consolidated financial statements of Fluence Energy, Inc. incorporated by reference in </w:t>
        </w:r>
        <w:r>
          <w:rPr>
            <w:rFonts w:ascii="Times New Roman" w:cs="Times New Roman" w:eastAsia="Times New Roman" w:hAnsi="Times New Roman"/>
            <w:sz w:val="14"/>
            <w:szCs w:val="14"/>
            <w:u w:val="single" w:color="auto"/>
            <w:color w:val="0000EE"/>
          </w:rPr>
          <w:t>Fluence</w:t>
        </w:r>
      </w:hyperlink>
      <w:r>
        <w:rPr>
          <w:rFonts w:ascii="Times New Roman" w:cs="Times New Roman" w:eastAsia="Times New Roman" w:hAnsi="Times New Roman"/>
          <w:sz w:val="14"/>
          <w:szCs w:val="14"/>
          <w:color w:val="auto"/>
        </w:rPr>
        <w:t xml:space="preserve"> </w:t>
      </w:r>
      <w:hyperlink r:id="rId24">
        <w:r>
          <w:rPr>
            <w:rFonts w:ascii="Times New Roman" w:cs="Times New Roman" w:eastAsia="Times New Roman" w:hAnsi="Times New Roman"/>
            <w:sz w:val="14"/>
            <w:szCs w:val="14"/>
            <w:u w:val="single" w:color="auto"/>
            <w:color w:val="0000EE"/>
          </w:rPr>
          <w:t>Energy Inc.’s Annual Report (Form 10-K) for the year ended September 30, 2025</w:t>
        </w:r>
        <w:r>
          <w:rPr>
            <w:rFonts w:ascii="Times New Roman" w:cs="Times New Roman" w:eastAsia="Times New Roman" w:hAnsi="Times New Roman"/>
            <w:sz w:val="14"/>
            <w:szCs w:val="14"/>
            <w:color w:val="000000"/>
          </w:rPr>
          <w:t xml:space="preserve">, and the effectiveness </w:t>
        </w:r>
      </w:hyperlink>
      <w:r>
        <w:rPr>
          <w:rFonts w:ascii="Times New Roman" w:cs="Times New Roman" w:eastAsia="Times New Roman" w:hAnsi="Times New Roman"/>
          <w:sz w:val="14"/>
          <w:szCs w:val="14"/>
          <w:color w:val="0000EE"/>
        </w:rPr>
        <w:t xml:space="preserve">of </w:t>
      </w:r>
      <w:r>
        <w:rPr>
          <w:rFonts w:ascii="Times New Roman" w:cs="Times New Roman" w:eastAsia="Times New Roman" w:hAnsi="Times New Roman"/>
          <w:sz w:val="14"/>
          <w:szCs w:val="14"/>
          <w:color w:val="000000"/>
        </w:rPr>
        <w:t>Fluence Energy, Inc.’s internal control over financial reporting as of September 30, 2025 have been audited by Ernst &amp; Young LLP, independent registered public accounting firm, as set forth in their reports thereon incorporated by reference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ind w:left="280"/>
        <w:spacing w:after="0"/>
        <w:rPr>
          <w:sz w:val="20"/>
          <w:szCs w:val="20"/>
          <w:color w:val="auto"/>
        </w:rPr>
      </w:pPr>
      <w:r>
        <w:rPr>
          <w:rFonts w:ascii="Calibri" w:cs="Calibri" w:eastAsia="Calibri" w:hAnsi="Calibri"/>
          <w:sz w:val="11"/>
          <w:szCs w:val="11"/>
          <w:color w:val="003366"/>
        </w:rPr>
        <w:t>TABLE OF CONTENTS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104775</wp:posOffset>
            </wp:positionV>
            <wp:extent cx="1751330" cy="4394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1751330" cy="43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FLUENCE ENERGY, INC.</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39"/>
        <w:spacing w:after="0" w:line="233" w:lineRule="auto"/>
        <w:rPr>
          <w:sz w:val="20"/>
          <w:szCs w:val="20"/>
          <w:color w:val="auto"/>
        </w:rPr>
      </w:pPr>
      <w:r>
        <w:rPr>
          <w:rFonts w:ascii="Times New Roman" w:cs="Times New Roman" w:eastAsia="Times New Roman" w:hAnsi="Times New Roman"/>
          <w:sz w:val="20"/>
          <w:szCs w:val="20"/>
          <w:b w:val="1"/>
          <w:bCs w:val="1"/>
          <w:color w:val="auto"/>
        </w:rPr>
        <w:t>Debt Securities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Depositary Shares</w:t>
      </w:r>
    </w:p>
    <w:p>
      <w:pPr>
        <w:jc w:val="center"/>
        <w:ind w:right="39"/>
        <w:spacing w:after="0" w:line="237" w:lineRule="auto"/>
        <w:rPr>
          <w:sz w:val="20"/>
          <w:szCs w:val="20"/>
          <w:color w:val="auto"/>
        </w:rPr>
      </w:pPr>
      <w:r>
        <w:rPr>
          <w:rFonts w:ascii="Times New Roman" w:cs="Times New Roman" w:eastAsia="Times New Roman" w:hAnsi="Times New Roman"/>
          <w:sz w:val="20"/>
          <w:szCs w:val="20"/>
          <w:b w:val="1"/>
          <w:bCs w:val="1"/>
          <w:color w:val="auto"/>
        </w:rPr>
        <w:t>Warrants</w:t>
      </w:r>
    </w:p>
    <w:p>
      <w:pPr>
        <w:jc w:val="center"/>
        <w:ind w:right="39"/>
        <w:spacing w:after="0" w:line="234" w:lineRule="auto"/>
        <w:rPr>
          <w:sz w:val="20"/>
          <w:szCs w:val="20"/>
          <w:color w:val="auto"/>
        </w:rPr>
      </w:pPr>
      <w:r>
        <w:rPr>
          <w:rFonts w:ascii="Times New Roman" w:cs="Times New Roman" w:eastAsia="Times New Roman" w:hAnsi="Times New Roman"/>
          <w:sz w:val="20"/>
          <w:szCs w:val="20"/>
          <w:b w:val="1"/>
          <w:bCs w:val="1"/>
          <w:color w:val="auto"/>
        </w:rPr>
        <w:t>Purchase Contracts</w:t>
      </w:r>
    </w:p>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Offered by the Selling Securityholders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(including up to 117,666,665 Shares of Class A Common Stock Offered by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Selling Securityholders identified herein)</w:t>
      </w:r>
    </w:p>
    <w:p>
      <w:pPr>
        <w:spacing w:after="0" w:line="60" w:lineRule="exact"/>
        <w:rPr>
          <w:sz w:val="20"/>
          <w:szCs w:val="20"/>
          <w:color w:val="auto"/>
        </w:rPr>
      </w:pPr>
    </w:p>
    <w:p>
      <w:pPr>
        <w:ind w:left="1260" w:right="1359" w:firstLine="284"/>
        <w:spacing w:after="0" w:line="261" w:lineRule="auto"/>
        <w:rPr>
          <w:sz w:val="20"/>
          <w:szCs w:val="20"/>
          <w:color w:val="auto"/>
        </w:rPr>
      </w:pPr>
      <w:r>
        <w:rPr>
          <w:rFonts w:ascii="Times New Roman" w:cs="Times New Roman" w:eastAsia="Times New Roman" w:hAnsi="Times New Roman"/>
          <w:sz w:val="14"/>
          <w:szCs w:val="14"/>
          <w:color w:val="auto"/>
        </w:rPr>
        <w:t>We may offer and sell the securities identified above, and any selling securityholders identified herein or in supplements to this prospectus (the “Selling Securityholders”) may offer and sell Class A common stock as identified above (including up to 117,666,665 shares of Class A common stock offered by the Selling Securityholders identified herein), in each case from time to time in one or more offerings. This prospectus provides you with a general description of the securities. We will not receive any proceeds from the sale of our Class A common stock by the Selling Securityholders.</w:t>
      </w:r>
    </w:p>
    <w:p>
      <w:pPr>
        <w:spacing w:after="0" w:line="57" w:lineRule="exact"/>
        <w:rPr>
          <w:sz w:val="20"/>
          <w:szCs w:val="20"/>
          <w:color w:val="auto"/>
        </w:rPr>
      </w:pPr>
    </w:p>
    <w:p>
      <w:pPr>
        <w:ind w:left="1260" w:right="1339" w:firstLine="284"/>
        <w:spacing w:after="0" w:line="261" w:lineRule="auto"/>
        <w:rPr>
          <w:sz w:val="20"/>
          <w:szCs w:val="20"/>
          <w:color w:val="auto"/>
        </w:rPr>
      </w:pPr>
      <w:r>
        <w:rPr>
          <w:rFonts w:ascii="Times New Roman" w:cs="Times New Roman" w:eastAsia="Times New Roman" w:hAnsi="Times New Roman"/>
          <w:sz w:val="14"/>
          <w:szCs w:val="14"/>
          <w:color w:val="auto"/>
        </w:rPr>
        <w:t>Each time we or any of the Selling Securityholders offer and sell securities, we or such Selling Securityholders will provide a supplement to this prospectus that contains specific information about the offering and, if applicable, the Selling Securityholders, as well as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57" w:lineRule="exact"/>
        <w:rPr>
          <w:sz w:val="20"/>
          <w:szCs w:val="20"/>
          <w:color w:val="auto"/>
        </w:rPr>
      </w:pPr>
    </w:p>
    <w:p>
      <w:pPr>
        <w:ind w:left="1260" w:right="1279" w:firstLine="284"/>
        <w:spacing w:after="0" w:line="258"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In addition, the Selling Securityholders may offer and sell shares of our Class A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30" w:lineRule="exact"/>
        <w:rPr>
          <w:sz w:val="20"/>
          <w:szCs w:val="20"/>
          <w:color w:val="auto"/>
        </w:rPr>
      </w:pPr>
    </w:p>
    <w:p>
      <w:pPr>
        <w:ind w:left="1260" w:right="1299" w:firstLine="284"/>
        <w:spacing w:after="0" w:line="266"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SEE THE “</w:t>
      </w:r>
      <w:r>
        <w:rPr>
          <w:rFonts w:ascii="Times New Roman" w:cs="Times New Roman" w:eastAsia="Times New Roman" w:hAnsi="Times New Roman"/>
          <w:sz w:val="14"/>
          <w:szCs w:val="14"/>
          <w:b w:val="1"/>
          <w:bCs w:val="1"/>
          <w:u w:val="single" w:color="auto"/>
          <w:color w:val="auto"/>
        </w:rPr>
        <w:t>RISK FACTORS</w:t>
      </w:r>
      <w:r>
        <w:rPr>
          <w:rFonts w:ascii="Times New Roman" w:cs="Times New Roman" w:eastAsia="Times New Roman" w:hAnsi="Times New Roman"/>
          <w:sz w:val="14"/>
          <w:szCs w:val="14"/>
          <w:b w:val="1"/>
          <w:bCs w:val="1"/>
          <w:color w:val="auto"/>
        </w:rPr>
        <w:t xml:space="preserve">” ON PAGE </w:t>
      </w:r>
      <w:r>
        <w:rPr>
          <w:rFonts w:ascii="Times New Roman" w:cs="Times New Roman" w:eastAsia="Times New Roman" w:hAnsi="Times New Roman"/>
          <w:sz w:val="14"/>
          <w:szCs w:val="14"/>
          <w:b w:val="1"/>
          <w:bCs w:val="1"/>
          <w:u w:val="single" w:color="auto"/>
          <w:color w:val="0000EE"/>
        </w:rPr>
        <w:t>7</w:t>
      </w:r>
      <w:r>
        <w:rPr>
          <w:rFonts w:ascii="Times New Roman" w:cs="Times New Roman" w:eastAsia="Times New Roman" w:hAnsi="Times New Roman"/>
          <w:sz w:val="14"/>
          <w:szCs w:val="14"/>
          <w:b w:val="1"/>
          <w:bCs w:val="1"/>
          <w:color w:val="auto"/>
        </w:rPr>
        <w:t xml:space="preserve"> OF THIS PROSPECTUS AND ANY SIMILAR SECTION CONTAINED IN THE APPLICABLE PROSPECTUS SUPPLEMENT CONCERNING FACTORS YOU SHOULD CONSIDER BEFORE INVESTING IN OUR SECURITIES.</w:t>
      </w:r>
    </w:p>
    <w:p>
      <w:pPr>
        <w:spacing w:after="0" w:line="55" w:lineRule="exact"/>
        <w:rPr>
          <w:sz w:val="20"/>
          <w:szCs w:val="20"/>
          <w:color w:val="auto"/>
        </w:rPr>
      </w:pPr>
    </w:p>
    <w:p>
      <w:pPr>
        <w:jc w:val="both"/>
        <w:ind w:left="1260" w:right="1319" w:firstLine="284"/>
        <w:spacing w:after="0" w:line="271" w:lineRule="auto"/>
        <w:rPr>
          <w:sz w:val="20"/>
          <w:szCs w:val="20"/>
          <w:color w:val="auto"/>
        </w:rPr>
      </w:pPr>
      <w:r>
        <w:rPr>
          <w:rFonts w:ascii="Times New Roman" w:cs="Times New Roman" w:eastAsia="Times New Roman" w:hAnsi="Times New Roman"/>
          <w:sz w:val="14"/>
          <w:szCs w:val="14"/>
          <w:color w:val="auto"/>
        </w:rPr>
        <w:t>Our Class A common stock is listed on the Nasdaq Global Select Market (“Nasdaq”) under the symbol “FLNC.” On May 11, 2026, the last reported sale price of our Class A common stock on Nasdaq was $25.23 per share.</w:t>
      </w:r>
    </w:p>
    <w:p>
      <w:pPr>
        <w:spacing w:after="0" w:line="81" w:lineRule="exact"/>
        <w:rPr>
          <w:sz w:val="20"/>
          <w:szCs w:val="20"/>
          <w:color w:val="auto"/>
        </w:rPr>
      </w:pPr>
    </w:p>
    <w:p>
      <w:pPr>
        <w:ind w:left="1260" w:right="1339" w:firstLine="284"/>
        <w:spacing w:after="0" w:line="27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200025</wp:posOffset>
            </wp:positionV>
            <wp:extent cx="53879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8" w:name="page39"/>
    <w:bookmarkEnd w:id="38"/>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29" w:lineRule="exact"/>
        <w:rPr>
          <w:sz w:val="20"/>
          <w:szCs w:val="20"/>
          <w:color w:val="auto"/>
        </w:rPr>
      </w:pPr>
    </w:p>
    <w:p>
      <w:pPr>
        <w:ind w:left="1260" w:right="1299" w:firstLine="284"/>
        <w:spacing w:after="0" w:line="260" w:lineRule="auto"/>
        <w:rPr>
          <w:sz w:val="20"/>
          <w:szCs w:val="20"/>
          <w:color w:val="auto"/>
        </w:rPr>
      </w:pPr>
      <w:r>
        <w:rPr>
          <w:rFonts w:ascii="Times New Roman" w:cs="Times New Roman" w:eastAsia="Times New Roman" w:hAnsi="Times New Roman"/>
          <w:sz w:val="14"/>
          <w:szCs w:val="14"/>
          <w:color w:val="auto"/>
        </w:rPr>
        <w:t>We are filing this registration statement with the U.S. Securities and Exchange Commission (the “SEC”) using a “shelf” registration process to replace our prior registration statement on Form S-3 (File No. 333-273939) (the “Prior Registration Statement”) that will expire on August 11, 2026, in accordance with applicable SEC regulations. In accordance with Rule 415(a)(6) under the Securities Act of 1933, as amended (the “Securities Act”), the offering of securities under the Prior Registration Statement will be deemed terminated as of the date of effectiveness of this registration statement, which became automatically effective upon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5580380</wp:posOffset>
            </wp:positionV>
            <wp:extent cx="53879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9" w:name="page40"/>
    <w:bookmarkEnd w:id="39"/>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-85725</wp:posOffset>
            </wp:positionV>
            <wp:extent cx="411480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4114800" cy="94615"/>
                    </a:xfrm>
                    <a:prstGeom prst="rect">
                      <a:avLst/>
                    </a:prstGeom>
                    <a:noFill/>
                  </pic:spPr>
                </pic:pic>
              </a:graphicData>
            </a:graphic>
          </wp:anchor>
        </w:drawing>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CAUTIONARY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STATEMENT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-6350</wp:posOffset>
            </wp:positionV>
            <wp:extent cx="4114800" cy="155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4114800" cy="15557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 INCORPORATION BY REFERENCE</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FLUENCE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-4445</wp:posOffset>
            </wp:positionV>
            <wp:extent cx="4114800" cy="155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4114800" cy="15557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-4445</wp:posOffset>
            </wp:positionV>
            <wp:extent cx="4114800" cy="155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4114800" cy="15557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-4445</wp:posOffset>
            </wp:positionV>
            <wp:extent cx="4114800" cy="155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4114800" cy="15557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OTHER SECURITIES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GLOBAL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-4445</wp:posOffset>
            </wp:positionV>
            <wp:extent cx="4114800" cy="155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4114800" cy="15557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SELLING</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SECURITYHOLDERS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-4445</wp:posOffset>
            </wp:positionV>
            <wp:extent cx="4114800" cy="155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4114800" cy="15557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23</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27</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29</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w:t>
      </w:r>
    </w:p>
    <w:p>
      <w:pPr>
        <w:sectPr>
          <w:pgSz w:w="11900" w:h="16838" w:orient="portrait"/>
          <w:cols w:equalWidth="0" w:num="2">
            <w:col w:w="6740" w:space="720"/>
            <w:col w:w="1559"/>
          </w:cols>
          <w:pgMar w:left="1440" w:top="108" w:right="1440" w:bottom="1440" w:gutter="0" w:footer="0" w:header="0"/>
        </w:sectPr>
      </w:pPr>
    </w:p>
    <w:bookmarkStart w:id="40" w:name="page41"/>
    <w:bookmarkEnd w:id="40"/>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9" w:lineRule="exact"/>
        <w:rPr>
          <w:sz w:val="20"/>
          <w:szCs w:val="20"/>
          <w:color w:val="auto"/>
        </w:rPr>
      </w:pPr>
    </w:p>
    <w:p>
      <w:pPr>
        <w:ind w:left="1260" w:right="1279" w:firstLine="284"/>
        <w:spacing w:after="0" w:line="256"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as a “well-known seasoned issuer” as defined in Rule 405 under the Securities Act, using a “shelf” registration process. By using a shelf registration statement, we may sell securities from time to time and in one or more offerings and the Selling Securityholders identified herein or to be named in a supplement to this prospectus may sell Class A common stock from time to time in one or more offerings as described in this prospectus. Each time that we or the Selling Securityholders offer and sell securities, we or the Selling Securityholders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268" w:lineRule="exact"/>
        <w:rPr>
          <w:sz w:val="20"/>
          <w:szCs w:val="20"/>
          <w:color w:val="auto"/>
        </w:rPr>
      </w:pPr>
    </w:p>
    <w:p>
      <w:pPr>
        <w:ind w:left="1260" w:right="1279" w:firstLine="284"/>
        <w:spacing w:after="0" w:line="255"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200" w:lineRule="exact"/>
        <w:rPr>
          <w:sz w:val="20"/>
          <w:szCs w:val="20"/>
          <w:color w:val="auto"/>
        </w:rPr>
      </w:pPr>
    </w:p>
    <w:p>
      <w:pPr>
        <w:spacing w:after="0" w:line="233" w:lineRule="exact"/>
        <w:rPr>
          <w:sz w:val="20"/>
          <w:szCs w:val="20"/>
          <w:color w:val="auto"/>
        </w:rPr>
      </w:pPr>
    </w:p>
    <w:p>
      <w:pPr>
        <w:ind w:left="1260" w:right="1379" w:firstLine="284"/>
        <w:spacing w:after="0" w:line="271" w:lineRule="auto"/>
        <w:rPr>
          <w:sz w:val="20"/>
          <w:szCs w:val="20"/>
          <w:color w:val="auto"/>
        </w:rPr>
      </w:pPr>
      <w:r>
        <w:rPr>
          <w:rFonts w:ascii="Times New Roman" w:cs="Times New Roman" w:eastAsia="Times New Roman" w:hAnsi="Times New Roman"/>
          <w:sz w:val="14"/>
          <w:szCs w:val="14"/>
          <w:color w:val="auto"/>
        </w:rPr>
        <w:t>When we refer to “Fluence,” “we,” “our,” “us” and the “Company” in this prospectus, we mean Fluence Energy, Inc. and its consolidated subsidiaries, unless otherwise specified. When we refer to “you,” we mean the potential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1" w:name="page42"/>
    <w:bookmarkEnd w:id="41"/>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29" w:lineRule="exact"/>
        <w:rPr>
          <w:sz w:val="20"/>
          <w:szCs w:val="20"/>
          <w:color w:val="auto"/>
        </w:rPr>
      </w:pPr>
    </w:p>
    <w:p>
      <w:pPr>
        <w:ind w:left="1260" w:right="1279" w:firstLine="284"/>
        <w:spacing w:after="0" w:line="244" w:lineRule="auto"/>
        <w:rPr>
          <w:sz w:val="20"/>
          <w:szCs w:val="20"/>
          <w:color w:val="auto"/>
        </w:rPr>
      </w:pPr>
      <w:r>
        <w:rPr>
          <w:rFonts w:ascii="Times New Roman" w:cs="Times New Roman" w:eastAsia="Times New Roman" w:hAnsi="Times New Roman"/>
          <w:sz w:val="14"/>
          <w:szCs w:val="14"/>
          <w:color w:val="auto"/>
        </w:rPr>
        <w:t>This prospectus, any accompanying prospectus supplement and the documents incorporated by reference in this prospectus or any prospectus supplement contain or may contain forward-looking statements. We intend such forward-looking statements to be covered by the safe harbor provisions for forward-looking statements contained in Section 27A of the Securities Act and Section 21E of the Securities Exchange Act of 1934, as amended (the “Exchange Act”). All statements other than statements of historical facts contained in this prospectus, any accompanying prospectus supplement and the documents incorporated herein and therein are forward-looking statements. In particular, statements regarding our future results of operations and financial position, operational performance, the Company’s business, growth, and innovation strategy and the efficacy of our products and services to meet evolving needs, future market and industry growth and related opportunities for the Company, projected operating costs, our ability to differentiate our products and optimize our cost structure, our ability to compete, liquidity and access to capital, the timing of future revenue recognition, future capital expenditures and debt service obligations, the Company’s expected growth and demand for our energy storage solutions, services, and digital application offerings and the industry generally, relationships with new and existing customers and suppliers, introduction of new energy storage solutions, services, and digital application offerings and adoption of such offerings by customers, our domestic content strategy, assumptions relating to the Company’s tax receivable agreement, expectations relating to backlog, pipeline, contracted backlog, and order intake, current expectations relating to legal proceedings, anticipated impact and benefits from the Inflation Reduction Act of 2022 (the “IRA”) and related domestic content guidelines on us and our customers, potential impact of the changes to the IRA pursuant to the One Big Beautiful Bill Act and related executive orders and agency guidance on us, our customers, and our suppliers, the implementation and success of our compliance and risk mitigation strategies related to the foregoing regulatory impacts and uncertainty, potential or estimated impact of tariffs and any potential tariff and duty refunds as well as timing of any potential or estimated impacts, uncertainty around U.S. and foreign trade policy on the Company, our suppliers, and our customers, and beliefs, assumptions, prospects, plans, and objectives of management, are forward-looking statements.</w:t>
      </w:r>
    </w:p>
    <w:p>
      <w:pPr>
        <w:spacing w:after="0" w:line="200" w:lineRule="exact"/>
        <w:rPr>
          <w:sz w:val="20"/>
          <w:szCs w:val="20"/>
          <w:color w:val="auto"/>
        </w:rPr>
      </w:pPr>
    </w:p>
    <w:p>
      <w:pPr>
        <w:spacing w:after="0" w:line="228" w:lineRule="exact"/>
        <w:rPr>
          <w:sz w:val="20"/>
          <w:szCs w:val="20"/>
          <w:color w:val="auto"/>
        </w:rPr>
      </w:pPr>
    </w:p>
    <w:p>
      <w:pPr>
        <w:ind w:left="1260" w:right="1299" w:firstLine="284"/>
        <w:spacing w:after="0" w:line="247" w:lineRule="auto"/>
        <w:rPr>
          <w:sz w:val="20"/>
          <w:szCs w:val="20"/>
          <w:color w:val="auto"/>
        </w:rPr>
      </w:pPr>
      <w:r>
        <w:rPr>
          <w:rFonts w:ascii="Times New Roman" w:cs="Times New Roman" w:eastAsia="Times New Roman" w:hAnsi="Times New Roman"/>
          <w:sz w:val="14"/>
          <w:szCs w:val="14"/>
          <w:color w:val="auto"/>
        </w:rPr>
        <w:t>In some cases, you may identify forward-looking statements by terms such as “anticipates,” “believes,” “commits,” “contemplates,” “continue,” “could,” “estimates,” “expects,” “grows,” “intends,” “may,” “plans,” “possible,” “potential,” “predicts,” “projects,” “seeks,” “should,” “targets,” “will,” or “would,”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 looking statements are reasonable as of the date made, actual results may prove to be materially different from the results expressed or implied by the forward-looking statements.</w:t>
      </w:r>
    </w:p>
    <w:p>
      <w:pPr>
        <w:spacing w:after="0" w:line="91" w:lineRule="exact"/>
        <w:rPr>
          <w:sz w:val="20"/>
          <w:szCs w:val="20"/>
          <w:color w:val="auto"/>
        </w:rPr>
      </w:pPr>
    </w:p>
    <w:p>
      <w:pPr>
        <w:ind w:left="1260" w:right="1279" w:firstLine="284"/>
        <w:spacing w:after="0" w:line="245"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other important factors that could cause actual results to differ materially from those in the forward-looking statements, including, but not limited to: the elimination or expiration of government incentives or regulations regarding renewable energy; changes in the global trade environment; fluctuations in order intake and results of operations across fiscal periods; a significant reduction in order volume or loss of significant customers or their inability to perform under contracts; competition for offerings and the ability to attract new customers and retain existing ones; maintaining and enhancing reputation and brand recognition; our ability to manage recent and future growth and the expansion of our business and operations; our ability to attract and retain highly qualified personnel; our growth depending on the success of relationships with third parties; delays, disruptions, and quality control problems in manufacturing operations; risks associated with engineering and construction, utility interconnection, commissioning and installation of energy storage products, cost overruns, and delays; supplier concentration and limited supplier capacity; operating as a global company with a global supply chain; changes in the cost and availability of raw materials and underlying components; lengthy sales and installation cycle for energy storage solutions; quality and quantity of components provided by suppliers; defects, errors, vulnerabilities, and/or bugs in products and technology; events and incidents relating to storage, delivery, installation, operation, maintenance, and shutdowns of products; current and planned foreign operations; failure by contract manufacturers, vendors, and suppliers to use ethical business practices and comply with applicable laws and regulations; actual or threatened health epidemics, pandemics, or similar public health threats; severe weather events; acquisitions made or that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2" w:name="page43"/>
    <w:bookmarkEnd w:id="42"/>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79"/>
        <w:spacing w:after="0" w:line="254" w:lineRule="auto"/>
        <w:rPr>
          <w:sz w:val="20"/>
          <w:szCs w:val="20"/>
          <w:color w:val="auto"/>
        </w:rPr>
      </w:pPr>
      <w:r>
        <w:rPr>
          <w:rFonts w:ascii="Times New Roman" w:cs="Times New Roman" w:eastAsia="Times New Roman" w:hAnsi="Times New Roman"/>
          <w:sz w:val="14"/>
          <w:szCs w:val="14"/>
          <w:color w:val="auto"/>
        </w:rPr>
        <w:t>may be pursued; our ability to obtain financial assurances for projects; relatively limited operating and revenue history as an independent entity and the nascent clean energy industry; anticipated increases in expenses in the future and our ability to maintain prolonged profitability; the risk that amounts included in the pipeline and contracted backlog may not result in actual revenue or translate into profits; restrictions set forth in current and future credit and debt agreements; our uncertain ability to raise additional capital to execute on business opportunities; fluctuations in currency exchange rates; whether renewable energy technologies are suitable for widespread adoption or if sufficient demand for offerings does not develop or takes longer to develop than anticipated; our estimates on the size of the total addressable market; macroeconomic uncertainty and market conditions; interest rates or a reduction in the availability of tax equity or project debt capital in the global financial markets and corresponding effects on customers’ ability to finance energy storage systems and demand for energy storage solutions; the cost of electricity available from alternative sources; a decline or delay in public acceptance of renewable energy, or increase in the cost of customer projects; increased attention to environmental, social and governance matters; our ability to obtain, maintain, and enforce proper protection for intellectual property, including technology; the threat of lawsuits by third parties alleging intellectual property violations; our having adequate protection for trademarks and trade names; our ability to enforce intellectual property rights; our patent portfolio; our ability to effectively protect data integrity of technology infrastructure, data, and other business systems; the use of open-source software; our failure to comply with third-party license or technology agreements; our inability to license rights to use technologies on reasonable terms; compromises, interruptions, or shutdowns of systems; use of artificial intelligence (“AI”) technologies; potential changes in tax laws or regulations; barriers arising from current electric utility industry policies and regulations and any subsequent changes; environmental, health, and safety laws and potential obligations, liabilities, and costs thereunder; actual or perceived failure to comply with data privacy and data security laws, regulations, industry standards, and other requirements relating to the privacy, security, and processing of personal information; potential future legal proceedings, regulatory disputes, and governmental inquiries; ownership of our Class A common stock; short-seller activists; being a “controlled company” within the meaning of the rules of the Nasdaq Stock Market; conflicts of interest by officers and directors due to positions with our continuing equity owners; relationship with our founders and continuing equity owners; terms of our amended and restated certificate of incorporation and amended and restated bylaws; our dependence on distributions from Fluence Energy, LLC to pay taxes and expenses and Fluence Energy, LLC’s ability to make such distributions may be limited or restricted in certain scenarios; risks arising out of the Tax Receivable Agreement; unanticipated changes in effective tax rates or adverse outcomes resulting from examination of tax returns; risks related to the 2030 Convertible Senior Notes; improper and ineffective internal control over reporting to comply with the Sarbanes-Oxley Act; changes in accounting principles or their applicability; and estimates or judgments relating to critical accounting policies; and the factors described under the headings Part I, Item 1A. “Risk Factors” and Item 7. “Management’s Discussion and Analysis of Financial Condition and Results of Operations” in our most recent Annual Report on Form 10-K and any subsequent Quarterly Reports on Form 10-Q or Current Reports on Form 8-K, in each case, filed with the SEC and incorporated by reference herein.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prospectus, any accompanying prospectus supplement and the documents incorporated herein and therein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3" w:name="page44"/>
    <w:bookmarkEnd w:id="43"/>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29" w:lineRule="exact"/>
        <w:rPr>
          <w:sz w:val="20"/>
          <w:szCs w:val="20"/>
          <w:color w:val="auto"/>
        </w:rPr>
      </w:pPr>
    </w:p>
    <w:p>
      <w:pPr>
        <w:ind w:left="1260" w:right="1299" w:firstLine="284"/>
        <w:spacing w:after="0" w:line="271" w:lineRule="auto"/>
        <w:rPr>
          <w:sz w:val="20"/>
          <w:szCs w:val="20"/>
          <w:color w:val="auto"/>
        </w:rPr>
      </w:pPr>
      <w:r>
        <w:rPr>
          <w:rFonts w:ascii="Times New Roman" w:cs="Times New Roman" w:eastAsia="Times New Roman" w:hAnsi="Times New Roman"/>
          <w:sz w:val="14"/>
          <w:szCs w:val="14"/>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81" w:lineRule="exact"/>
        <w:rPr>
          <w:sz w:val="20"/>
          <w:szCs w:val="20"/>
          <w:color w:val="auto"/>
        </w:rPr>
      </w:pPr>
    </w:p>
    <w:p>
      <w:pPr>
        <w:ind w:left="1260" w:right="1499" w:firstLine="284"/>
        <w:spacing w:after="0" w:line="292" w:lineRule="auto"/>
        <w:rPr>
          <w:sz w:val="20"/>
          <w:szCs w:val="20"/>
          <w:color w:val="auto"/>
        </w:rPr>
      </w:pPr>
      <w:r>
        <w:rPr>
          <w:rFonts w:ascii="Times New Roman" w:cs="Times New Roman" w:eastAsia="Times New Roman" w:hAnsi="Times New Roman"/>
          <w:sz w:val="14"/>
          <w:szCs w:val="14"/>
          <w:color w:val="auto"/>
        </w:rPr>
        <w:t xml:space="preserve">Our web site address is </w:t>
      </w:r>
      <w:r>
        <w:rPr>
          <w:rFonts w:ascii="Times New Roman" w:cs="Times New Roman" w:eastAsia="Times New Roman" w:hAnsi="Times New Roman"/>
          <w:sz w:val="14"/>
          <w:szCs w:val="14"/>
          <w:i w:val="1"/>
          <w:iCs w:val="1"/>
          <w:color w:val="auto"/>
        </w:rPr>
        <w:t>https://fluenceenergy.com</w:t>
      </w:r>
      <w:r>
        <w:rPr>
          <w:rFonts w:ascii="Times New Roman" w:cs="Times New Roman" w:eastAsia="Times New Roman" w:hAnsi="Times New Roman"/>
          <w:sz w:val="14"/>
          <w:szCs w:val="14"/>
          <w:color w:val="auto"/>
        </w:rPr>
        <w:t>. The information on our web site, however, is not, and should not be deemed to be, a part of this prospectus.</w:t>
      </w:r>
    </w:p>
    <w:p>
      <w:pPr>
        <w:spacing w:after="0" w:line="58" w:lineRule="exact"/>
        <w:rPr>
          <w:sz w:val="20"/>
          <w:szCs w:val="20"/>
          <w:color w:val="auto"/>
        </w:rPr>
      </w:pPr>
    </w:p>
    <w:p>
      <w:pPr>
        <w:ind w:left="1260" w:right="1399" w:firstLine="284"/>
        <w:spacing w:after="0" w:line="258"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9" w:lineRule="exact"/>
        <w:rPr>
          <w:sz w:val="20"/>
          <w:szCs w:val="20"/>
          <w:color w:val="auto"/>
        </w:rPr>
      </w:pPr>
    </w:p>
    <w:p>
      <w:pPr>
        <w:ind w:left="1260" w:right="1299" w:firstLine="284"/>
        <w:spacing w:after="0" w:line="259"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264" w:lineRule="exact"/>
        <w:rPr>
          <w:sz w:val="20"/>
          <w:szCs w:val="20"/>
          <w:color w:val="auto"/>
        </w:rPr>
      </w:pPr>
    </w:p>
    <w:p>
      <w:pPr>
        <w:ind w:left="1260" w:right="1339" w:firstLine="284"/>
        <w:spacing w:after="0" w:line="289"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38" w:lineRule="exact"/>
        <w:rPr>
          <w:sz w:val="20"/>
          <w:szCs w:val="20"/>
          <w:color w:val="auto"/>
        </w:rPr>
      </w:pPr>
    </w:p>
    <w:p>
      <w:pPr>
        <w:ind w:left="1700" w:right="1419" w:hanging="149"/>
        <w:spacing w:after="0" w:line="289" w:lineRule="auto"/>
        <w:tabs>
          <w:tab w:leader="none" w:pos="1700" w:val="left"/>
        </w:tabs>
        <w:numPr>
          <w:ilvl w:val="0"/>
          <w:numId w:val="26"/>
        </w:numPr>
        <w:rPr>
          <w:rFonts w:ascii="Times New Roman" w:cs="Times New Roman" w:eastAsia="Times New Roman" w:hAnsi="Times New Roman"/>
          <w:sz w:val="14"/>
          <w:szCs w:val="14"/>
          <w:u w:val="single" w:color="auto"/>
          <w:color w:val="0000EE"/>
        </w:rPr>
      </w:pPr>
      <w:hyperlink r:id="rId24">
        <w:r>
          <w:rPr>
            <w:rFonts w:ascii="Times New Roman" w:cs="Times New Roman" w:eastAsia="Times New Roman" w:hAnsi="Times New Roman"/>
            <w:sz w:val="14"/>
            <w:szCs w:val="14"/>
            <w:u w:val="single" w:color="auto"/>
            <w:color w:val="0000EE"/>
          </w:rPr>
          <w:t>Our Annual Report on Form 10-K for the fiscal year ended September 30, 2025, filed with the SEC</w:t>
        </w:r>
      </w:hyperlink>
      <w:r>
        <w:rPr>
          <w:rFonts w:ascii="Times New Roman" w:cs="Times New Roman" w:eastAsia="Times New Roman" w:hAnsi="Times New Roman"/>
          <w:sz w:val="14"/>
          <w:szCs w:val="14"/>
          <w:u w:val="single" w:color="auto"/>
          <w:color w:val="0000EE"/>
        </w:rPr>
        <w:t xml:space="preserve"> </w:t>
      </w:r>
      <w:hyperlink r:id="rId24">
        <w:r>
          <w:rPr>
            <w:rFonts w:ascii="Times New Roman" w:cs="Times New Roman" w:eastAsia="Times New Roman" w:hAnsi="Times New Roman"/>
            <w:sz w:val="14"/>
            <w:szCs w:val="14"/>
            <w:u w:val="single" w:color="auto"/>
            <w:color w:val="0000EE"/>
          </w:rPr>
          <w:t>on November 25, 2025;</w:t>
        </w:r>
      </w:hyperlink>
    </w:p>
    <w:p>
      <w:pPr>
        <w:spacing w:after="0" w:line="38" w:lineRule="exact"/>
        <w:rPr>
          <w:rFonts w:ascii="Times New Roman" w:cs="Times New Roman" w:eastAsia="Times New Roman" w:hAnsi="Times New Roman"/>
          <w:sz w:val="14"/>
          <w:szCs w:val="14"/>
          <w:u w:val="single" w:color="auto"/>
          <w:color w:val="0000EE"/>
        </w:rPr>
      </w:pPr>
    </w:p>
    <w:p>
      <w:pPr>
        <w:ind w:left="1700" w:right="1319" w:hanging="149"/>
        <w:spacing w:after="0" w:line="271" w:lineRule="auto"/>
        <w:tabs>
          <w:tab w:leader="none" w:pos="1700" w:val="left"/>
        </w:tabs>
        <w:numPr>
          <w:ilvl w:val="0"/>
          <w:numId w:val="26"/>
        </w:numPr>
        <w:rPr>
          <w:rFonts w:ascii="Times New Roman" w:cs="Times New Roman" w:eastAsia="Times New Roman" w:hAnsi="Times New Roman"/>
          <w:sz w:val="14"/>
          <w:szCs w:val="14"/>
          <w:color w:val="0000EE"/>
        </w:rPr>
      </w:pPr>
      <w:hyperlink r:id="rId24">
        <w:r>
          <w:rPr>
            <w:rFonts w:ascii="Times New Roman" w:cs="Times New Roman" w:eastAsia="Times New Roman" w:hAnsi="Times New Roman"/>
            <w:sz w:val="14"/>
            <w:szCs w:val="14"/>
            <w:color w:val="auto"/>
          </w:rPr>
          <w:t xml:space="preserve">The information specifically incorporated by reference into our </w:t>
        </w:r>
        <w:r>
          <w:rPr>
            <w:rFonts w:ascii="Times New Roman" w:cs="Times New Roman" w:eastAsia="Times New Roman" w:hAnsi="Times New Roman"/>
            <w:sz w:val="14"/>
            <w:szCs w:val="14"/>
            <w:u w:val="single" w:color="auto"/>
            <w:color w:val="0000EE"/>
          </w:rPr>
          <w:t>Annual Report on Form 10-K for the</w:t>
        </w:r>
      </w:hyperlink>
      <w:r>
        <w:rPr>
          <w:rFonts w:ascii="Times New Roman" w:cs="Times New Roman" w:eastAsia="Times New Roman" w:hAnsi="Times New Roman"/>
          <w:sz w:val="14"/>
          <w:szCs w:val="14"/>
          <w:color w:val="auto"/>
        </w:rPr>
        <w:t xml:space="preserve"> </w:t>
      </w:r>
      <w:hyperlink r:id="rId25">
        <w:r>
          <w:rPr>
            <w:rFonts w:ascii="Times New Roman" w:cs="Times New Roman" w:eastAsia="Times New Roman" w:hAnsi="Times New Roman"/>
            <w:sz w:val="14"/>
            <w:szCs w:val="14"/>
            <w:u w:val="single" w:color="auto"/>
            <w:color w:val="0000EE"/>
          </w:rPr>
          <w:t>fiscal year ended September 30, 2025</w:t>
        </w:r>
        <w:r>
          <w:rPr>
            <w:rFonts w:ascii="Times New Roman" w:cs="Times New Roman" w:eastAsia="Times New Roman" w:hAnsi="Times New Roman"/>
            <w:sz w:val="14"/>
            <w:szCs w:val="14"/>
            <w:color w:val="000000"/>
          </w:rPr>
          <w:t>, from our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Definitive Proxy Statement on Schedule 14A, filed</w:t>
        </w:r>
      </w:hyperlink>
      <w:r>
        <w:rPr>
          <w:rFonts w:ascii="Times New Roman" w:cs="Times New Roman" w:eastAsia="Times New Roman" w:hAnsi="Times New Roman"/>
          <w:sz w:val="14"/>
          <w:szCs w:val="14"/>
          <w:color w:val="0000EE"/>
        </w:rPr>
        <w:t xml:space="preserve"> </w:t>
      </w:r>
      <w:hyperlink r:id="rId25">
        <w:r>
          <w:rPr>
            <w:rFonts w:ascii="Times New Roman" w:cs="Times New Roman" w:eastAsia="Times New Roman" w:hAnsi="Times New Roman"/>
            <w:sz w:val="14"/>
            <w:szCs w:val="14"/>
            <w:u w:val="single" w:color="auto"/>
            <w:color w:val="0000EE"/>
          </w:rPr>
          <w:t>with the SEC on January 26, 2026</w:t>
        </w:r>
        <w:r>
          <w:rPr>
            <w:rFonts w:ascii="Times New Roman" w:cs="Times New Roman" w:eastAsia="Times New Roman" w:hAnsi="Times New Roman"/>
            <w:sz w:val="14"/>
            <w:szCs w:val="14"/>
            <w:color w:val="000000"/>
          </w:rPr>
          <w:t>;</w:t>
        </w:r>
      </w:hyperlink>
    </w:p>
    <w:p>
      <w:pPr>
        <w:spacing w:after="0" w:line="51" w:lineRule="exact"/>
        <w:rPr>
          <w:rFonts w:ascii="Times New Roman" w:cs="Times New Roman" w:eastAsia="Times New Roman" w:hAnsi="Times New Roman"/>
          <w:sz w:val="14"/>
          <w:szCs w:val="14"/>
          <w:color w:val="0000EE"/>
        </w:rPr>
      </w:pPr>
    </w:p>
    <w:p>
      <w:pPr>
        <w:ind w:left="1700" w:right="1379" w:hanging="149"/>
        <w:spacing w:after="0" w:line="271" w:lineRule="auto"/>
        <w:tabs>
          <w:tab w:leader="none" w:pos="1700" w:val="left"/>
        </w:tabs>
        <w:numPr>
          <w:ilvl w:val="0"/>
          <w:numId w:val="26"/>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Quarterly Reports on Form 10-Q for the fiscal quarter ended December 31, 2025, filed with the SEC on </w:t>
      </w:r>
      <w:hyperlink r:id="rId26">
        <w:r>
          <w:rPr>
            <w:rFonts w:ascii="Times New Roman" w:cs="Times New Roman" w:eastAsia="Times New Roman" w:hAnsi="Times New Roman"/>
            <w:sz w:val="14"/>
            <w:szCs w:val="14"/>
            <w:u w:val="single" w:color="auto"/>
            <w:color w:val="0000EE"/>
          </w:rPr>
          <w:t>February 4, 2026</w:t>
        </w:r>
      </w:hyperlink>
      <w:r>
        <w:rPr>
          <w:rFonts w:ascii="Times New Roman" w:cs="Times New Roman" w:eastAsia="Times New Roman" w:hAnsi="Times New Roman"/>
          <w:sz w:val="14"/>
          <w:szCs w:val="14"/>
          <w:color w:val="auto"/>
        </w:rPr>
        <w:t xml:space="preserve">, and for the fiscal quarter ended March 31, 2026, filed with the SEC on </w:t>
      </w:r>
      <w:hyperlink r:id="rId27">
        <w:r>
          <w:rPr>
            <w:rFonts w:ascii="Times New Roman" w:cs="Times New Roman" w:eastAsia="Times New Roman" w:hAnsi="Times New Roman"/>
            <w:sz w:val="14"/>
            <w:szCs w:val="14"/>
            <w:u w:val="single" w:color="auto"/>
            <w:color w:val="0000EE"/>
          </w:rPr>
          <w:t>May 6, 2026</w:t>
        </w:r>
      </w:hyperlink>
      <w:r>
        <w:rPr>
          <w:rFonts w:ascii="Times New Roman" w:cs="Times New Roman" w:eastAsia="Times New Roman" w:hAnsi="Times New Roman"/>
          <w:sz w:val="14"/>
          <w:szCs w:val="14"/>
          <w:color w:val="000000"/>
        </w:rPr>
        <w:t>;</w:t>
      </w:r>
    </w:p>
    <w:p>
      <w:pPr>
        <w:spacing w:after="0" w:line="51" w:lineRule="exact"/>
        <w:rPr>
          <w:rFonts w:ascii="Times New Roman" w:cs="Times New Roman" w:eastAsia="Times New Roman" w:hAnsi="Times New Roman"/>
          <w:sz w:val="14"/>
          <w:szCs w:val="14"/>
          <w:color w:val="0000EE"/>
        </w:rPr>
      </w:pPr>
    </w:p>
    <w:p>
      <w:pPr>
        <w:ind w:left="1700" w:right="1659" w:hanging="149"/>
        <w:spacing w:after="0" w:line="289" w:lineRule="auto"/>
        <w:tabs>
          <w:tab w:leader="none" w:pos="1700" w:val="left"/>
        </w:tabs>
        <w:numPr>
          <w:ilvl w:val="0"/>
          <w:numId w:val="26"/>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28">
        <w:r>
          <w:rPr>
            <w:rFonts w:ascii="Times New Roman" w:cs="Times New Roman" w:eastAsia="Times New Roman" w:hAnsi="Times New Roman"/>
            <w:sz w:val="14"/>
            <w:szCs w:val="14"/>
            <w:u w:val="single" w:color="auto"/>
            <w:color w:val="0000EE"/>
          </w:rPr>
          <w:t xml:space="preserve">October 3, 2025, </w:t>
        </w:r>
      </w:hyperlink>
      <w:hyperlink r:id="rId29">
        <w:r>
          <w:rPr>
            <w:rFonts w:ascii="Times New Roman" w:cs="Times New Roman" w:eastAsia="Times New Roman" w:hAnsi="Times New Roman"/>
            <w:sz w:val="14"/>
            <w:szCs w:val="14"/>
            <w:u w:val="single" w:color="auto"/>
            <w:color w:val="auto"/>
          </w:rPr>
          <w:t xml:space="preserve">March </w:t>
        </w:r>
        <w:r>
          <w:rPr>
            <w:rFonts w:ascii="Times New Roman" w:cs="Times New Roman" w:eastAsia="Times New Roman" w:hAnsi="Times New Roman"/>
            <w:sz w:val="14"/>
            <w:szCs w:val="14"/>
            <w:u w:val="single" w:color="auto"/>
            <w:color w:val="0000EE"/>
          </w:rPr>
          <w:t>16, 2026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0">
        <w:r>
          <w:rPr>
            <w:rFonts w:ascii="Times New Roman" w:cs="Times New Roman" w:eastAsia="Times New Roman" w:hAnsi="Times New Roman"/>
            <w:sz w:val="14"/>
            <w:szCs w:val="14"/>
            <w:u w:val="single" w:color="auto"/>
            <w:color w:val="0000EE"/>
          </w:rPr>
          <w:t>April 3,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our Current Report on Form 8-K/A filed with the SEC on</w:t>
      </w:r>
      <w:r>
        <w:rPr>
          <w:rFonts w:ascii="Times New Roman" w:cs="Times New Roman" w:eastAsia="Times New Roman" w:hAnsi="Times New Roman"/>
          <w:sz w:val="14"/>
          <w:szCs w:val="14"/>
          <w:color w:val="0000EE"/>
        </w:rPr>
        <w:t xml:space="preserve"> </w:t>
      </w:r>
      <w:hyperlink r:id="rId31">
        <w:r>
          <w:rPr>
            <w:rFonts w:ascii="Times New Roman" w:cs="Times New Roman" w:eastAsia="Times New Roman" w:hAnsi="Times New Roman"/>
            <w:sz w:val="14"/>
            <w:szCs w:val="14"/>
            <w:u w:val="single" w:color="auto"/>
            <w:color w:val="0000EE"/>
          </w:rPr>
          <w:t>April 6, 2026</w:t>
        </w:r>
      </w:hyperlink>
      <w:r>
        <w:rPr>
          <w:rFonts w:ascii="Times New Roman" w:cs="Times New Roman" w:eastAsia="Times New Roman" w:hAnsi="Times New Roman"/>
          <w:sz w:val="14"/>
          <w:szCs w:val="14"/>
          <w:color w:val="000000"/>
        </w:rPr>
        <w:t>.</w:t>
      </w:r>
    </w:p>
    <w:p>
      <w:pPr>
        <w:spacing w:after="0" w:line="38" w:lineRule="exact"/>
        <w:rPr>
          <w:rFonts w:ascii="Times New Roman" w:cs="Times New Roman" w:eastAsia="Times New Roman" w:hAnsi="Times New Roman"/>
          <w:sz w:val="14"/>
          <w:szCs w:val="14"/>
          <w:color w:val="0000EE"/>
        </w:rPr>
      </w:pPr>
    </w:p>
    <w:p>
      <w:pPr>
        <w:ind w:left="1700" w:right="1379" w:hanging="149"/>
        <w:spacing w:after="0" w:line="271" w:lineRule="auto"/>
        <w:tabs>
          <w:tab w:leader="none" w:pos="1700" w:val="left"/>
        </w:tabs>
        <w:numPr>
          <w:ilvl w:val="0"/>
          <w:numId w:val="26"/>
        </w:numPr>
        <w:rPr>
          <w:rFonts w:ascii="Times New Roman" w:cs="Times New Roman" w:eastAsia="Times New Roman" w:hAnsi="Times New Roman"/>
          <w:sz w:val="14"/>
          <w:szCs w:val="14"/>
          <w:color w:val="0000EE"/>
        </w:rPr>
      </w:pPr>
      <w:hyperlink r:id="rId32">
        <w:r>
          <w:rPr>
            <w:rFonts w:ascii="Times New Roman" w:cs="Times New Roman" w:eastAsia="Times New Roman" w:hAnsi="Times New Roman"/>
            <w:sz w:val="14"/>
            <w:szCs w:val="14"/>
            <w:color w:val="auto"/>
          </w:rPr>
          <w:t xml:space="preserve">The description of our Class A common stock contained in our Registration Statement on </w:t>
        </w:r>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w:t>
      </w:r>
      <w:hyperlink r:id="rId32">
        <w:r>
          <w:rPr>
            <w:rFonts w:ascii="Times New Roman" w:cs="Times New Roman" w:eastAsia="Times New Roman" w:hAnsi="Times New Roman"/>
            <w:sz w:val="14"/>
            <w:szCs w:val="14"/>
            <w:u w:val="single" w:color="auto"/>
            <w:color w:val="0000EE"/>
          </w:rPr>
          <w:t>(File No. 001-40978), filed with the SEC on October 28, 2021</w:t>
        </w:r>
        <w:r>
          <w:rPr>
            <w:rFonts w:ascii="Times New Roman" w:cs="Times New Roman" w:eastAsia="Times New Roman" w:hAnsi="Times New Roman"/>
            <w:sz w:val="14"/>
            <w:szCs w:val="14"/>
            <w:color w:val="000000"/>
          </w:rPr>
          <w:t>, and any amendment or report filed</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with the SEC for the purpose of updating the description.</w:t>
      </w:r>
    </w:p>
    <w:p>
      <w:pPr>
        <w:spacing w:after="0" w:line="72" w:lineRule="exact"/>
        <w:rPr>
          <w:rFonts w:ascii="Times New Roman" w:cs="Times New Roman" w:eastAsia="Times New Roman" w:hAnsi="Times New Roman"/>
          <w:sz w:val="14"/>
          <w:szCs w:val="14"/>
          <w:color w:val="auto"/>
        </w:rPr>
      </w:pPr>
    </w:p>
    <w:p>
      <w:pPr>
        <w:ind w:left="1260" w:right="1279" w:firstLine="284"/>
        <w:spacing w:after="0" w:line="265"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290"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4" w:name="page45"/>
    <w:bookmarkEnd w:id="4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459" w:firstLine="284"/>
        <w:spacing w:after="0" w:line="289"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7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Fluence Energy, Inc.</w:t>
      </w:r>
    </w:p>
    <w:p>
      <w:pPr>
        <w:spacing w:after="0" w:line="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4601 Fairfax Drive, Suite 600</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color w:val="auto"/>
        </w:rPr>
        <w:t>Arlington, Virginia 22203</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color w:val="auto"/>
        </w:rPr>
        <w:t>(833) 358-3623</w:t>
      </w:r>
    </w:p>
    <w:p>
      <w:pPr>
        <w:spacing w:after="0" w:line="112" w:lineRule="exact"/>
        <w:rPr>
          <w:sz w:val="20"/>
          <w:szCs w:val="20"/>
          <w:color w:val="auto"/>
        </w:rPr>
      </w:pPr>
    </w:p>
    <w:p>
      <w:pPr>
        <w:ind w:left="1260" w:right="1979" w:firstLine="284"/>
        <w:spacing w:after="0" w:line="289"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5" w:name="page46"/>
    <w:bookmarkEnd w:id="45"/>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FLUENCE ENERGY, INC.</w:t>
      </w:r>
    </w:p>
    <w:p>
      <w:pPr>
        <w:spacing w:after="0" w:line="129" w:lineRule="exact"/>
        <w:rPr>
          <w:sz w:val="20"/>
          <w:szCs w:val="20"/>
          <w:color w:val="auto"/>
        </w:rPr>
      </w:pPr>
    </w:p>
    <w:p>
      <w:pPr>
        <w:ind w:left="1260" w:right="1359" w:firstLine="284"/>
        <w:spacing w:after="0" w:line="271" w:lineRule="auto"/>
        <w:rPr>
          <w:sz w:val="20"/>
          <w:szCs w:val="20"/>
          <w:color w:val="auto"/>
        </w:rPr>
      </w:pPr>
      <w:r>
        <w:rPr>
          <w:rFonts w:ascii="Times New Roman" w:cs="Times New Roman" w:eastAsia="Times New Roman" w:hAnsi="Times New Roman"/>
          <w:sz w:val="14"/>
          <w:szCs w:val="14"/>
          <w:color w:val="auto"/>
        </w:rPr>
        <w:t>Fluence is a global market leader delivering intelligent energy storage and optimization software for renewables and storage. Our energy storage solutions and operational services are designed to help create a more resilient grid and unlock the full potential of renewable portfolios.</w:t>
      </w:r>
    </w:p>
    <w:p>
      <w:pPr>
        <w:spacing w:after="0" w:line="83" w:lineRule="exact"/>
        <w:rPr>
          <w:sz w:val="20"/>
          <w:szCs w:val="20"/>
          <w:color w:val="auto"/>
        </w:rPr>
      </w:pPr>
    </w:p>
    <w:p>
      <w:pPr>
        <w:ind w:left="1260" w:right="1299" w:firstLine="284"/>
        <w:spacing w:after="0" w:line="259" w:lineRule="auto"/>
        <w:rPr>
          <w:sz w:val="20"/>
          <w:szCs w:val="20"/>
          <w:color w:val="auto"/>
        </w:rPr>
      </w:pPr>
      <w:r>
        <w:rPr>
          <w:rFonts w:ascii="Times New Roman" w:cs="Times New Roman" w:eastAsia="Times New Roman" w:hAnsi="Times New Roman"/>
          <w:sz w:val="14"/>
          <w:szCs w:val="14"/>
          <w:color w:val="auto"/>
        </w:rPr>
        <w:t>Our business continues to evolve worldwide and is shaped by the varying ways in which our products can provide economically viable solutions to energy needs in certain markets. Our offerings include energy storage products and solutions, recurring O&amp;M services, and digital applications for energy storage and other power assets. We have repeatedly pioneered new use cases for grid-scale energy storage. Some of the uses we have supported include frequency regulation, generation enhancement, capacity peak power, energy cost control, microgrids/islands, renewable integration, virtual dams, transmission and distribution enhancement, and critical power.</w:t>
      </w:r>
    </w:p>
    <w:p>
      <w:pPr>
        <w:spacing w:after="0" w:line="83" w:lineRule="exact"/>
        <w:rPr>
          <w:sz w:val="20"/>
          <w:szCs w:val="20"/>
          <w:color w:val="auto"/>
        </w:rPr>
      </w:pPr>
    </w:p>
    <w:p>
      <w:pPr>
        <w:ind w:left="1260" w:right="1299" w:firstLine="284"/>
        <w:spacing w:after="0" w:line="265" w:lineRule="auto"/>
        <w:rPr>
          <w:sz w:val="20"/>
          <w:szCs w:val="20"/>
          <w:color w:val="auto"/>
        </w:rPr>
      </w:pPr>
      <w:r>
        <w:rPr>
          <w:rFonts w:ascii="Times New Roman" w:cs="Times New Roman" w:eastAsia="Times New Roman" w:hAnsi="Times New Roman"/>
          <w:sz w:val="14"/>
          <w:szCs w:val="14"/>
          <w:color w:val="auto"/>
        </w:rPr>
        <w:t xml:space="preserve">Fluence Energy, Inc., a Delaware corporation, was formed on June 21, 2021. We conduct our business operations through Fluence Energy, LLC and its direct and indirect subsidiaries. Our principal executive offices are located at 4601 Fairfax Drive, Suite 600, Arlington, Virginia 22203, and our telephone number is (833) 358-3623. Our website address is </w:t>
      </w:r>
      <w:r>
        <w:rPr>
          <w:rFonts w:ascii="Times New Roman" w:cs="Times New Roman" w:eastAsia="Times New Roman" w:hAnsi="Times New Roman"/>
          <w:sz w:val="14"/>
          <w:szCs w:val="14"/>
          <w:i w:val="1"/>
          <w:iCs w:val="1"/>
          <w:color w:val="auto"/>
        </w:rPr>
        <w:t>https://www.fluenceenergy.com</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1260" w:right="1419" w:firstLine="284"/>
        <w:spacing w:after="0" w:line="289" w:lineRule="auto"/>
        <w:rPr>
          <w:sz w:val="20"/>
          <w:szCs w:val="20"/>
          <w:color w:val="auto"/>
        </w:rPr>
      </w:pPr>
      <w:r>
        <w:rPr>
          <w:rFonts w:ascii="Times New Roman" w:cs="Times New Roman" w:eastAsia="Times New Roman" w:hAnsi="Times New Roman"/>
          <w:sz w:val="14"/>
          <w:szCs w:val="14"/>
          <w:color w:val="auto"/>
        </w:rPr>
        <w:t>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6" w:name="page47"/>
    <w:bookmarkEnd w:id="46"/>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9" w:lineRule="exact"/>
        <w:rPr>
          <w:sz w:val="20"/>
          <w:szCs w:val="20"/>
          <w:color w:val="auto"/>
        </w:rPr>
      </w:pPr>
    </w:p>
    <w:p>
      <w:pPr>
        <w:ind w:left="1260" w:right="1279" w:firstLine="284"/>
        <w:spacing w:after="0" w:line="256"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titled “Cautionary Statement Regarding Forward-Looking Information” included elsewhere in this prospectus and under any similar heading in our most recent Annual Report on Form 10-K and any subsequent Quarterly Reports on Form 10-Q or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7" w:name="page48"/>
    <w:bookmarkEnd w:id="47"/>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9" w:lineRule="exact"/>
        <w:rPr>
          <w:sz w:val="20"/>
          <w:szCs w:val="20"/>
          <w:color w:val="auto"/>
        </w:rPr>
      </w:pPr>
    </w:p>
    <w:p>
      <w:pPr>
        <w:ind w:left="1260" w:right="1579" w:firstLine="284"/>
        <w:spacing w:after="0" w:line="271" w:lineRule="auto"/>
        <w:rPr>
          <w:sz w:val="20"/>
          <w:szCs w:val="20"/>
          <w:color w:val="auto"/>
        </w:rPr>
      </w:pPr>
      <w:r>
        <w:rPr>
          <w:rFonts w:ascii="Times New Roman" w:cs="Times New Roman" w:eastAsia="Times New Roman" w:hAnsi="Times New Roman"/>
          <w:sz w:val="14"/>
          <w:szCs w:val="14"/>
          <w:color w:val="auto"/>
        </w:rPr>
        <w:t>We intend to use the net proceeds from the sale of the securities as set forth in the applicable prospectus supplement. We will not receive any of the proceeds from the sale of Class A common stock being offered by any of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8" w:name="page49"/>
    <w:bookmarkEnd w:id="48"/>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29" w:lineRule="exact"/>
        <w:rPr>
          <w:sz w:val="20"/>
          <w:szCs w:val="20"/>
          <w:color w:val="auto"/>
        </w:rPr>
      </w:pPr>
    </w:p>
    <w:p>
      <w:pPr>
        <w:ind w:left="1260" w:right="1399" w:firstLine="284"/>
        <w:spacing w:after="0" w:line="261" w:lineRule="auto"/>
        <w:rPr>
          <w:sz w:val="20"/>
          <w:szCs w:val="20"/>
          <w:color w:val="auto"/>
        </w:rPr>
      </w:pPr>
      <w:r>
        <w:rPr>
          <w:rFonts w:ascii="Times New Roman" w:cs="Times New Roman" w:eastAsia="Times New Roman" w:hAnsi="Times New Roman"/>
          <w:sz w:val="14"/>
          <w:szCs w:val="14"/>
          <w:color w:val="auto"/>
        </w:rPr>
        <w:t>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as further amended by the first certificate of amendment and that certificate of retirement thereto (collectively, our “certificate”) and amended and restated bylaws (our “bylaws”), which have been publicly filed with the SEC. See “Where You Can Find More Information; Incorporation by Reference.”</w:t>
      </w:r>
    </w:p>
    <w:p>
      <w:pPr>
        <w:spacing w:after="0" w:line="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certificate authorizes capital stock consisting of:</w:t>
      </w:r>
    </w:p>
    <w:p>
      <w:pPr>
        <w:spacing w:after="0" w:line="95" w:lineRule="exact"/>
        <w:rPr>
          <w:sz w:val="20"/>
          <w:szCs w:val="20"/>
          <w:color w:val="auto"/>
        </w:rPr>
      </w:pPr>
    </w:p>
    <w:p>
      <w:pPr>
        <w:ind w:left="1700" w:hanging="149"/>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1,200,000,000 shares of Class A common stock, par value $0.00001 per share;</w:t>
      </w:r>
    </w:p>
    <w:p>
      <w:pPr>
        <w:spacing w:after="0" w:line="94"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134,325,805 shares of Class B-1 common stock, par value $0.00001 per share;</w:t>
      </w:r>
    </w:p>
    <w:p>
      <w:pPr>
        <w:spacing w:after="0" w:line="94"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200,000,000 shares of Class B-2 common stock, par value $0.00001 per share; and</w:t>
      </w:r>
    </w:p>
    <w:p>
      <w:pPr>
        <w:spacing w:after="0" w:line="105"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 shares of preferred stock, par value $0.00001 per share.</w:t>
      </w:r>
    </w:p>
    <w:p>
      <w:pPr>
        <w:spacing w:after="0" w:line="116" w:lineRule="exact"/>
        <w:rPr>
          <w:sz w:val="20"/>
          <w:szCs w:val="20"/>
          <w:color w:val="auto"/>
        </w:rPr>
      </w:pPr>
    </w:p>
    <w:p>
      <w:pPr>
        <w:ind w:left="1260" w:right="1299" w:firstLine="284"/>
        <w:spacing w:after="0" w:line="265" w:lineRule="auto"/>
        <w:rPr>
          <w:sz w:val="20"/>
          <w:szCs w:val="20"/>
          <w:color w:val="auto"/>
        </w:rPr>
      </w:pPr>
      <w:r>
        <w:rPr>
          <w:rFonts w:ascii="Times New Roman" w:cs="Times New Roman" w:eastAsia="Times New Roman" w:hAnsi="Times New Roman"/>
          <w:sz w:val="14"/>
          <w:szCs w:val="14"/>
          <w:color w:val="auto"/>
        </w:rPr>
        <w:t>Certain provisions of our certificate and our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Class A Common Stock</w:t>
      </w:r>
    </w:p>
    <w:p>
      <w:pPr>
        <w:spacing w:after="0" w:line="131" w:lineRule="exact"/>
        <w:rPr>
          <w:sz w:val="20"/>
          <w:szCs w:val="20"/>
          <w:color w:val="auto"/>
        </w:rPr>
      </w:pPr>
    </w:p>
    <w:p>
      <w:pPr>
        <w:ind w:left="1260" w:right="1299" w:firstLine="284"/>
        <w:spacing w:after="0" w:line="289"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one vote for each share held of record on all matters submitted to a vote of stockholders.</w:t>
      </w:r>
    </w:p>
    <w:p>
      <w:pPr>
        <w:spacing w:after="0" w:line="70" w:lineRule="exact"/>
        <w:rPr>
          <w:sz w:val="20"/>
          <w:szCs w:val="20"/>
          <w:color w:val="auto"/>
        </w:rPr>
      </w:pPr>
    </w:p>
    <w:p>
      <w:pPr>
        <w:ind w:left="1260" w:right="1319" w:firstLine="284"/>
        <w:spacing w:after="0" w:line="265"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77" w:lineRule="exact"/>
        <w:rPr>
          <w:sz w:val="20"/>
          <w:szCs w:val="20"/>
          <w:color w:val="auto"/>
        </w:rPr>
      </w:pPr>
    </w:p>
    <w:p>
      <w:pPr>
        <w:ind w:left="1260" w:right="1299" w:firstLine="284"/>
        <w:spacing w:after="0" w:line="271" w:lineRule="auto"/>
        <w:rPr>
          <w:sz w:val="20"/>
          <w:szCs w:val="20"/>
          <w:color w:val="auto"/>
        </w:rPr>
      </w:pPr>
      <w:r>
        <w:rPr>
          <w:rFonts w:ascii="Times New Roman" w:cs="Times New Roman" w:eastAsia="Times New Roman" w:hAnsi="Times New Roman"/>
          <w:sz w:val="14"/>
          <w:szCs w:val="14"/>
          <w:color w:val="auto"/>
        </w:rPr>
        <w:t>Upon our dissolution or liquidation, after payment in full of all amounts required to be paid to creditors and to the holders of preferred stock having liquidation preferences, if any, the holders of shares of our Class A common stock are entitled to receive pro rata our remaining assets available for distribution.</w:t>
      </w:r>
    </w:p>
    <w:p>
      <w:pPr>
        <w:spacing w:after="0" w:line="83" w:lineRule="exact"/>
        <w:rPr>
          <w:sz w:val="20"/>
          <w:szCs w:val="20"/>
          <w:color w:val="auto"/>
        </w:rPr>
      </w:pPr>
    </w:p>
    <w:p>
      <w:pPr>
        <w:jc w:val="both"/>
        <w:ind w:left="1260" w:right="1479" w:firstLine="284"/>
        <w:spacing w:after="0" w:line="282" w:lineRule="auto"/>
        <w:rPr>
          <w:sz w:val="20"/>
          <w:szCs w:val="20"/>
          <w:color w:val="auto"/>
        </w:rPr>
      </w:pPr>
      <w:r>
        <w:rPr>
          <w:rFonts w:ascii="Times New Roman" w:cs="Times New Roman" w:eastAsia="Times New Roman" w:hAnsi="Times New Roman"/>
          <w:sz w:val="14"/>
          <w:szCs w:val="14"/>
          <w:color w:val="auto"/>
        </w:rPr>
        <w:t>Holders of shares of our Class A common stock do not have preemptive, subscription, redemption or conversion rights. There are no redemption or sinking fund provisions applicable to the Class A common stock.</w:t>
      </w:r>
    </w:p>
    <w:p>
      <w:pPr>
        <w:spacing w:after="0" w:line="2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Class B-1 and Class B-2 Common Stock</w:t>
      </w:r>
    </w:p>
    <w:p>
      <w:pPr>
        <w:spacing w:after="0" w:line="120" w:lineRule="exact"/>
        <w:rPr>
          <w:sz w:val="20"/>
          <w:szCs w:val="20"/>
          <w:color w:val="auto"/>
        </w:rPr>
      </w:pPr>
    </w:p>
    <w:p>
      <w:pPr>
        <w:ind w:left="1260" w:right="1339" w:firstLine="284"/>
        <w:spacing w:after="0" w:line="271" w:lineRule="auto"/>
        <w:rPr>
          <w:sz w:val="20"/>
          <w:szCs w:val="20"/>
          <w:color w:val="auto"/>
        </w:rPr>
      </w:pPr>
      <w:r>
        <w:rPr>
          <w:rFonts w:ascii="Times New Roman" w:cs="Times New Roman" w:eastAsia="Times New Roman" w:hAnsi="Times New Roman"/>
          <w:sz w:val="14"/>
          <w:szCs w:val="14"/>
          <w:color w:val="auto"/>
        </w:rPr>
        <w:t>Each share of our Class B-1 common stock entitles its holders to five votes per share and each share of our Class B-2 common stock entitles its holders to one vote per share on all matters presented to our stockholders generally.</w:t>
      </w:r>
    </w:p>
    <w:p>
      <w:pPr>
        <w:spacing w:after="0" w:line="83" w:lineRule="exact"/>
        <w:rPr>
          <w:sz w:val="20"/>
          <w:szCs w:val="20"/>
          <w:color w:val="auto"/>
        </w:rPr>
      </w:pPr>
    </w:p>
    <w:p>
      <w:pPr>
        <w:ind w:left="1260" w:right="1419" w:firstLine="284"/>
        <w:spacing w:after="0" w:line="257" w:lineRule="auto"/>
        <w:rPr>
          <w:sz w:val="20"/>
          <w:szCs w:val="20"/>
          <w:color w:val="auto"/>
        </w:rPr>
      </w:pPr>
      <w:r>
        <w:rPr>
          <w:rFonts w:ascii="Times New Roman" w:cs="Times New Roman" w:eastAsia="Times New Roman" w:hAnsi="Times New Roman"/>
          <w:sz w:val="14"/>
          <w:szCs w:val="14"/>
          <w:color w:val="auto"/>
        </w:rPr>
        <w:t>Shares of Class B-1 and Class B-2 common stock will be issued in the future only (a) to the extent necessary to maintain a one-to-one ratio between the number of common units of Fluence Energy, LLC (“LLC Interests”) held by the Founders (defined below) and the aggregate number of shares of Class B-1 and Class B-2 common stock issued to the Founders, and (b) in the case of Class B-2 common stock, upon conversion of Class B-1 common stock as described below. Shares of Class B-1 and Class B-2 common stock are transferable only together with an equal number of LLC Interests. Only permitted transferees of LLC Interests held by the Founders are permitted transferees of Class B-1 and Class B-2 common stock. “Founders” means, collectively, the holders of LLC Interests (other than the Company) and our Class B-1 common stock, including AES Grid Stability, LLC, Siemens Industry, Inc. (“Siemens Industry”), and their respective affiliates, who may, at each of their respective options, in whole or in part from time to time, require Fluence Energy, LLC to redeem their LLC Interests (along with an equal number of shares of Class B-1 common stock or Class B-2 common stock, as the case may be (and such shares shall be immediately</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205740</wp:posOffset>
            </wp:positionV>
            <wp:extent cx="53879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9" w:name="page50"/>
    <w:bookmarkEnd w:id="4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439"/>
        <w:spacing w:after="0" w:line="289" w:lineRule="auto"/>
        <w:rPr>
          <w:sz w:val="20"/>
          <w:szCs w:val="20"/>
          <w:color w:val="auto"/>
        </w:rPr>
      </w:pPr>
      <w:r>
        <w:rPr>
          <w:rFonts w:ascii="Times New Roman" w:cs="Times New Roman" w:eastAsia="Times New Roman" w:hAnsi="Times New Roman"/>
          <w:sz w:val="14"/>
          <w:szCs w:val="14"/>
          <w:color w:val="auto"/>
        </w:rPr>
        <w:t>cancelled)) for, at our election (determined solely by our independent directors (within the meaning of the rules of the Nasdaq) who are disinterested), cash or newly-issued shares of our Class A common stock.</w:t>
      </w:r>
    </w:p>
    <w:p>
      <w:pPr>
        <w:spacing w:after="0" w:line="70" w:lineRule="exact"/>
        <w:rPr>
          <w:sz w:val="20"/>
          <w:szCs w:val="20"/>
          <w:color w:val="auto"/>
        </w:rPr>
      </w:pPr>
    </w:p>
    <w:p>
      <w:pPr>
        <w:ind w:left="1260" w:right="1639" w:firstLine="284"/>
        <w:spacing w:after="0" w:line="265" w:lineRule="auto"/>
        <w:rPr>
          <w:sz w:val="20"/>
          <w:szCs w:val="20"/>
          <w:color w:val="auto"/>
        </w:rPr>
      </w:pPr>
      <w:r>
        <w:rPr>
          <w:rFonts w:ascii="Times New Roman" w:cs="Times New Roman" w:eastAsia="Times New Roman" w:hAnsi="Times New Roman"/>
          <w:sz w:val="14"/>
          <w:szCs w:val="14"/>
          <w:color w:val="auto"/>
        </w:rPr>
        <w:t>Holders of shares of our Class B-1 and Class B-2 common stock vote together with holders of our Class A common stock as a single class on all matters presented to our stockholders for their vote or approval, except for certain amendments to our certificate described below or as otherwise required by applicable law or our certificate.</w:t>
      </w:r>
    </w:p>
    <w:p>
      <w:pPr>
        <w:spacing w:after="0" w:line="88" w:lineRule="exact"/>
        <w:rPr>
          <w:sz w:val="20"/>
          <w:szCs w:val="20"/>
          <w:color w:val="auto"/>
        </w:rPr>
      </w:pPr>
    </w:p>
    <w:p>
      <w:pPr>
        <w:ind w:left="1260" w:right="1359" w:firstLine="284"/>
        <w:spacing w:after="0" w:line="259" w:lineRule="auto"/>
        <w:rPr>
          <w:sz w:val="20"/>
          <w:szCs w:val="20"/>
          <w:color w:val="auto"/>
        </w:rPr>
      </w:pPr>
      <w:r>
        <w:rPr>
          <w:rFonts w:ascii="Times New Roman" w:cs="Times New Roman" w:eastAsia="Times New Roman" w:hAnsi="Times New Roman"/>
          <w:sz w:val="14"/>
          <w:szCs w:val="14"/>
          <w:color w:val="auto"/>
        </w:rPr>
        <w:t>Holders of our Class B-1 and Class B-2 common stock do not have any right to receive dividends or to receive a distribution upon dissolution or liquidation. Additionally, holders of shares of our Class B-1 and Class B-2 common stock do not have preemptive, subscription, redemption or conversion rights. There are no redemption or sinking fund provisions applicable to the Class B-1 or Class B-2 common stock. Any amendment of our certificate that gives holders of our Class B-1 or Class B-2 common stock (1) any rights to receive dividends or any other kind of distribution, (2) any right to convert into or be exchanged for Class A common stock or (3) any other economic rights will require, in addition to stockholder approval, the affirmative vote of holders of our Class A common stock voting separately as a class.</w:t>
      </w:r>
    </w:p>
    <w:p>
      <w:pPr>
        <w:spacing w:after="0" w:line="80" w:lineRule="exact"/>
        <w:rPr>
          <w:sz w:val="20"/>
          <w:szCs w:val="20"/>
          <w:color w:val="auto"/>
        </w:rPr>
      </w:pPr>
    </w:p>
    <w:p>
      <w:pPr>
        <w:ind w:left="1260" w:right="1339" w:firstLine="284"/>
        <w:spacing w:after="0" w:line="257" w:lineRule="auto"/>
        <w:rPr>
          <w:sz w:val="20"/>
          <w:szCs w:val="20"/>
          <w:color w:val="auto"/>
        </w:rPr>
      </w:pPr>
      <w:r>
        <w:rPr>
          <w:rFonts w:ascii="Times New Roman" w:cs="Times New Roman" w:eastAsia="Times New Roman" w:hAnsi="Times New Roman"/>
          <w:sz w:val="14"/>
          <w:szCs w:val="14"/>
          <w:color w:val="auto"/>
        </w:rPr>
        <w:t>Each outstanding share of Class B-1 common stock will automatically convert into one share of Class B-2 common stock upon the earliest of (1) any transfer by a Founder of such shares of Class B-1 common stock other than to an affiliate of such Founder, (2) with respect to each Founder and its affiliates, 5:00 p.m. (New York City time) on a date fixed by our board of directors that is not less than 60 days nor more than 180 days following the date that such Founder, together with its affiliates, ceases to hold an aggregate number of shares of all classes of our common stock representing at least 20% of the aggregate number of all outstanding shares of all classes of our common stock, and (3) 5:00 p.m. (New York City time) on the date that is seven years following the closing of our initial public offering of Class A common stock. In addition, upon the filing of the first certificate of amendment to our amended and restated certificate of incorporation on December 22, 2022, holders of our Class B-1 common stock are permitted to convert shares of Class B-1 common stock into shares of Class B-2 common stock at a one-to-one ratio at any time at the option of such holder.</w:t>
      </w:r>
    </w:p>
    <w:p>
      <w:pPr>
        <w:spacing w:after="0" w:line="266" w:lineRule="exact"/>
        <w:rPr>
          <w:sz w:val="20"/>
          <w:szCs w:val="20"/>
          <w:color w:val="auto"/>
        </w:rPr>
      </w:pPr>
    </w:p>
    <w:p>
      <w:pPr>
        <w:ind w:left="1260" w:right="1339" w:firstLine="284"/>
        <w:spacing w:after="0" w:line="262" w:lineRule="auto"/>
        <w:rPr>
          <w:sz w:val="20"/>
          <w:szCs w:val="20"/>
          <w:color w:val="auto"/>
        </w:rPr>
      </w:pPr>
      <w:r>
        <w:rPr>
          <w:rFonts w:ascii="Times New Roman" w:cs="Times New Roman" w:eastAsia="Times New Roman" w:hAnsi="Times New Roman"/>
          <w:sz w:val="14"/>
          <w:szCs w:val="14"/>
          <w:color w:val="auto"/>
        </w:rPr>
        <w:t>Following exercise of its redemption rights by Siemens Industry of its LLC Interests on June 30, 2022, together with the corresponding cancellation of an equivalent number of shares of our Class B-1 common stock, and our election to settle the redemption through issuance of shares of Class A common stock to Siemens Industry (the “Redemption”), AES Grid Stability, LLC currently holds 100% of the outstanding shares of our Class B-1 common stock.</w:t>
      </w:r>
    </w:p>
    <w:p>
      <w:pPr>
        <w:spacing w:after="0" w:line="9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No shares of our Class B-2 common stock are outstanding.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20" w:lineRule="exact"/>
        <w:rPr>
          <w:sz w:val="20"/>
          <w:szCs w:val="20"/>
          <w:color w:val="auto"/>
        </w:rPr>
      </w:pPr>
    </w:p>
    <w:p>
      <w:pPr>
        <w:ind w:left="1260" w:right="1759" w:firstLine="284"/>
        <w:spacing w:after="0" w:line="289" w:lineRule="auto"/>
        <w:rPr>
          <w:sz w:val="20"/>
          <w:szCs w:val="20"/>
          <w:color w:val="auto"/>
        </w:rPr>
      </w:pPr>
      <w:r>
        <w:rPr>
          <w:rFonts w:ascii="Times New Roman" w:cs="Times New Roman" w:eastAsia="Times New Roman" w:hAnsi="Times New Roman"/>
          <w:sz w:val="14"/>
          <w:szCs w:val="14"/>
          <w:color w:val="auto"/>
        </w:rPr>
        <w:t>The total of our authorized shares of preferred stock is 10,000,000 shares. We have no shares of preferred stock outstanding.</w:t>
      </w:r>
    </w:p>
    <w:p>
      <w:pPr>
        <w:spacing w:after="0" w:line="70" w:lineRule="exact"/>
        <w:rPr>
          <w:sz w:val="20"/>
          <w:szCs w:val="20"/>
          <w:color w:val="auto"/>
        </w:rPr>
      </w:pPr>
    </w:p>
    <w:p>
      <w:pPr>
        <w:ind w:left="1260" w:right="1339" w:firstLine="284"/>
        <w:spacing w:after="0" w:line="265" w:lineRule="auto"/>
        <w:rPr>
          <w:sz w:val="20"/>
          <w:szCs w:val="20"/>
          <w:color w:val="auto"/>
        </w:rPr>
      </w:pPr>
      <w:r>
        <w:rPr>
          <w:rFonts w:ascii="Times New Roman" w:cs="Times New Roman" w:eastAsia="Times New Roman" w:hAnsi="Times New Roman"/>
          <w:sz w:val="14"/>
          <w:szCs w:val="14"/>
          <w:color w:val="auto"/>
        </w:rPr>
        <w:t>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88" w:lineRule="exact"/>
        <w:rPr>
          <w:sz w:val="20"/>
          <w:szCs w:val="20"/>
          <w:color w:val="auto"/>
        </w:rPr>
      </w:pPr>
    </w:p>
    <w:p>
      <w:pPr>
        <w:ind w:left="1260" w:right="1339" w:firstLine="284"/>
        <w:spacing w:after="0" w:line="258" w:lineRule="auto"/>
        <w:rPr>
          <w:sz w:val="20"/>
          <w:szCs w:val="20"/>
          <w:color w:val="auto"/>
        </w:rPr>
      </w:pPr>
      <w:r>
        <w:rPr>
          <w:rFonts w:ascii="Times New Roman" w:cs="Times New Roman" w:eastAsia="Times New Roman" w:hAnsi="Times New Roman"/>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0" w:name="page51"/>
    <w:bookmarkEnd w:id="50"/>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29" w:lineRule="exact"/>
        <w:rPr>
          <w:sz w:val="20"/>
          <w:szCs w:val="20"/>
          <w:color w:val="auto"/>
        </w:rPr>
      </w:pPr>
    </w:p>
    <w:p>
      <w:pPr>
        <w:ind w:left="1260" w:right="1299" w:firstLine="284"/>
        <w:spacing w:after="0" w:line="266" w:lineRule="auto"/>
        <w:rPr>
          <w:sz w:val="20"/>
          <w:szCs w:val="20"/>
          <w:color w:val="auto"/>
        </w:rPr>
      </w:pPr>
      <w:r>
        <w:rPr>
          <w:rFonts w:ascii="Times New Roman" w:cs="Times New Roman" w:eastAsia="Times New Roman" w:hAnsi="Times New Roman"/>
          <w:sz w:val="14"/>
          <w:szCs w:val="14"/>
          <w:color w:val="auto"/>
        </w:rPr>
        <w:t>In connection with our initial public offering in October 2021, we entered into a Registration Rights Agreement with certain of the Continuing Equity Owners (as defined below) pursuant to which such parties have specified rights to require us to register for resale all or a portion of their shares of Class A common stock under the Securities Act. “Continuing Equity Owners” originally consisted of AES Grid Stability, LLC, Siemens Industry, and Qatar Holding LLC and each of their respective affiliates. Following the Redemption, Siemens Industry, Inc. effected an internal transfer of its interests in 58,586,695 shares of Class A common stock held by Siemens Industry, Inc. to Siemens AG and Siemens AG executed a Registration Rights Joinder, becoming a party to the Registration Rights Agreement. On September 29, 2022, Siemens AG effected an internal transfer of its interest in 18,848,631 shares of Class A common stock held by Siemens AG to Siemens Pension-Trust e.V. (“Siemens e.V.”) and Siemens e.V. executed a Registration Rights Joinder, becoming a party to the Registration Rights Agreement. On December 19, 2023, Siemens e.V. effected an internal transfer of all of its outstanding shares of Class A common stock (11,761,131 shares) to SPT Invest Management, SARL (“SPT IM”) and SPT IM executed a Registration Rights Joinder, becoming a party to the Registration Rights Agreement. On October 14, 2025, Siemens AG effected an internal transfer of its interests in 20,000,000 shares of Class A common stock held by Siemens AG to SPT Holding, SARL (“SPT Holding”) and SPT Holding executed a Registration Rights Joinder, becoming a party to the Registration Rights Agreement. On October 28, 2025, SPT IM effected an internal transfer of all of its outstanding shares of Class A common stock (11,761,131 shares) to SPT Holding.</w:t>
      </w:r>
    </w:p>
    <w:p>
      <w:pPr>
        <w:spacing w:after="0" w:line="3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Forum Selection</w:t>
      </w:r>
    </w:p>
    <w:p>
      <w:pPr>
        <w:spacing w:after="0" w:line="118" w:lineRule="exact"/>
        <w:rPr>
          <w:sz w:val="20"/>
          <w:szCs w:val="20"/>
          <w:color w:val="auto"/>
        </w:rPr>
      </w:pPr>
    </w:p>
    <w:p>
      <w:pPr>
        <w:ind w:left="1260" w:right="1279" w:firstLine="284"/>
        <w:spacing w:after="0" w:line="267" w:lineRule="auto"/>
        <w:rPr>
          <w:sz w:val="20"/>
          <w:szCs w:val="20"/>
          <w:color w:val="auto"/>
        </w:rPr>
      </w:pPr>
      <w:r>
        <w:rPr>
          <w:rFonts w:ascii="Times New Roman" w:cs="Times New Roman" w:eastAsia="Times New Roman" w:hAnsi="Times New Roman"/>
          <w:sz w:val="14"/>
          <w:szCs w:val="14"/>
          <w:color w:val="auto"/>
        </w:rPr>
        <w:t>Our certificate provides that (A) (i) any derivative action or proceeding brought on behalf of the Company, (ii) any action asserting a claim for or based on breach of a fiduciary duty owed by any current or former director, officer, other employee, agent or stockholder of the Company to the Company or the Company’s stockholders, (iii) any action asserting a claim against the Company or any current or former director, officer, employee, agent or stockholder of the Company arising pursuant to any provision of the General Corporation Law of the State of Delaware (the “DGCL”), our certificate or our bylaws (as either may be amended or restated) or as to which the DGCL confers jurisdiction on the Court of Chancery of the State of Delaware or (iv) any action asserting a claim related to or involving the Company that is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18" w:lineRule="exact"/>
        <w:rPr>
          <w:sz w:val="20"/>
          <w:szCs w:val="20"/>
          <w:color w:val="auto"/>
        </w:rPr>
      </w:pPr>
    </w:p>
    <w:p>
      <w:pPr>
        <w:ind w:left="1260" w:right="1319" w:firstLine="284"/>
        <w:spacing w:after="0" w:line="258" w:lineRule="auto"/>
        <w:rPr>
          <w:sz w:val="20"/>
          <w:szCs w:val="20"/>
          <w:color w:val="auto"/>
        </w:rPr>
      </w:pPr>
      <w:r>
        <w:rPr>
          <w:rFonts w:ascii="Times New Roman" w:cs="Times New Roman" w:eastAsia="Times New Roman" w:hAnsi="Times New Roman"/>
          <w:sz w:val="14"/>
          <w:szCs w:val="14"/>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266" w:lineRule="exact"/>
        <w:rPr>
          <w:sz w:val="20"/>
          <w:szCs w:val="20"/>
          <w:color w:val="auto"/>
        </w:rPr>
      </w:pPr>
    </w:p>
    <w:p>
      <w:pPr>
        <w:ind w:left="1260" w:right="1299" w:firstLine="284"/>
        <w:spacing w:after="0" w:line="261" w:lineRule="auto"/>
        <w:rPr>
          <w:sz w:val="20"/>
          <w:szCs w:val="20"/>
          <w:color w:val="auto"/>
        </w:rPr>
      </w:pPr>
      <w:r>
        <w:rPr>
          <w:rFonts w:ascii="Times New Roman" w:cs="Times New Roman" w:eastAsia="Times New Roman" w:hAnsi="Times New Roman"/>
          <w:sz w:val="14"/>
          <w:szCs w:val="14"/>
          <w:color w:val="auto"/>
        </w:rPr>
        <w:t>Declaration and payment of any dividend is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future indebtedness, industry trends, the provisions of Delaware law affecting the payment of distributions to stockholders, and any other factors our board of directors may consider relevant.</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1" w:name="page52"/>
    <w:bookmarkEnd w:id="51"/>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29" w:lineRule="exact"/>
        <w:rPr>
          <w:sz w:val="20"/>
          <w:szCs w:val="20"/>
          <w:color w:val="auto"/>
        </w:rPr>
      </w:pPr>
    </w:p>
    <w:p>
      <w:pPr>
        <w:ind w:left="1260" w:right="1319" w:firstLine="284"/>
        <w:spacing w:after="0" w:line="251" w:lineRule="auto"/>
        <w:rPr>
          <w:sz w:val="20"/>
          <w:szCs w:val="20"/>
          <w:color w:val="auto"/>
        </w:rPr>
      </w:pPr>
      <w:r>
        <w:rPr>
          <w:rFonts w:ascii="Times New Roman" w:cs="Times New Roman" w:eastAsia="Times New Roman" w:hAnsi="Times New Roman"/>
          <w:sz w:val="14"/>
          <w:szCs w:val="14"/>
          <w:color w:val="auto"/>
        </w:rPr>
        <w:t>Our certificate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Authorized but unissued shares.</w:t>
      </w:r>
    </w:p>
    <w:p>
      <w:pPr>
        <w:spacing w:after="0" w:line="129" w:lineRule="exact"/>
        <w:rPr>
          <w:sz w:val="20"/>
          <w:szCs w:val="20"/>
          <w:color w:val="auto"/>
        </w:rPr>
      </w:pPr>
    </w:p>
    <w:p>
      <w:pPr>
        <w:ind w:left="1260" w:right="1279" w:firstLine="284"/>
        <w:spacing w:after="0" w:line="248" w:lineRule="auto"/>
        <w:rPr>
          <w:sz w:val="20"/>
          <w:szCs w:val="20"/>
          <w:color w:val="auto"/>
        </w:rPr>
      </w:pPr>
      <w:r>
        <w:rPr>
          <w:rFonts w:ascii="Times New Roman" w:cs="Times New Roman" w:eastAsia="Times New Roman" w:hAnsi="Times New Roman"/>
          <w:sz w:val="14"/>
          <w:szCs w:val="14"/>
          <w:color w:val="auto"/>
        </w:rPr>
        <w:t>The authorized but unissued shares of our common stock and our preferred stock are available for future issuance without stockholder approval, subject to any limitations imposed by Nasdaq rules. These additional shares may be used for a variety of corporate finance transactions, acquisitions, employee benefit plans and funding of redemptions of LLC Interests. The existence of authorized but unissued and unreserved common stock and preferred stock could make it more difficult or discourage an attempt to obtain control of us by means of a proxy contest, tender offer, merger or otherwise.</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Limitation on Action by Written Consent.</w:t>
      </w:r>
    </w:p>
    <w:p>
      <w:pPr>
        <w:spacing w:after="0" w:line="118" w:lineRule="exact"/>
        <w:rPr>
          <w:sz w:val="20"/>
          <w:szCs w:val="20"/>
          <w:color w:val="auto"/>
        </w:rPr>
      </w:pPr>
    </w:p>
    <w:p>
      <w:pPr>
        <w:ind w:left="1260" w:right="1299" w:firstLine="284"/>
        <w:spacing w:after="0" w:line="255" w:lineRule="auto"/>
        <w:rPr>
          <w:sz w:val="20"/>
          <w:szCs w:val="20"/>
          <w:color w:val="auto"/>
        </w:rPr>
      </w:pPr>
      <w:r>
        <w:rPr>
          <w:rFonts w:ascii="Times New Roman" w:cs="Times New Roman" w:eastAsia="Times New Roman" w:hAnsi="Times New Roman"/>
          <w:sz w:val="14"/>
          <w:szCs w:val="14"/>
          <w:color w:val="auto"/>
        </w:rPr>
        <w:t>Our certificate of incorporation provides that from and after the date on which the aggregate number of outstanding shares of Class B-1 and Class B-2 common stock, voting together as a single class, cease to represent at least 50% of the total voting power of the outstanding shares of our capital stock, holders of our common stock will not be able to act by written consent without a meeting.</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Special meetings of stockholders.</w:t>
      </w:r>
    </w:p>
    <w:p>
      <w:pPr>
        <w:spacing w:after="0" w:line="118" w:lineRule="exact"/>
        <w:rPr>
          <w:sz w:val="20"/>
          <w:szCs w:val="20"/>
          <w:color w:val="auto"/>
        </w:rPr>
      </w:pPr>
    </w:p>
    <w:p>
      <w:pPr>
        <w:jc w:val="both"/>
        <w:ind w:left="1260" w:right="1339" w:firstLine="284"/>
        <w:spacing w:after="0" w:line="255" w:lineRule="auto"/>
        <w:rPr>
          <w:sz w:val="20"/>
          <w:szCs w:val="20"/>
          <w:color w:val="auto"/>
        </w:rPr>
      </w:pPr>
      <w:r>
        <w:rPr>
          <w:rFonts w:ascii="Times New Roman" w:cs="Times New Roman" w:eastAsia="Times New Roman" w:hAnsi="Times New Roman"/>
          <w:sz w:val="14"/>
          <w:szCs w:val="14"/>
          <w:color w:val="auto"/>
        </w:rPr>
        <w:t>Our bylaws provide that from and after the date on which the aggregate number of outstanding shares of Class B- 1 and Class B -2 common stock, voting together as a single class, cease to represent at least 50% of the total voting power of the outstanding shares of our capital stock, only the chairperson of our board of directors or a majority of our board of directors may call special meetings of our stockholders.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Advance notice requirements for stockholder proposals and director nominations.</w:t>
      </w:r>
    </w:p>
    <w:p>
      <w:pPr>
        <w:spacing w:after="0" w:line="118" w:lineRule="exact"/>
        <w:rPr>
          <w:sz w:val="20"/>
          <w:szCs w:val="20"/>
          <w:color w:val="auto"/>
        </w:rPr>
      </w:pPr>
    </w:p>
    <w:p>
      <w:pPr>
        <w:ind w:left="1260" w:right="1279" w:firstLine="284"/>
        <w:spacing w:after="0" w:line="245" w:lineRule="auto"/>
        <w:rPr>
          <w:sz w:val="20"/>
          <w:szCs w:val="20"/>
          <w:color w:val="auto"/>
        </w:rPr>
      </w:pPr>
      <w:r>
        <w:rPr>
          <w:rFonts w:ascii="Times New Roman" w:cs="Times New Roman" w:eastAsia="Times New Roman" w:hAnsi="Times New Roman"/>
          <w:sz w:val="14"/>
          <w:szCs w:val="14"/>
          <w:color w:val="auto"/>
        </w:rPr>
        <w:t>In addition, our bylaws provide for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 Notwithstanding anything contained in our bylaws to the contrary, such advance notice procedures shall not apply to a stockholder exercising its rights to designate persons for nomination for election to our board of directors in accordance with the provisions of the Stockholders Agreement for so long as it remains in effect.</w:t>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Amendment of certificate of incorporation or bylaws.</w:t>
      </w:r>
    </w:p>
    <w:p>
      <w:pPr>
        <w:spacing w:after="0" w:line="118" w:lineRule="exact"/>
        <w:rPr>
          <w:sz w:val="20"/>
          <w:szCs w:val="20"/>
          <w:color w:val="auto"/>
        </w:rPr>
      </w:pPr>
    </w:p>
    <w:p>
      <w:pPr>
        <w:ind w:left="1260" w:right="1299" w:firstLine="284"/>
        <w:spacing w:after="0" w:line="254" w:lineRule="auto"/>
        <w:rPr>
          <w:sz w:val="20"/>
          <w:szCs w:val="20"/>
          <w:color w:val="auto"/>
        </w:rPr>
      </w:pPr>
      <w:r>
        <w:rPr>
          <w:rFonts w:ascii="Times New Roman" w:cs="Times New Roman" w:eastAsia="Times New Roman" w:hAnsi="Times New Roman"/>
          <w:sz w:val="14"/>
          <w:szCs w:val="14"/>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certificate and bylaws provide that the affirmative vote of holders of at least 66</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voting power of all of the then-</w:t>
      </w:r>
    </w:p>
    <w:p>
      <w:pPr>
        <w:ind w:left="1260" w:right="1299"/>
        <w:spacing w:after="0" w:line="255" w:lineRule="auto"/>
        <w:rPr>
          <w:sz w:val="20"/>
          <w:szCs w:val="20"/>
          <w:color w:val="auto"/>
        </w:rPr>
      </w:pPr>
      <w:r>
        <w:rPr>
          <w:rFonts w:ascii="Times New Roman" w:cs="Times New Roman" w:eastAsia="Times New Roman" w:hAnsi="Times New Roman"/>
          <w:sz w:val="14"/>
          <w:szCs w:val="14"/>
          <w:color w:val="auto"/>
        </w:rPr>
        <w:t>outstanding shares of capital stock, voting as a single class, is required to amend certain provisions of our certificate, including provisions relating to amending our bylaws, the size of our board, removal of directors, director liability, vacancies on our board, special meetings, stockholder notices, actions by written consent and exclusive forum.</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2" w:name="page53"/>
    <w:bookmarkEnd w:id="52"/>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Section 203 of the DGCL.</w:t>
      </w:r>
    </w:p>
    <w:p>
      <w:pPr>
        <w:spacing w:after="0" w:line="129" w:lineRule="exact"/>
        <w:rPr>
          <w:sz w:val="20"/>
          <w:szCs w:val="20"/>
          <w:color w:val="auto"/>
        </w:rPr>
      </w:pPr>
    </w:p>
    <w:p>
      <w:pPr>
        <w:ind w:left="1260" w:right="1379" w:firstLine="284"/>
        <w:spacing w:after="0" w:line="268" w:lineRule="auto"/>
        <w:rPr>
          <w:sz w:val="20"/>
          <w:szCs w:val="20"/>
          <w:color w:val="auto"/>
        </w:rPr>
      </w:pPr>
      <w:r>
        <w:rPr>
          <w:rFonts w:ascii="Times New Roman" w:cs="Times New Roman" w:eastAsia="Times New Roman" w:hAnsi="Times New Roman"/>
          <w:sz w:val="14"/>
          <w:szCs w:val="14"/>
          <w:color w:val="auto"/>
        </w:rPr>
        <w:t>We have opted out of Section 203 of the DGCL. However, our certificate contains provisions that are similar to Section 203. Specifically, our certificate provides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manner prescribed in our certificate.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provided that the Founders and certain of their related parties and their respective direct and indirect transferees shall not be considered “interested stockholders.”</w:t>
      </w: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129" w:lineRule="exact"/>
        <w:rPr>
          <w:sz w:val="20"/>
          <w:szCs w:val="20"/>
          <w:color w:val="auto"/>
        </w:rPr>
      </w:pPr>
    </w:p>
    <w:p>
      <w:pPr>
        <w:ind w:left="1260" w:right="1399" w:firstLine="284"/>
        <w:spacing w:after="0" w:line="268" w:lineRule="auto"/>
        <w:rPr>
          <w:sz w:val="20"/>
          <w:szCs w:val="20"/>
          <w:color w:val="auto"/>
        </w:rPr>
      </w:pPr>
      <w:r>
        <w:rPr>
          <w:rFonts w:ascii="Times New Roman" w:cs="Times New Roman" w:eastAsia="Times New Roman" w:hAnsi="Times New Roman"/>
          <w:sz w:val="14"/>
          <w:szCs w:val="14"/>
          <w:color w:val="auto"/>
        </w:rPr>
        <w:t>Our certificate and bylaws provide indemnification for our directors and officers to the fullest extent permitted by the DGCL. Prior to the consummation of the transactions, we intend to enter into indemnification agreements with each of our directors and executive officers that may, in some cases, be broader than the specific indemnification provisions contained under Delaware law. In addition, as permitted by Delaware law, our certificate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95" w:lineRule="exact"/>
        <w:rPr>
          <w:sz w:val="20"/>
          <w:szCs w:val="20"/>
          <w:color w:val="auto"/>
        </w:rPr>
      </w:pPr>
    </w:p>
    <w:p>
      <w:pPr>
        <w:ind w:left="1260" w:right="1439" w:firstLine="284"/>
        <w:spacing w:after="0" w:line="289" w:lineRule="auto"/>
        <w:rPr>
          <w:sz w:val="20"/>
          <w:szCs w:val="20"/>
          <w:color w:val="auto"/>
        </w:rPr>
      </w:pPr>
      <w:r>
        <w:rPr>
          <w:rFonts w:ascii="Times New Roman" w:cs="Times New Roman" w:eastAsia="Times New Roman" w:hAnsi="Times New Roman"/>
          <w:sz w:val="14"/>
          <w:szCs w:val="14"/>
          <w:color w:val="auto"/>
        </w:rPr>
        <w:t>These provisions may be held not to be enforceable for violations of the federal securities laws of the United States.</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Corporate Opportunity Doctrine</w:t>
      </w:r>
    </w:p>
    <w:p>
      <w:pPr>
        <w:spacing w:after="0" w:line="118" w:lineRule="exact"/>
        <w:rPr>
          <w:sz w:val="20"/>
          <w:szCs w:val="20"/>
          <w:color w:val="auto"/>
        </w:rPr>
      </w:pPr>
    </w:p>
    <w:p>
      <w:pPr>
        <w:ind w:left="1260" w:right="1279" w:firstLine="284"/>
        <w:spacing w:after="0" w:line="255" w:lineRule="auto"/>
        <w:rPr>
          <w:sz w:val="20"/>
          <w:szCs w:val="20"/>
          <w:color w:val="auto"/>
        </w:rPr>
      </w:pPr>
      <w:r>
        <w:rPr>
          <w:rFonts w:ascii="Times New Roman" w:cs="Times New Roman" w:eastAsia="Times New Roman" w:hAnsi="Times New Roman"/>
          <w:sz w:val="14"/>
          <w:szCs w:val="14"/>
          <w:color w:val="auto"/>
        </w:rPr>
        <w:t>Delaware law permits corporations to adopt provisions renouncing any interest or expectancy in certain opportunities that are presented to the corporation or its officers, directors or stockholders. Our certificate will, to the maximum extent permitted from time to time by Delaware law, renounce any interest or expectancy that we have in, or right to be offered an opportunity to participate in, specified business opportunities that are from time to time presented to any director or stockholder who is not employed by us or our subsidiaries. Our certificate provides that, to the fullest extent permitted by law, any director or stockholder who is not employed by us or our affiliates does not have any duty to refrain from (1) engaging in a corporate opportunity in the same or similar lines of business in which we or our affiliates now engage or propose to engage or (2) otherwise competing with us or our affiliates. In addition, to the fullest extent permitted by law, if any director or stockholder who is not employed by us or our subsidiaries acquires knowledge of a potential transaction or other business opportunity which may be a corporate opportunity for itself or himself or its or his affiliates or for us or our affiliates, such person has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certificate, (2) we or our subsidiaries, at such time have sufficient financial resources to undertake such transaction or opportunity, (3) we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 Our certificate does not renounce our interest in any business opportunity that is expressly offered to an employee director or employee in his or her capacity as a director or employee of Fluence Energy, Inc.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3" w:name="page54"/>
    <w:bookmarkEnd w:id="5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129" w:lineRule="exact"/>
        <w:rPr>
          <w:sz w:val="20"/>
          <w:szCs w:val="20"/>
          <w:color w:val="auto"/>
        </w:rPr>
      </w:pPr>
    </w:p>
    <w:p>
      <w:pPr>
        <w:ind w:left="1260" w:right="1399" w:firstLine="284"/>
        <w:spacing w:after="0" w:line="265" w:lineRule="auto"/>
        <w:rPr>
          <w:sz w:val="20"/>
          <w:szCs w:val="20"/>
          <w:color w:val="auto"/>
        </w:rPr>
      </w:pPr>
      <w:r>
        <w:rPr>
          <w:rFonts w:ascii="Times New Roman" w:cs="Times New Roman" w:eastAsia="Times New Roman" w:hAnsi="Times New Roman"/>
          <w:sz w:val="14"/>
          <w:szCs w:val="14"/>
          <w:color w:val="auto"/>
        </w:rPr>
        <w:t>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129" w:lineRule="exact"/>
        <w:rPr>
          <w:sz w:val="20"/>
          <w:szCs w:val="20"/>
          <w:color w:val="auto"/>
        </w:rPr>
      </w:pPr>
    </w:p>
    <w:p>
      <w:pPr>
        <w:ind w:left="1260" w:right="1339" w:firstLine="284"/>
        <w:spacing w:after="0" w:line="265"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transfer agent and registrar for our Class A common stock is Computershare Trust Company, N.A.</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Trading Symbol and Market</w:t>
      </w:r>
    </w:p>
    <w:p>
      <w:pPr>
        <w:spacing w:after="0" w:line="1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Class A common stock is listed on Nasdaq under the symbol “FLNC”.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4" w:name="page55"/>
    <w:bookmarkEnd w:id="54"/>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9" w:lineRule="exact"/>
        <w:rPr>
          <w:sz w:val="20"/>
          <w:szCs w:val="20"/>
          <w:color w:val="auto"/>
        </w:rPr>
      </w:pPr>
    </w:p>
    <w:p>
      <w:pPr>
        <w:ind w:left="1260" w:right="1399" w:firstLine="284"/>
        <w:spacing w:after="0" w:line="251"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87" w:lineRule="exact"/>
        <w:rPr>
          <w:sz w:val="20"/>
          <w:szCs w:val="20"/>
          <w:color w:val="auto"/>
        </w:rPr>
      </w:pPr>
    </w:p>
    <w:p>
      <w:pPr>
        <w:ind w:left="1260" w:right="1319" w:firstLine="284"/>
        <w:spacing w:after="0" w:line="255"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83" w:lineRule="exact"/>
        <w:rPr>
          <w:sz w:val="20"/>
          <w:szCs w:val="20"/>
          <w:color w:val="auto"/>
        </w:rPr>
      </w:pPr>
    </w:p>
    <w:p>
      <w:pPr>
        <w:ind w:left="1260" w:right="1339" w:firstLine="284"/>
        <w:spacing w:after="0" w:line="248"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U.S. Bank Trust Company, National Association,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8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As used in this section only, “Fluence,” “we,” “our” or “us” refer to Fluence Energy, Inc.</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9" w:lineRule="exact"/>
        <w:rPr>
          <w:sz w:val="20"/>
          <w:szCs w:val="20"/>
          <w:color w:val="auto"/>
        </w:rPr>
      </w:pPr>
    </w:p>
    <w:p>
      <w:pPr>
        <w:ind w:left="1260" w:right="1359" w:firstLine="284"/>
        <w:spacing w:after="0" w:line="250"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88" w:lineRule="exact"/>
        <w:rPr>
          <w:sz w:val="20"/>
          <w:szCs w:val="20"/>
          <w:color w:val="auto"/>
        </w:rPr>
      </w:pPr>
    </w:p>
    <w:p>
      <w:pPr>
        <w:jc w:val="both"/>
        <w:ind w:left="1260" w:right="1359" w:firstLine="284"/>
        <w:spacing w:after="0" w:line="251"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232" w:lineRule="exact"/>
        <w:rPr>
          <w:sz w:val="20"/>
          <w:szCs w:val="20"/>
          <w:color w:val="auto"/>
        </w:rPr>
      </w:pPr>
    </w:p>
    <w:p>
      <w:pPr>
        <w:ind w:left="1700" w:hanging="149"/>
        <w:spacing w:after="0"/>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94" w:lineRule="exact"/>
        <w:rPr>
          <w:rFonts w:ascii="Times New Roman" w:cs="Times New Roman" w:eastAsia="Times New Roman" w:hAnsi="Times New Roman"/>
          <w:sz w:val="14"/>
          <w:szCs w:val="14"/>
          <w:color w:val="auto"/>
        </w:rPr>
      </w:pPr>
    </w:p>
    <w:p>
      <w:pPr>
        <w:ind w:left="1700" w:right="1359" w:hanging="149"/>
        <w:spacing w:after="0" w:line="289" w:lineRule="auto"/>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27"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94"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94" w:lineRule="exact"/>
        <w:rPr>
          <w:rFonts w:ascii="Times New Roman" w:cs="Times New Roman" w:eastAsia="Times New Roman" w:hAnsi="Times New Roman"/>
          <w:sz w:val="14"/>
          <w:szCs w:val="14"/>
          <w:color w:val="auto"/>
        </w:rPr>
      </w:pPr>
    </w:p>
    <w:p>
      <w:pPr>
        <w:ind w:left="1700" w:right="1299" w:hanging="149"/>
        <w:spacing w:after="0" w:line="262" w:lineRule="auto"/>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58" w:lineRule="exact"/>
        <w:rPr>
          <w:rFonts w:ascii="Times New Roman" w:cs="Times New Roman" w:eastAsia="Times New Roman" w:hAnsi="Times New Roman"/>
          <w:sz w:val="14"/>
          <w:szCs w:val="14"/>
          <w:color w:val="auto"/>
        </w:rPr>
      </w:pPr>
    </w:p>
    <w:p>
      <w:pPr>
        <w:jc w:val="both"/>
        <w:ind w:left="1700" w:right="1299" w:hanging="149"/>
        <w:spacing w:after="0" w:line="265" w:lineRule="auto"/>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55" w:lineRule="exact"/>
        <w:rPr>
          <w:rFonts w:ascii="Times New Roman" w:cs="Times New Roman" w:eastAsia="Times New Roman" w:hAnsi="Times New Roman"/>
          <w:sz w:val="14"/>
          <w:szCs w:val="14"/>
          <w:color w:val="auto"/>
        </w:rPr>
      </w:pPr>
    </w:p>
    <w:p>
      <w:pPr>
        <w:ind w:left="1700" w:right="1499" w:hanging="149"/>
        <w:spacing w:after="0" w:line="289" w:lineRule="auto"/>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we may redeem the debt securities;</w:t>
      </w:r>
    </w:p>
    <w:p>
      <w:pPr>
        <w:spacing w:after="0" w:line="38" w:lineRule="exact"/>
        <w:rPr>
          <w:rFonts w:ascii="Times New Roman" w:cs="Times New Roman" w:eastAsia="Times New Roman" w:hAnsi="Times New Roman"/>
          <w:sz w:val="14"/>
          <w:szCs w:val="14"/>
          <w:color w:val="auto"/>
        </w:rPr>
      </w:pPr>
    </w:p>
    <w:p>
      <w:pPr>
        <w:ind w:left="1700" w:right="1439" w:hanging="149"/>
        <w:spacing w:after="0" w:line="289" w:lineRule="auto"/>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 and the period or periods within</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5" w:name="page56"/>
    <w:bookmarkEnd w:id="55"/>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00" w:right="1639"/>
        <w:spacing w:after="0" w:line="289" w:lineRule="auto"/>
        <w:rPr>
          <w:sz w:val="20"/>
          <w:szCs w:val="20"/>
          <w:color w:val="auto"/>
        </w:rPr>
      </w:pPr>
      <w:r>
        <w:rPr>
          <w:rFonts w:ascii="Times New Roman" w:cs="Times New Roman" w:eastAsia="Times New Roman" w:hAnsi="Times New Roman"/>
          <w:sz w:val="14"/>
          <w:szCs w:val="14"/>
          <w:color w:val="auto"/>
        </w:rPr>
        <w:t>which, the price or prices at which and in the terms and conditions upon which securities of the series shall be redeemed or purchased, in whole or in part, pursuant to such obligation;</w:t>
      </w:r>
    </w:p>
    <w:p>
      <w:pPr>
        <w:spacing w:after="0" w:line="28" w:lineRule="exact"/>
        <w:rPr>
          <w:sz w:val="20"/>
          <w:szCs w:val="20"/>
          <w:color w:val="auto"/>
        </w:rPr>
      </w:pPr>
    </w:p>
    <w:p>
      <w:pPr>
        <w:jc w:val="both"/>
        <w:ind w:left="1700" w:right="1299" w:hanging="149"/>
        <w:spacing w:after="0" w:line="289"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38" w:lineRule="exact"/>
        <w:rPr>
          <w:rFonts w:ascii="Times New Roman" w:cs="Times New Roman" w:eastAsia="Times New Roman" w:hAnsi="Times New Roman"/>
          <w:sz w:val="14"/>
          <w:szCs w:val="14"/>
          <w:color w:val="auto"/>
        </w:rPr>
      </w:pPr>
    </w:p>
    <w:p>
      <w:pPr>
        <w:ind w:left="1700" w:right="1379" w:hanging="149"/>
        <w:spacing w:after="0" w:line="289"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27" w:lineRule="exact"/>
        <w:rPr>
          <w:rFonts w:ascii="Times New Roman" w:cs="Times New Roman" w:eastAsia="Times New Roman" w:hAnsi="Times New Roman"/>
          <w:sz w:val="14"/>
          <w:szCs w:val="14"/>
          <w:color w:val="auto"/>
        </w:rPr>
      </w:pPr>
    </w:p>
    <w:p>
      <w:pPr>
        <w:ind w:left="1700" w:right="1539" w:hanging="149"/>
        <w:spacing w:after="0" w:line="289"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38" w:lineRule="exact"/>
        <w:rPr>
          <w:rFonts w:ascii="Times New Roman" w:cs="Times New Roman" w:eastAsia="Times New Roman" w:hAnsi="Times New Roman"/>
          <w:sz w:val="14"/>
          <w:szCs w:val="14"/>
          <w:color w:val="auto"/>
        </w:rPr>
      </w:pPr>
    </w:p>
    <w:p>
      <w:pPr>
        <w:ind w:left="1700" w:right="1359" w:hanging="149"/>
        <w:spacing w:after="0" w:line="289"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38" w:lineRule="exact"/>
        <w:rPr>
          <w:rFonts w:ascii="Times New Roman" w:cs="Times New Roman" w:eastAsia="Times New Roman" w:hAnsi="Times New Roman"/>
          <w:sz w:val="14"/>
          <w:szCs w:val="14"/>
          <w:color w:val="auto"/>
        </w:rPr>
      </w:pPr>
    </w:p>
    <w:p>
      <w:pPr>
        <w:ind w:left="1700" w:right="1659" w:hanging="149"/>
        <w:spacing w:after="0" w:line="271"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1" w:lineRule="exact"/>
        <w:rPr>
          <w:rFonts w:ascii="Times New Roman" w:cs="Times New Roman" w:eastAsia="Times New Roman" w:hAnsi="Times New Roman"/>
          <w:sz w:val="14"/>
          <w:szCs w:val="14"/>
          <w:color w:val="auto"/>
        </w:rPr>
      </w:pPr>
    </w:p>
    <w:p>
      <w:pPr>
        <w:ind w:left="1700" w:right="1719" w:hanging="149"/>
        <w:spacing w:after="0" w:line="289"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on the debt securities will be made;</w:t>
      </w:r>
    </w:p>
    <w:p>
      <w:pPr>
        <w:spacing w:after="0" w:line="38" w:lineRule="exact"/>
        <w:rPr>
          <w:rFonts w:ascii="Times New Roman" w:cs="Times New Roman" w:eastAsia="Times New Roman" w:hAnsi="Times New Roman"/>
          <w:sz w:val="14"/>
          <w:szCs w:val="14"/>
          <w:color w:val="auto"/>
        </w:rPr>
      </w:pPr>
    </w:p>
    <w:p>
      <w:pPr>
        <w:ind w:left="1700" w:right="1299" w:hanging="149"/>
        <w:spacing w:after="0" w:line="271"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51" w:lineRule="exact"/>
        <w:rPr>
          <w:rFonts w:ascii="Times New Roman" w:cs="Times New Roman" w:eastAsia="Times New Roman" w:hAnsi="Times New Roman"/>
          <w:sz w:val="14"/>
          <w:szCs w:val="14"/>
          <w:color w:val="auto"/>
        </w:rPr>
      </w:pPr>
    </w:p>
    <w:p>
      <w:pPr>
        <w:jc w:val="both"/>
        <w:ind w:left="1700" w:right="1339" w:hanging="149"/>
        <w:spacing w:after="0" w:line="265"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55"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83" w:lineRule="exact"/>
        <w:rPr>
          <w:rFonts w:ascii="Times New Roman" w:cs="Times New Roman" w:eastAsia="Times New Roman" w:hAnsi="Times New Roman"/>
          <w:sz w:val="14"/>
          <w:szCs w:val="14"/>
          <w:color w:val="auto"/>
        </w:rPr>
      </w:pPr>
    </w:p>
    <w:p>
      <w:pPr>
        <w:jc w:val="both"/>
        <w:ind w:left="1700" w:right="1379" w:hanging="149"/>
        <w:spacing w:after="0" w:line="271"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51" w:lineRule="exact"/>
        <w:rPr>
          <w:rFonts w:ascii="Times New Roman" w:cs="Times New Roman" w:eastAsia="Times New Roman" w:hAnsi="Times New Roman"/>
          <w:sz w:val="14"/>
          <w:szCs w:val="14"/>
          <w:color w:val="auto"/>
        </w:rPr>
      </w:pPr>
    </w:p>
    <w:p>
      <w:pPr>
        <w:ind w:left="1700" w:right="1859" w:hanging="149"/>
        <w:spacing w:after="0" w:line="289"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covenants described in this prospectus or in the indenture with respect to the debt securities;</w:t>
      </w:r>
    </w:p>
    <w:p>
      <w:pPr>
        <w:spacing w:after="0" w:line="38" w:lineRule="exact"/>
        <w:rPr>
          <w:rFonts w:ascii="Times New Roman" w:cs="Times New Roman" w:eastAsia="Times New Roman" w:hAnsi="Times New Roman"/>
          <w:sz w:val="14"/>
          <w:szCs w:val="14"/>
          <w:color w:val="auto"/>
        </w:rPr>
      </w:pPr>
    </w:p>
    <w:p>
      <w:pPr>
        <w:ind w:left="1700" w:right="1539" w:hanging="149"/>
        <w:spacing w:after="0" w:line="289"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38" w:lineRule="exact"/>
        <w:rPr>
          <w:rFonts w:ascii="Times New Roman" w:cs="Times New Roman" w:eastAsia="Times New Roman" w:hAnsi="Times New Roman"/>
          <w:sz w:val="14"/>
          <w:szCs w:val="14"/>
          <w:color w:val="auto"/>
        </w:rPr>
      </w:pPr>
    </w:p>
    <w:p>
      <w:pPr>
        <w:ind w:left="1700" w:right="1439" w:hanging="149"/>
        <w:spacing w:after="0" w:line="265"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55" w:lineRule="exact"/>
        <w:rPr>
          <w:rFonts w:ascii="Times New Roman" w:cs="Times New Roman" w:eastAsia="Times New Roman" w:hAnsi="Times New Roman"/>
          <w:sz w:val="14"/>
          <w:szCs w:val="14"/>
          <w:color w:val="auto"/>
        </w:rPr>
      </w:pPr>
    </w:p>
    <w:p>
      <w:pPr>
        <w:jc w:val="both"/>
        <w:ind w:left="1700" w:right="1379" w:hanging="149"/>
        <w:spacing w:after="0" w:line="271"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1" w:lineRule="exact"/>
        <w:rPr>
          <w:rFonts w:ascii="Times New Roman" w:cs="Times New Roman" w:eastAsia="Times New Roman" w:hAnsi="Times New Roman"/>
          <w:sz w:val="14"/>
          <w:szCs w:val="14"/>
          <w:color w:val="auto"/>
        </w:rPr>
      </w:pPr>
    </w:p>
    <w:p>
      <w:pPr>
        <w:ind w:left="1700" w:right="1579" w:hanging="149"/>
        <w:spacing w:after="0" w:line="289"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of that series, including the terms of subordination, if any, of such guarantees. (Section 2.2)</w:t>
      </w:r>
    </w:p>
    <w:p>
      <w:pPr>
        <w:spacing w:after="0" w:line="60" w:lineRule="exact"/>
        <w:rPr>
          <w:sz w:val="20"/>
          <w:szCs w:val="20"/>
          <w:color w:val="auto"/>
        </w:rPr>
      </w:pPr>
    </w:p>
    <w:p>
      <w:pPr>
        <w:ind w:left="1260" w:right="1499" w:firstLine="284"/>
        <w:spacing w:after="0" w:line="255"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83" w:lineRule="exact"/>
        <w:rPr>
          <w:sz w:val="20"/>
          <w:szCs w:val="20"/>
          <w:color w:val="auto"/>
        </w:rPr>
      </w:pPr>
    </w:p>
    <w:p>
      <w:pPr>
        <w:ind w:left="1260" w:right="1359" w:firstLine="284"/>
        <w:spacing w:after="0" w:line="256" w:lineRule="auto"/>
        <w:rPr>
          <w:sz w:val="20"/>
          <w:szCs w:val="20"/>
          <w:color w:val="auto"/>
        </w:rPr>
      </w:pPr>
      <w:r>
        <w:rPr>
          <w:rFonts w:ascii="Times New Roman" w:cs="Times New Roman" w:eastAsia="Times New Roman" w:hAnsi="Times New Roman"/>
          <w:sz w:val="14"/>
          <w:szCs w:val="14"/>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6" w:name="page57"/>
    <w:bookmarkEnd w:id="56"/>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459"/>
        <w:spacing w:after="0" w:line="271" w:lineRule="auto"/>
        <w:rPr>
          <w:sz w:val="20"/>
          <w:szCs w:val="20"/>
          <w:color w:val="auto"/>
        </w:rPr>
      </w:pPr>
      <w:r>
        <w:rPr>
          <w:rFonts w:ascii="Times New Roman" w:cs="Times New Roman" w:eastAsia="Times New Roman" w:hAnsi="Times New Roman"/>
          <w:sz w:val="14"/>
          <w:szCs w:val="14"/>
          <w:color w:val="auto"/>
        </w:rPr>
        <w:t>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129" w:lineRule="exact"/>
        <w:rPr>
          <w:sz w:val="20"/>
          <w:szCs w:val="20"/>
          <w:color w:val="auto"/>
        </w:rPr>
      </w:pPr>
    </w:p>
    <w:p>
      <w:pPr>
        <w:ind w:left="1260" w:right="1299" w:firstLine="284"/>
        <w:spacing w:after="0" w:line="260"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63" w:lineRule="exact"/>
        <w:rPr>
          <w:sz w:val="20"/>
          <w:szCs w:val="20"/>
          <w:color w:val="auto"/>
        </w:rPr>
      </w:pPr>
    </w:p>
    <w:p>
      <w:pPr>
        <w:ind w:left="1260" w:right="1299" w:firstLine="284"/>
        <w:spacing w:after="0" w:line="264" w:lineRule="auto"/>
        <w:rPr>
          <w:sz w:val="20"/>
          <w:szCs w:val="20"/>
          <w:color w:val="auto"/>
        </w:rPr>
      </w:pPr>
      <w:r>
        <w:rPr>
          <w:rFonts w:ascii="Times New Roman" w:cs="Times New Roman" w:eastAsia="Times New Roman" w:hAnsi="Times New Roman"/>
          <w:sz w:val="14"/>
          <w:szCs w:val="14"/>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250" w:lineRule="exact"/>
        <w:rPr>
          <w:sz w:val="20"/>
          <w:szCs w:val="20"/>
          <w:color w:val="auto"/>
        </w:rPr>
      </w:pPr>
    </w:p>
    <w:p>
      <w:pPr>
        <w:ind w:left="1260" w:right="1439" w:firstLine="284"/>
        <w:spacing w:after="0" w:line="265"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88" w:lineRule="exact"/>
        <w:rPr>
          <w:sz w:val="20"/>
          <w:szCs w:val="20"/>
          <w:color w:val="auto"/>
        </w:rPr>
      </w:pPr>
    </w:p>
    <w:p>
      <w:pPr>
        <w:ind w:left="1260" w:right="1319" w:firstLine="284"/>
        <w:spacing w:after="0" w:line="271" w:lineRule="auto"/>
        <w:rPr>
          <w:sz w:val="20"/>
          <w:szCs w:val="20"/>
          <w:color w:val="auto"/>
        </w:rPr>
      </w:pPr>
      <w:r>
        <w:rPr>
          <w:rFonts w:ascii="Times New Roman" w:cs="Times New Roman" w:eastAsia="Times New Roman" w:hAnsi="Times New Roman"/>
          <w:sz w:val="14"/>
          <w:szCs w:val="14"/>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29" w:lineRule="exact"/>
        <w:rPr>
          <w:sz w:val="20"/>
          <w:szCs w:val="20"/>
          <w:color w:val="auto"/>
        </w:rPr>
      </w:pPr>
    </w:p>
    <w:p>
      <w:pPr>
        <w:ind w:left="1260" w:right="1479" w:firstLine="284"/>
        <w:spacing w:after="0" w:line="289"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 (Article IV)</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118" w:lineRule="exact"/>
        <w:rPr>
          <w:sz w:val="20"/>
          <w:szCs w:val="20"/>
          <w:color w:val="auto"/>
        </w:rPr>
      </w:pPr>
    </w:p>
    <w:p>
      <w:pPr>
        <w:ind w:left="1260" w:right="1339" w:firstLine="284"/>
        <w:spacing w:after="0" w:line="265"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129" w:lineRule="exact"/>
        <w:rPr>
          <w:sz w:val="20"/>
          <w:szCs w:val="20"/>
          <w:color w:val="auto"/>
        </w:rPr>
      </w:pPr>
    </w:p>
    <w:p>
      <w:pPr>
        <w:ind w:left="1260" w:right="1419" w:firstLine="284"/>
        <w:spacing w:after="0" w:line="289" w:lineRule="auto"/>
        <w:rPr>
          <w:sz w:val="20"/>
          <w:szCs w:val="20"/>
          <w:color w:val="auto"/>
        </w:rPr>
      </w:pPr>
      <w:r>
        <w:rPr>
          <w:rFonts w:ascii="Times New Roman" w:cs="Times New Roman" w:eastAsia="Times New Roman" w:hAnsi="Times New Roman"/>
          <w:sz w:val="14"/>
          <w:szCs w:val="14"/>
          <w:color w:val="auto"/>
        </w:rPr>
        <w:t>We may not consolidate with or merge with or into, or convey, transfer or lease all or substantially all of our properties and assets to any person (a “successor person”) unless:</w:t>
      </w:r>
    </w:p>
    <w:p>
      <w:pPr>
        <w:spacing w:after="0" w:line="38" w:lineRule="exact"/>
        <w:rPr>
          <w:sz w:val="20"/>
          <w:szCs w:val="20"/>
          <w:color w:val="auto"/>
        </w:rPr>
      </w:pPr>
    </w:p>
    <w:p>
      <w:pPr>
        <w:ind w:left="1700" w:right="1279" w:hanging="149"/>
        <w:spacing w:after="0" w:line="271" w:lineRule="auto"/>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entity or the successor person (if other than Fluence) is a corporation, partnership, trust or other entity organized and validly existing under the laws of any U.S. domestic jurisdiction and expressly assumes our obligations on the debt securities and under the indenture; and</w:t>
      </w:r>
    </w:p>
    <w:p>
      <w:pPr>
        <w:spacing w:after="0" w:line="51" w:lineRule="exact"/>
        <w:rPr>
          <w:rFonts w:ascii="Times New Roman" w:cs="Times New Roman" w:eastAsia="Times New Roman" w:hAnsi="Times New Roman"/>
          <w:sz w:val="14"/>
          <w:szCs w:val="14"/>
          <w:color w:val="auto"/>
        </w:rPr>
      </w:pPr>
    </w:p>
    <w:p>
      <w:pPr>
        <w:ind w:left="1700" w:right="1279" w:hanging="149"/>
        <w:spacing w:after="0" w:line="289" w:lineRule="auto"/>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70" w:lineRule="exact"/>
        <w:rPr>
          <w:sz w:val="20"/>
          <w:szCs w:val="20"/>
          <w:color w:val="auto"/>
        </w:rPr>
      </w:pPr>
    </w:p>
    <w:p>
      <w:pPr>
        <w:ind w:left="1260" w:right="1419" w:firstLine="284"/>
        <w:spacing w:after="0" w:line="289" w:lineRule="auto"/>
        <w:rPr>
          <w:sz w:val="20"/>
          <w:szCs w:val="20"/>
          <w:color w:val="auto"/>
        </w:rPr>
      </w:pPr>
      <w:r>
        <w:rPr>
          <w:rFonts w:ascii="Times New Roman" w:cs="Times New Roman" w:eastAsia="Times New Roman" w:hAnsi="Times New Roman"/>
          <w:sz w:val="14"/>
          <w:szCs w:val="14"/>
          <w:color w:val="auto"/>
        </w:rPr>
        <w:t>Notwithstanding the above, any of our subsidiaries may consolidate with, merge into or transfer all or part of its properties to us. (Section 5.1)</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7" w:name="page58"/>
    <w:bookmarkEnd w:id="57"/>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95" w:lineRule="exact"/>
        <w:rPr>
          <w:sz w:val="20"/>
          <w:szCs w:val="20"/>
          <w:color w:val="auto"/>
        </w:rPr>
      </w:pPr>
    </w:p>
    <w:p>
      <w:pPr>
        <w:ind w:left="1700" w:right="1379" w:hanging="149"/>
        <w:spacing w:after="0" w:line="268" w:lineRule="auto"/>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227"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w:t>
      </w:r>
    </w:p>
    <w:p>
      <w:pPr>
        <w:spacing w:after="0" w:line="105" w:lineRule="exact"/>
        <w:rPr>
          <w:rFonts w:ascii="Times New Roman" w:cs="Times New Roman" w:eastAsia="Times New Roman" w:hAnsi="Times New Roman"/>
          <w:sz w:val="14"/>
          <w:szCs w:val="14"/>
          <w:color w:val="auto"/>
        </w:rPr>
      </w:pPr>
    </w:p>
    <w:p>
      <w:pPr>
        <w:ind w:left="1700" w:right="1299" w:hanging="149"/>
        <w:spacing w:after="0" w:line="261" w:lineRule="auto"/>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Fluence and the trustee receive written notice from the holders of not less than 25% in principal amount of the outstanding debt securities of that series as provided in the indenture;</w:t>
      </w:r>
    </w:p>
    <w:p>
      <w:pPr>
        <w:spacing w:after="0" w:line="232"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Fluence;</w:t>
      </w:r>
    </w:p>
    <w:p>
      <w:pPr>
        <w:spacing w:after="0" w:line="94" w:lineRule="exact"/>
        <w:rPr>
          <w:rFonts w:ascii="Times New Roman" w:cs="Times New Roman" w:eastAsia="Times New Roman" w:hAnsi="Times New Roman"/>
          <w:sz w:val="14"/>
          <w:szCs w:val="14"/>
          <w:color w:val="auto"/>
        </w:rPr>
      </w:pPr>
    </w:p>
    <w:p>
      <w:pPr>
        <w:ind w:left="1700" w:right="1399" w:hanging="149"/>
        <w:spacing w:after="0" w:line="289" w:lineRule="auto"/>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 (Section 6.1)</w:t>
      </w:r>
    </w:p>
    <w:p>
      <w:pPr>
        <w:spacing w:after="0" w:line="70" w:lineRule="exact"/>
        <w:rPr>
          <w:sz w:val="20"/>
          <w:szCs w:val="20"/>
          <w:color w:val="auto"/>
        </w:rPr>
      </w:pPr>
    </w:p>
    <w:p>
      <w:pPr>
        <w:ind w:left="1260" w:right="1319" w:firstLine="284"/>
        <w:spacing w:after="0" w:line="262"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90" w:lineRule="exact"/>
        <w:rPr>
          <w:sz w:val="20"/>
          <w:szCs w:val="20"/>
          <w:color w:val="auto"/>
        </w:rPr>
      </w:pPr>
    </w:p>
    <w:p>
      <w:pPr>
        <w:ind w:left="1260" w:right="1359" w:firstLine="284"/>
        <w:spacing w:after="0" w:line="265" w:lineRule="auto"/>
        <w:rPr>
          <w:sz w:val="20"/>
          <w:szCs w:val="20"/>
          <w:color w:val="auto"/>
        </w:rPr>
      </w:pPr>
      <w:r>
        <w:rPr>
          <w:rFonts w:ascii="Times New Roman" w:cs="Times New Roman" w:eastAsia="Times New Roman" w:hAnsi="Times New Roman"/>
          <w:sz w:val="14"/>
          <w:szCs w:val="14"/>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77" w:lineRule="exact"/>
        <w:rPr>
          <w:sz w:val="20"/>
          <w:szCs w:val="20"/>
          <w:color w:val="auto"/>
        </w:rPr>
      </w:pPr>
    </w:p>
    <w:p>
      <w:pPr>
        <w:ind w:left="1260" w:right="1339" w:firstLine="284"/>
        <w:spacing w:after="0" w:line="256"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95" w:lineRule="exact"/>
        <w:rPr>
          <w:sz w:val="20"/>
          <w:szCs w:val="20"/>
          <w:color w:val="auto"/>
        </w:rPr>
      </w:pPr>
    </w:p>
    <w:p>
      <w:pPr>
        <w:jc w:val="both"/>
        <w:ind w:left="1260" w:right="1359" w:firstLine="284"/>
        <w:spacing w:after="0" w:line="261" w:lineRule="auto"/>
        <w:rPr>
          <w:sz w:val="20"/>
          <w:szCs w:val="20"/>
          <w:color w:val="auto"/>
        </w:rPr>
      </w:pPr>
      <w:r>
        <w:rPr>
          <w:rFonts w:ascii="Times New Roman" w:cs="Times New Roman" w:eastAsia="Times New Roman" w:hAnsi="Times New Roman"/>
          <w:sz w:val="14"/>
          <w:szCs w:val="14"/>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w:t>
      </w:r>
    </w:p>
    <w:p>
      <w:pPr>
        <w:ind w:left="1260" w:right="1419"/>
        <w:spacing w:after="0" w:line="258" w:lineRule="auto"/>
        <w:rPr>
          <w:sz w:val="20"/>
          <w:szCs w:val="20"/>
          <w:color w:val="auto"/>
        </w:rPr>
      </w:pPr>
      <w:r>
        <w:rPr>
          <w:rFonts w:ascii="Times New Roman" w:cs="Times New Roman" w:eastAsia="Times New Roman" w:hAnsi="Times New Roman"/>
          <w:sz w:val="14"/>
          <w:szCs w:val="14"/>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8" w:name="page59"/>
    <w:bookmarkEnd w:id="58"/>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99" w:firstLine="284"/>
        <w:spacing w:after="0" w:line="263"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46" w:lineRule="exact"/>
        <w:rPr>
          <w:sz w:val="20"/>
          <w:szCs w:val="20"/>
          <w:color w:val="auto"/>
        </w:rPr>
      </w:pPr>
    </w:p>
    <w:p>
      <w:pPr>
        <w:ind w:left="1700" w:right="1479" w:hanging="149"/>
        <w:spacing w:after="0" w:line="289" w:lineRule="auto"/>
        <w:tabs>
          <w:tab w:leader="none" w:pos="1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38" w:lineRule="exact"/>
        <w:rPr>
          <w:rFonts w:ascii="Times New Roman" w:cs="Times New Roman" w:eastAsia="Times New Roman" w:hAnsi="Times New Roman"/>
          <w:sz w:val="14"/>
          <w:szCs w:val="14"/>
          <w:color w:val="auto"/>
        </w:rPr>
      </w:pPr>
    </w:p>
    <w:p>
      <w:pPr>
        <w:ind w:left="1700" w:right="1319" w:hanging="149"/>
        <w:spacing w:after="0" w:line="262" w:lineRule="auto"/>
        <w:tabs>
          <w:tab w:leader="none" w:pos="1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80" w:lineRule="exact"/>
        <w:rPr>
          <w:sz w:val="20"/>
          <w:szCs w:val="20"/>
          <w:color w:val="auto"/>
        </w:rPr>
      </w:pPr>
    </w:p>
    <w:p>
      <w:pPr>
        <w:ind w:left="1260" w:right="1519" w:firstLine="284"/>
        <w:spacing w:after="0" w:line="255"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83" w:lineRule="exact"/>
        <w:rPr>
          <w:sz w:val="20"/>
          <w:szCs w:val="20"/>
          <w:color w:val="auto"/>
        </w:rPr>
      </w:pPr>
    </w:p>
    <w:p>
      <w:pPr>
        <w:ind w:left="1260" w:right="1319" w:firstLine="284"/>
        <w:spacing w:after="0" w:line="248"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29" w:lineRule="exact"/>
        <w:rPr>
          <w:sz w:val="20"/>
          <w:szCs w:val="20"/>
          <w:color w:val="auto"/>
        </w:rPr>
      </w:pPr>
    </w:p>
    <w:p>
      <w:pPr>
        <w:ind w:left="1260" w:right="1379" w:firstLine="284"/>
        <w:spacing w:after="0" w:line="273" w:lineRule="auto"/>
        <w:rPr>
          <w:sz w:val="20"/>
          <w:szCs w:val="20"/>
          <w:color w:val="auto"/>
        </w:rPr>
      </w:pPr>
      <w:r>
        <w:rPr>
          <w:rFonts w:ascii="Times New Roman" w:cs="Times New Roman" w:eastAsia="Times New Roman" w:hAnsi="Times New Roman"/>
          <w:sz w:val="14"/>
          <w:szCs w:val="14"/>
          <w:color w:val="auto"/>
        </w:rPr>
        <w:t>We and the trustee may modify, amend or supplement the indenture or the debt securities of any series without the consent of any holder of any debt security:</w:t>
      </w:r>
    </w:p>
    <w:p>
      <w:pPr>
        <w:spacing w:after="0" w:line="38" w:lineRule="exact"/>
        <w:rPr>
          <w:sz w:val="20"/>
          <w:szCs w:val="20"/>
          <w:color w:val="auto"/>
        </w:rPr>
      </w:pPr>
    </w:p>
    <w:p>
      <w:pPr>
        <w:ind w:left="1700" w:hanging="149"/>
        <w:spacing w:after="0"/>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94" w:lineRule="exact"/>
        <w:rPr>
          <w:rFonts w:ascii="Times New Roman" w:cs="Times New Roman" w:eastAsia="Times New Roman" w:hAnsi="Times New Roman"/>
          <w:sz w:val="14"/>
          <w:szCs w:val="14"/>
          <w:color w:val="auto"/>
        </w:rPr>
      </w:pPr>
    </w:p>
    <w:p>
      <w:pPr>
        <w:ind w:left="1700" w:right="1739" w:hanging="149"/>
        <w:spacing w:after="0" w:line="289" w:lineRule="auto"/>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w:t>
      </w:r>
    </w:p>
    <w:p>
      <w:pPr>
        <w:spacing w:after="0" w:line="38"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94"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any series or secure debt securities of any series;</w:t>
      </w:r>
    </w:p>
    <w:p>
      <w:pPr>
        <w:spacing w:after="0" w:line="83"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94"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debt securities of any series;</w:t>
      </w:r>
    </w:p>
    <w:p>
      <w:pPr>
        <w:spacing w:after="0" w:line="94"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83"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w:t>
      </w:r>
    </w:p>
    <w:p>
      <w:pPr>
        <w:spacing w:after="0" w:line="94" w:lineRule="exact"/>
        <w:rPr>
          <w:rFonts w:ascii="Times New Roman" w:cs="Times New Roman" w:eastAsia="Times New Roman" w:hAnsi="Times New Roman"/>
          <w:sz w:val="14"/>
          <w:szCs w:val="14"/>
          <w:color w:val="auto"/>
        </w:rPr>
      </w:pPr>
    </w:p>
    <w:p>
      <w:pPr>
        <w:ind w:left="1700" w:right="1479" w:hanging="149"/>
        <w:spacing w:after="0" w:line="289" w:lineRule="auto"/>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debt securities of any series as permitted by the indenture;</w:t>
      </w:r>
    </w:p>
    <w:p>
      <w:pPr>
        <w:spacing w:after="0" w:line="38" w:lineRule="exact"/>
        <w:rPr>
          <w:rFonts w:ascii="Times New Roman" w:cs="Times New Roman" w:eastAsia="Times New Roman" w:hAnsi="Times New Roman"/>
          <w:sz w:val="14"/>
          <w:szCs w:val="14"/>
          <w:color w:val="auto"/>
        </w:rPr>
      </w:pPr>
    </w:p>
    <w:p>
      <w:pPr>
        <w:ind w:left="1700" w:right="1299" w:hanging="149"/>
        <w:spacing w:after="0" w:line="271" w:lineRule="auto"/>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51" w:lineRule="exact"/>
        <w:rPr>
          <w:rFonts w:ascii="Times New Roman" w:cs="Times New Roman" w:eastAsia="Times New Roman" w:hAnsi="Times New Roman"/>
          <w:sz w:val="14"/>
          <w:szCs w:val="14"/>
          <w:color w:val="auto"/>
        </w:rPr>
      </w:pPr>
    </w:p>
    <w:p>
      <w:pPr>
        <w:ind w:left="1700" w:right="1779" w:hanging="149"/>
        <w:spacing w:after="0" w:line="289" w:lineRule="auto"/>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 (Section 9.1)</w:t>
      </w:r>
    </w:p>
    <w:p>
      <w:pPr>
        <w:spacing w:after="0" w:line="60" w:lineRule="exact"/>
        <w:rPr>
          <w:sz w:val="20"/>
          <w:szCs w:val="20"/>
          <w:color w:val="auto"/>
        </w:rPr>
      </w:pPr>
    </w:p>
    <w:p>
      <w:pPr>
        <w:ind w:left="1260" w:right="1399" w:firstLine="284"/>
        <w:spacing w:after="0" w:line="255" w:lineRule="auto"/>
        <w:rPr>
          <w:sz w:val="20"/>
          <w:szCs w:val="20"/>
          <w:color w:val="auto"/>
        </w:rPr>
      </w:pPr>
      <w:r>
        <w:rPr>
          <w:rFonts w:ascii="Times New Roman" w:cs="Times New Roman" w:eastAsia="Times New Roman" w:hAnsi="Times New Roman"/>
          <w:sz w:val="14"/>
          <w:szCs w:val="14"/>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9" w:name="page60"/>
    <w:bookmarkEnd w:id="5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00" w:right="1479" w:hanging="149"/>
        <w:spacing w:after="0" w:line="289"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48" w:lineRule="exact"/>
        <w:rPr>
          <w:rFonts w:ascii="Times New Roman" w:cs="Times New Roman" w:eastAsia="Times New Roman" w:hAnsi="Times New Roman"/>
          <w:sz w:val="14"/>
          <w:szCs w:val="14"/>
          <w:color w:val="auto"/>
        </w:rPr>
      </w:pPr>
    </w:p>
    <w:p>
      <w:pPr>
        <w:ind w:left="1700" w:right="1399" w:hanging="149"/>
        <w:spacing w:after="0" w:line="289"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38" w:lineRule="exact"/>
        <w:rPr>
          <w:rFonts w:ascii="Times New Roman" w:cs="Times New Roman" w:eastAsia="Times New Roman" w:hAnsi="Times New Roman"/>
          <w:sz w:val="14"/>
          <w:szCs w:val="14"/>
          <w:color w:val="auto"/>
        </w:rPr>
      </w:pPr>
    </w:p>
    <w:p>
      <w:pPr>
        <w:ind w:left="1700" w:right="1299" w:hanging="149"/>
        <w:spacing w:after="0" w:line="271"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51"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105" w:lineRule="exact"/>
        <w:rPr>
          <w:rFonts w:ascii="Times New Roman" w:cs="Times New Roman" w:eastAsia="Times New Roman" w:hAnsi="Times New Roman"/>
          <w:sz w:val="14"/>
          <w:szCs w:val="14"/>
          <w:color w:val="auto"/>
        </w:rPr>
      </w:pPr>
    </w:p>
    <w:p>
      <w:pPr>
        <w:ind w:left="1700" w:right="1319" w:hanging="149"/>
        <w:spacing w:after="0" w:line="265"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55" w:lineRule="exact"/>
        <w:rPr>
          <w:rFonts w:ascii="Times New Roman" w:cs="Times New Roman" w:eastAsia="Times New Roman" w:hAnsi="Times New Roman"/>
          <w:sz w:val="14"/>
          <w:szCs w:val="14"/>
          <w:color w:val="auto"/>
        </w:rPr>
      </w:pPr>
    </w:p>
    <w:p>
      <w:pPr>
        <w:ind w:left="1700" w:right="1339" w:hanging="149"/>
        <w:spacing w:after="0" w:line="289"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48" w:lineRule="exact"/>
        <w:rPr>
          <w:rFonts w:ascii="Times New Roman" w:cs="Times New Roman" w:eastAsia="Times New Roman" w:hAnsi="Times New Roman"/>
          <w:sz w:val="14"/>
          <w:szCs w:val="14"/>
          <w:color w:val="auto"/>
        </w:rPr>
      </w:pPr>
    </w:p>
    <w:p>
      <w:pPr>
        <w:ind w:left="1700" w:right="1379" w:hanging="149"/>
        <w:spacing w:after="0" w:line="268"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27"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 (Section 9.3)</w:t>
      </w:r>
    </w:p>
    <w:p>
      <w:pPr>
        <w:spacing w:after="0" w:line="127" w:lineRule="exact"/>
        <w:rPr>
          <w:sz w:val="20"/>
          <w:szCs w:val="20"/>
          <w:color w:val="auto"/>
        </w:rPr>
      </w:pPr>
    </w:p>
    <w:p>
      <w:pPr>
        <w:ind w:left="1260" w:right="1299" w:firstLine="284"/>
        <w:spacing w:after="0" w:line="258"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116" w:lineRule="exact"/>
        <w:rPr>
          <w:sz w:val="20"/>
          <w:szCs w:val="20"/>
          <w:color w:val="auto"/>
        </w:rPr>
      </w:pPr>
    </w:p>
    <w:p>
      <w:pPr>
        <w:ind w:left="1260" w:right="1279" w:firstLine="284"/>
        <w:spacing w:after="0" w:line="257"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The indenture provides that, unless otherwise provided by the terms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270" w:lineRule="exact"/>
        <w:rPr>
          <w:sz w:val="20"/>
          <w:szCs w:val="20"/>
          <w:color w:val="auto"/>
        </w:rPr>
      </w:pPr>
    </w:p>
    <w:p>
      <w:pPr>
        <w:ind w:left="1260" w:right="1319" w:firstLine="284"/>
        <w:spacing w:after="0" w:line="258"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0" w:name="page61"/>
    <w:bookmarkEnd w:id="60"/>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right="1639" w:firstLine="284"/>
        <w:spacing w:after="0" w:line="292" w:lineRule="auto"/>
        <w:rPr>
          <w:sz w:val="20"/>
          <w:szCs w:val="20"/>
          <w:color w:val="auto"/>
        </w:rPr>
      </w:pPr>
      <w:r>
        <w:rPr>
          <w:rFonts w:ascii="Times New Roman" w:cs="Times New Roman" w:eastAsia="Times New Roman" w:hAnsi="Times New Roman"/>
          <w:sz w:val="14"/>
          <w:szCs w:val="14"/>
          <w:i w:val="1"/>
          <w:iCs w:val="1"/>
          <w:color w:val="auto"/>
        </w:rPr>
        <w:t>Defeasance of Certain Covenants</w:t>
      </w:r>
      <w:r>
        <w:rPr>
          <w:rFonts w:ascii="Times New Roman" w:cs="Times New Roman" w:eastAsia="Times New Roman" w:hAnsi="Times New Roman"/>
          <w:sz w:val="14"/>
          <w:szCs w:val="14"/>
          <w:color w:val="auto"/>
        </w:rPr>
        <w:t>. The indenture provides that, unless otherwise provided by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terms of the applicable series of debt securities, upon compliance with certain conditions:</w:t>
      </w:r>
    </w:p>
    <w:p>
      <w:pPr>
        <w:spacing w:after="0" w:line="36" w:lineRule="exact"/>
        <w:rPr>
          <w:sz w:val="20"/>
          <w:szCs w:val="20"/>
          <w:color w:val="auto"/>
        </w:rPr>
      </w:pPr>
    </w:p>
    <w:p>
      <w:pPr>
        <w:ind w:left="1700" w:right="1419" w:hanging="149"/>
        <w:spacing w:after="0" w:line="271"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51" w:lineRule="exact"/>
        <w:rPr>
          <w:rFonts w:ascii="Times New Roman" w:cs="Times New Roman" w:eastAsia="Times New Roman" w:hAnsi="Times New Roman"/>
          <w:sz w:val="14"/>
          <w:szCs w:val="14"/>
          <w:color w:val="auto"/>
        </w:rPr>
      </w:pPr>
    </w:p>
    <w:p>
      <w:pPr>
        <w:ind w:left="1700" w:right="1539" w:hanging="149"/>
        <w:spacing w:after="0" w:line="289"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(“covenant defeasance”).</w:t>
      </w:r>
    </w:p>
    <w:p>
      <w:pPr>
        <w:spacing w:after="0" w:line="7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95" w:lineRule="exact"/>
        <w:rPr>
          <w:sz w:val="20"/>
          <w:szCs w:val="20"/>
          <w:color w:val="auto"/>
        </w:rPr>
      </w:pPr>
    </w:p>
    <w:p>
      <w:pPr>
        <w:ind w:left="1700" w:right="1299" w:hanging="149"/>
        <w:spacing w:after="0" w:line="259" w:lineRule="auto"/>
        <w:tabs>
          <w:tab w:leader="none" w:pos="1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58" w:lineRule="exact"/>
        <w:rPr>
          <w:rFonts w:ascii="Times New Roman" w:cs="Times New Roman" w:eastAsia="Times New Roman" w:hAnsi="Times New Roman"/>
          <w:sz w:val="14"/>
          <w:szCs w:val="14"/>
          <w:color w:val="auto"/>
        </w:rPr>
      </w:pPr>
    </w:p>
    <w:p>
      <w:pPr>
        <w:ind w:left="1700" w:right="1339" w:hanging="149"/>
        <w:spacing w:after="0" w:line="262" w:lineRule="auto"/>
        <w:tabs>
          <w:tab w:leader="none" w:pos="1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or Securityholders</w:t>
      </w:r>
    </w:p>
    <w:p>
      <w:pPr>
        <w:spacing w:after="0" w:line="129" w:lineRule="exact"/>
        <w:rPr>
          <w:sz w:val="20"/>
          <w:szCs w:val="20"/>
          <w:color w:val="auto"/>
        </w:rPr>
      </w:pPr>
    </w:p>
    <w:p>
      <w:pPr>
        <w:ind w:left="1260" w:right="1319" w:firstLine="284"/>
        <w:spacing w:after="0" w:line="261"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18" w:lineRule="exact"/>
        <w:rPr>
          <w:sz w:val="20"/>
          <w:szCs w:val="20"/>
          <w:color w:val="auto"/>
        </w:rPr>
      </w:pPr>
    </w:p>
    <w:p>
      <w:pPr>
        <w:ind w:left="1260" w:right="1459" w:firstLine="284"/>
        <w:spacing w:after="0" w:line="289" w:lineRule="auto"/>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securities, will be governed by the laws of the State of New York.</w:t>
      </w:r>
    </w:p>
    <w:p>
      <w:pPr>
        <w:spacing w:after="0" w:line="70" w:lineRule="exact"/>
        <w:rPr>
          <w:sz w:val="20"/>
          <w:szCs w:val="20"/>
          <w:color w:val="auto"/>
        </w:rPr>
      </w:pPr>
    </w:p>
    <w:p>
      <w:pPr>
        <w:ind w:left="1260" w:right="1459" w:firstLine="284"/>
        <w:spacing w:after="0" w:line="265" w:lineRule="auto"/>
        <w:rPr>
          <w:sz w:val="20"/>
          <w:szCs w:val="20"/>
          <w:color w:val="auto"/>
        </w:rPr>
      </w:pPr>
      <w:r>
        <w:rPr>
          <w:rFonts w:ascii="Times New Roman" w:cs="Times New Roman" w:eastAsia="Times New Roman" w:hAnsi="Times New Roman"/>
          <w:sz w:val="14"/>
          <w:szCs w:val="14"/>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88" w:lineRule="exact"/>
        <w:rPr>
          <w:sz w:val="20"/>
          <w:szCs w:val="20"/>
          <w:color w:val="auto"/>
        </w:rPr>
      </w:pPr>
    </w:p>
    <w:p>
      <w:pPr>
        <w:ind w:left="1260" w:right="1299" w:firstLine="284"/>
        <w:spacing w:after="0" w:line="257" w:lineRule="auto"/>
        <w:rPr>
          <w:sz w:val="20"/>
          <w:szCs w:val="20"/>
          <w:color w:val="auto"/>
        </w:rPr>
      </w:pPr>
      <w:r>
        <w:rPr>
          <w:rFonts w:ascii="Times New Roman" w:cs="Times New Roman" w:eastAsia="Times New Roman" w:hAnsi="Times New Roman"/>
          <w:sz w:val="14"/>
          <w:szCs w:val="14"/>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1" w:name="page62"/>
    <w:bookmarkEnd w:id="61"/>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OTHER SECURITIES</w:t>
      </w:r>
    </w:p>
    <w:p>
      <w:pPr>
        <w:spacing w:after="0" w:line="129" w:lineRule="exact"/>
        <w:rPr>
          <w:sz w:val="20"/>
          <w:szCs w:val="20"/>
          <w:color w:val="auto"/>
        </w:rPr>
      </w:pPr>
    </w:p>
    <w:p>
      <w:pPr>
        <w:ind w:left="1260" w:right="1399" w:firstLine="284"/>
        <w:spacing w:after="0" w:line="289"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depositary shares, warrants, purchase contracts or units issued by us that may be offered and sold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2" w:name="page63"/>
    <w:bookmarkEnd w:id="62"/>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129" w:lineRule="exact"/>
        <w:rPr>
          <w:sz w:val="20"/>
          <w:szCs w:val="20"/>
          <w:color w:val="auto"/>
        </w:rPr>
      </w:pPr>
    </w:p>
    <w:p>
      <w:pPr>
        <w:ind w:left="1260" w:right="1319" w:firstLine="284"/>
        <w:spacing w:after="0" w:line="247" w:lineRule="auto"/>
        <w:rPr>
          <w:sz w:val="20"/>
          <w:szCs w:val="20"/>
          <w:color w:val="auto"/>
        </w:rPr>
      </w:pPr>
      <w:r>
        <w:rPr>
          <w:rFonts w:ascii="Times New Roman" w:cs="Times New Roman" w:eastAsia="Times New Roman" w:hAnsi="Times New Roman"/>
          <w:sz w:val="14"/>
          <w:szCs w:val="14"/>
          <w:color w:val="auto"/>
        </w:rPr>
        <w:t>Unless we indicate differently in any applicable prospectus supplement or free writing prospectus, the securities initially will be issued in book-entry form and represented by one or more global notes or global securities (collectively,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9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95" w:lineRule="exact"/>
        <w:rPr>
          <w:sz w:val="20"/>
          <w:szCs w:val="20"/>
          <w:color w:val="auto"/>
        </w:rPr>
      </w:pPr>
    </w:p>
    <w:p>
      <w:pPr>
        <w:ind w:left="1700" w:hanging="149"/>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83"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94"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94"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83"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27" w:lineRule="exact"/>
        <w:rPr>
          <w:sz w:val="20"/>
          <w:szCs w:val="20"/>
          <w:color w:val="auto"/>
        </w:rPr>
      </w:pPr>
    </w:p>
    <w:p>
      <w:pPr>
        <w:ind w:left="1260" w:right="1319" w:firstLine="284"/>
        <w:spacing w:after="0" w:line="246" w:lineRule="auto"/>
        <w:rPr>
          <w:sz w:val="20"/>
          <w:szCs w:val="20"/>
          <w:color w:val="auto"/>
        </w:rPr>
      </w:pPr>
      <w:r>
        <w:rPr>
          <w:rFonts w:ascii="Times New Roman" w:cs="Times New Roman" w:eastAsia="Times New Roman" w:hAnsi="Times New Roman"/>
          <w:sz w:val="14"/>
          <w:szCs w:val="14"/>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91" w:lineRule="exact"/>
        <w:rPr>
          <w:sz w:val="20"/>
          <w:szCs w:val="20"/>
          <w:color w:val="auto"/>
        </w:rPr>
      </w:pPr>
    </w:p>
    <w:p>
      <w:pPr>
        <w:ind w:left="1260" w:right="1319" w:firstLine="284"/>
        <w:spacing w:after="0" w:line="247" w:lineRule="auto"/>
        <w:rPr>
          <w:sz w:val="20"/>
          <w:szCs w:val="20"/>
          <w:color w:val="auto"/>
        </w:rPr>
      </w:pPr>
      <w:r>
        <w:rPr>
          <w:rFonts w:ascii="Times New Roman" w:cs="Times New Roman" w:eastAsia="Times New Roman" w:hAnsi="Times New Roman"/>
          <w:sz w:val="14"/>
          <w:szCs w:val="14"/>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90" w:lineRule="exact"/>
        <w:rPr>
          <w:sz w:val="20"/>
          <w:szCs w:val="20"/>
          <w:color w:val="auto"/>
        </w:rPr>
      </w:pPr>
    </w:p>
    <w:p>
      <w:pPr>
        <w:ind w:left="1260" w:right="1299" w:firstLine="284"/>
        <w:spacing w:after="0" w:line="247" w:lineRule="auto"/>
        <w:rPr>
          <w:sz w:val="20"/>
          <w:szCs w:val="20"/>
          <w:color w:val="auto"/>
        </w:rPr>
      </w:pPr>
      <w:r>
        <w:rPr>
          <w:rFonts w:ascii="Times New Roman" w:cs="Times New Roman" w:eastAsia="Times New Roman" w:hAnsi="Times New Roman"/>
          <w:sz w:val="14"/>
          <w:szCs w:val="14"/>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257" w:lineRule="exact"/>
        <w:rPr>
          <w:sz w:val="20"/>
          <w:szCs w:val="20"/>
          <w:color w:val="auto"/>
        </w:rPr>
      </w:pPr>
    </w:p>
    <w:p>
      <w:pPr>
        <w:ind w:left="1260" w:right="1359" w:firstLine="284"/>
        <w:spacing w:after="0" w:line="254" w:lineRule="auto"/>
        <w:rPr>
          <w:sz w:val="20"/>
          <w:szCs w:val="20"/>
          <w:color w:val="auto"/>
        </w:rPr>
      </w:pPr>
      <w:r>
        <w:rPr>
          <w:rFonts w:ascii="Times New Roman" w:cs="Times New Roman" w:eastAsia="Times New Roman" w:hAnsi="Times New Roman"/>
          <w:sz w:val="14"/>
          <w:szCs w:val="14"/>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3" w:name="page64"/>
    <w:bookmarkEnd w:id="6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79" w:firstLine="284"/>
        <w:spacing w:after="0" w:line="271"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83" w:lineRule="exact"/>
        <w:rPr>
          <w:sz w:val="20"/>
          <w:szCs w:val="20"/>
          <w:color w:val="auto"/>
        </w:rPr>
      </w:pPr>
    </w:p>
    <w:p>
      <w:pPr>
        <w:ind w:left="1260" w:right="1319" w:firstLine="284"/>
        <w:spacing w:after="0" w:line="271" w:lineRule="auto"/>
        <w:rPr>
          <w:sz w:val="20"/>
          <w:szCs w:val="20"/>
          <w:color w:val="auto"/>
        </w:rPr>
      </w:pPr>
      <w:r>
        <w:rPr>
          <w:rFonts w:ascii="Times New Roman" w:cs="Times New Roman" w:eastAsia="Times New Roman" w:hAnsi="Times New Roman"/>
          <w:sz w:val="14"/>
          <w:szCs w:val="14"/>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83" w:lineRule="exact"/>
        <w:rPr>
          <w:sz w:val="20"/>
          <w:szCs w:val="20"/>
          <w:color w:val="auto"/>
        </w:rPr>
      </w:pPr>
    </w:p>
    <w:p>
      <w:pPr>
        <w:ind w:left="1260" w:right="1439" w:firstLine="284"/>
        <w:spacing w:after="0" w:line="262" w:lineRule="auto"/>
        <w:rPr>
          <w:sz w:val="20"/>
          <w:szCs w:val="20"/>
          <w:color w:val="auto"/>
        </w:rPr>
      </w:pPr>
      <w:r>
        <w:rPr>
          <w:rFonts w:ascii="Times New Roman" w:cs="Times New Roman" w:eastAsia="Times New Roman" w:hAnsi="Times New Roman"/>
          <w:sz w:val="14"/>
          <w:szCs w:val="14"/>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80" w:lineRule="exact"/>
        <w:rPr>
          <w:sz w:val="20"/>
          <w:szCs w:val="20"/>
          <w:color w:val="auto"/>
        </w:rPr>
      </w:pPr>
    </w:p>
    <w:p>
      <w:pPr>
        <w:ind w:left="1260" w:right="1379" w:firstLine="284"/>
        <w:spacing w:after="0" w:line="258" w:lineRule="auto"/>
        <w:rPr>
          <w:sz w:val="20"/>
          <w:szCs w:val="20"/>
          <w:color w:val="auto"/>
        </w:rPr>
      </w:pPr>
      <w:r>
        <w:rPr>
          <w:rFonts w:ascii="Times New Roman" w:cs="Times New Roman" w:eastAsia="Times New Roman" w:hAnsi="Times New Roman"/>
          <w:sz w:val="14"/>
          <w:szCs w:val="14"/>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266" w:lineRule="exact"/>
        <w:rPr>
          <w:sz w:val="20"/>
          <w:szCs w:val="20"/>
          <w:color w:val="auto"/>
        </w:rPr>
      </w:pPr>
    </w:p>
    <w:p>
      <w:pPr>
        <w:ind w:left="1260" w:right="1319" w:firstLine="284"/>
        <w:spacing w:after="0" w:line="257" w:lineRule="auto"/>
        <w:rPr>
          <w:sz w:val="20"/>
          <w:szCs w:val="20"/>
          <w:color w:val="auto"/>
        </w:rPr>
      </w:pPr>
      <w:r>
        <w:rPr>
          <w:rFonts w:ascii="Times New Roman" w:cs="Times New Roman" w:eastAsia="Times New Roman" w:hAnsi="Times New Roman"/>
          <w:sz w:val="14"/>
          <w:szCs w:val="14"/>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266" w:lineRule="exact"/>
        <w:rPr>
          <w:sz w:val="20"/>
          <w:szCs w:val="20"/>
          <w:color w:val="auto"/>
        </w:rPr>
      </w:pPr>
    </w:p>
    <w:p>
      <w:pPr>
        <w:ind w:left="1260" w:right="1339" w:firstLine="284"/>
        <w:spacing w:after="0" w:line="265" w:lineRule="auto"/>
        <w:rPr>
          <w:sz w:val="20"/>
          <w:szCs w:val="20"/>
          <w:color w:val="auto"/>
        </w:rPr>
      </w:pPr>
      <w:r>
        <w:rPr>
          <w:rFonts w:ascii="Times New Roman" w:cs="Times New Roman" w:eastAsia="Times New Roman" w:hAnsi="Times New Roman"/>
          <w:sz w:val="14"/>
          <w:szCs w:val="14"/>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77" w:lineRule="exact"/>
        <w:rPr>
          <w:sz w:val="20"/>
          <w:szCs w:val="20"/>
          <w:color w:val="auto"/>
        </w:rPr>
      </w:pPr>
    </w:p>
    <w:p>
      <w:pPr>
        <w:ind w:left="1260" w:right="1339" w:firstLine="284"/>
        <w:spacing w:after="0" w:line="271" w:lineRule="auto"/>
        <w:rPr>
          <w:sz w:val="20"/>
          <w:szCs w:val="20"/>
          <w:color w:val="auto"/>
        </w:rPr>
      </w:pPr>
      <w:r>
        <w:rPr>
          <w:rFonts w:ascii="Times New Roman" w:cs="Times New Roman" w:eastAsia="Times New Roman" w:hAnsi="Times New Roman"/>
          <w:sz w:val="14"/>
          <w:szCs w:val="14"/>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83" w:lineRule="exact"/>
        <w:rPr>
          <w:sz w:val="20"/>
          <w:szCs w:val="20"/>
          <w:color w:val="auto"/>
        </w:rPr>
      </w:pPr>
    </w:p>
    <w:p>
      <w:pPr>
        <w:jc w:val="both"/>
        <w:ind w:left="1260" w:right="1279" w:firstLine="284"/>
        <w:spacing w:after="0" w:line="271" w:lineRule="auto"/>
        <w:rPr>
          <w:sz w:val="20"/>
          <w:szCs w:val="20"/>
          <w:color w:val="auto"/>
        </w:rPr>
      </w:pPr>
      <w:r>
        <w:rPr>
          <w:rFonts w:ascii="Times New Roman" w:cs="Times New Roman" w:eastAsia="Times New Roman" w:hAnsi="Times New Roman"/>
          <w:sz w:val="14"/>
          <w:szCs w:val="14"/>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83" w:lineRule="exact"/>
        <w:rPr>
          <w:sz w:val="20"/>
          <w:szCs w:val="20"/>
          <w:color w:val="auto"/>
        </w:rPr>
      </w:pPr>
    </w:p>
    <w:p>
      <w:pPr>
        <w:ind w:left="1260" w:right="1839" w:firstLine="284"/>
        <w:spacing w:after="0" w:line="289" w:lineRule="auto"/>
        <w:rPr>
          <w:sz w:val="20"/>
          <w:szCs w:val="20"/>
          <w:color w:val="auto"/>
        </w:rPr>
      </w:pPr>
      <w:r>
        <w:rPr>
          <w:rFonts w:ascii="Times New Roman" w:cs="Times New Roman" w:eastAsia="Times New Roman" w:hAnsi="Times New Roman"/>
          <w:sz w:val="14"/>
          <w:szCs w:val="14"/>
          <w:color w:val="auto"/>
        </w:rPr>
        <w:t>As noted above, beneficial owners of a particular series of securities generally will not receive certificates representing their ownership interests in those securities. However, if:</w:t>
      </w:r>
    </w:p>
    <w:p>
      <w:pPr>
        <w:spacing w:after="0" w:line="38" w:lineRule="exact"/>
        <w:rPr>
          <w:sz w:val="20"/>
          <w:szCs w:val="20"/>
          <w:color w:val="auto"/>
        </w:rPr>
      </w:pPr>
    </w:p>
    <w:p>
      <w:pPr>
        <w:ind w:left="1700" w:right="1359" w:hanging="149"/>
        <w:spacing w:after="0" w:line="262"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4" w:name="page65"/>
    <w:bookmarkEnd w:id="6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00" w:right="1459" w:hanging="149"/>
        <w:spacing w:after="0" w:line="289" w:lineRule="auto"/>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in our sole discretion, not to have such securities represented by one or more global securities; or</w:t>
      </w:r>
    </w:p>
    <w:p>
      <w:pPr>
        <w:spacing w:after="0" w:line="38"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has occurred and is continuing with respect to such series of securities,</w:t>
      </w:r>
    </w:p>
    <w:p>
      <w:pPr>
        <w:spacing w:after="0" w:line="127" w:lineRule="exact"/>
        <w:rPr>
          <w:sz w:val="20"/>
          <w:szCs w:val="20"/>
          <w:color w:val="auto"/>
        </w:rPr>
      </w:pPr>
    </w:p>
    <w:p>
      <w:pPr>
        <w:ind w:left="1260" w:right="1399"/>
        <w:spacing w:after="0" w:line="261" w:lineRule="auto"/>
        <w:rPr>
          <w:sz w:val="20"/>
          <w:szCs w:val="20"/>
          <w:color w:val="auto"/>
        </w:rPr>
      </w:pPr>
      <w:r>
        <w:rPr>
          <w:rFonts w:ascii="Times New Roman" w:cs="Times New Roman" w:eastAsia="Times New Roman" w:hAnsi="Times New Roman"/>
          <w:sz w:val="14"/>
          <w:szCs w:val="14"/>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31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Euroclear and Clearstream</w:t>
      </w:r>
    </w:p>
    <w:p>
      <w:pPr>
        <w:spacing w:after="0" w:line="131" w:lineRule="exact"/>
        <w:rPr>
          <w:sz w:val="20"/>
          <w:szCs w:val="20"/>
          <w:color w:val="auto"/>
        </w:rPr>
      </w:pPr>
    </w:p>
    <w:p>
      <w:pPr>
        <w:ind w:left="1260" w:right="1299" w:firstLine="284"/>
        <w:spacing w:after="0" w:line="259" w:lineRule="auto"/>
        <w:rPr>
          <w:sz w:val="20"/>
          <w:szCs w:val="20"/>
          <w:color w:val="auto"/>
        </w:rPr>
      </w:pPr>
      <w:r>
        <w:rPr>
          <w:rFonts w:ascii="Times New Roman" w:cs="Times New Roman" w:eastAsia="Times New Roman" w:hAnsi="Times New Roman"/>
          <w:sz w:val="14"/>
          <w:szCs w:val="14"/>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253" w:lineRule="exact"/>
        <w:rPr>
          <w:sz w:val="20"/>
          <w:szCs w:val="20"/>
          <w:color w:val="auto"/>
        </w:rPr>
      </w:pPr>
    </w:p>
    <w:p>
      <w:pPr>
        <w:ind w:left="1260" w:right="1379" w:firstLine="284"/>
        <w:spacing w:after="0" w:line="265" w:lineRule="auto"/>
        <w:rPr>
          <w:sz w:val="20"/>
          <w:szCs w:val="20"/>
          <w:color w:val="auto"/>
        </w:rPr>
      </w:pPr>
      <w:r>
        <w:rPr>
          <w:rFonts w:ascii="Times New Roman" w:cs="Times New Roman" w:eastAsia="Times New Roman" w:hAnsi="Times New Roman"/>
          <w:sz w:val="14"/>
          <w:szCs w:val="14"/>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88" w:lineRule="exact"/>
        <w:rPr>
          <w:sz w:val="20"/>
          <w:szCs w:val="20"/>
          <w:color w:val="auto"/>
        </w:rPr>
      </w:pPr>
    </w:p>
    <w:p>
      <w:pPr>
        <w:ind w:left="1260" w:right="1419" w:firstLine="284"/>
        <w:spacing w:after="0" w:line="265" w:lineRule="auto"/>
        <w:rPr>
          <w:sz w:val="20"/>
          <w:szCs w:val="20"/>
          <w:color w:val="auto"/>
        </w:rPr>
      </w:pPr>
      <w:r>
        <w:rPr>
          <w:rFonts w:ascii="Times New Roman" w:cs="Times New Roman" w:eastAsia="Times New Roman" w:hAnsi="Times New Roman"/>
          <w:sz w:val="14"/>
          <w:szCs w:val="14"/>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88" w:lineRule="exact"/>
        <w:rPr>
          <w:sz w:val="20"/>
          <w:szCs w:val="20"/>
          <w:color w:val="auto"/>
        </w:rPr>
      </w:pPr>
    </w:p>
    <w:p>
      <w:pPr>
        <w:ind w:left="1260" w:right="1539" w:firstLine="284"/>
        <w:spacing w:after="0" w:line="265" w:lineRule="auto"/>
        <w:rPr>
          <w:sz w:val="20"/>
          <w:szCs w:val="20"/>
          <w:color w:val="auto"/>
        </w:rPr>
      </w:pPr>
      <w:r>
        <w:rPr>
          <w:rFonts w:ascii="Times New Roman" w:cs="Times New Roman" w:eastAsia="Times New Roman" w:hAnsi="Times New Roman"/>
          <w:sz w:val="14"/>
          <w:szCs w:val="14"/>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77" w:lineRule="exact"/>
        <w:rPr>
          <w:sz w:val="20"/>
          <w:szCs w:val="20"/>
          <w:color w:val="auto"/>
        </w:rPr>
      </w:pPr>
    </w:p>
    <w:p>
      <w:pPr>
        <w:ind w:left="1260" w:right="1299" w:firstLine="284"/>
        <w:spacing w:after="0" w:line="257" w:lineRule="auto"/>
        <w:rPr>
          <w:sz w:val="20"/>
          <w:szCs w:val="20"/>
          <w:color w:val="auto"/>
        </w:rPr>
      </w:pPr>
      <w:r>
        <w:rPr>
          <w:rFonts w:ascii="Times New Roman" w:cs="Times New Roman" w:eastAsia="Times New Roman" w:hAnsi="Times New Roman"/>
          <w:sz w:val="14"/>
          <w:szCs w:val="14"/>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268" w:lineRule="exact"/>
        <w:rPr>
          <w:sz w:val="20"/>
          <w:szCs w:val="20"/>
          <w:color w:val="auto"/>
        </w:rPr>
      </w:pPr>
    </w:p>
    <w:p>
      <w:pPr>
        <w:ind w:left="1260" w:right="1299" w:firstLine="284"/>
        <w:spacing w:after="0" w:line="258" w:lineRule="auto"/>
        <w:rPr>
          <w:sz w:val="20"/>
          <w:szCs w:val="20"/>
          <w:color w:val="auto"/>
        </w:rPr>
      </w:pPr>
      <w:r>
        <w:rPr>
          <w:rFonts w:ascii="Times New Roman" w:cs="Times New Roman" w:eastAsia="Times New Roman" w:hAnsi="Times New Roman"/>
          <w:sz w:val="14"/>
          <w:szCs w:val="14"/>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5" w:name="page66"/>
    <w:bookmarkEnd w:id="65"/>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31" w:lineRule="exact"/>
        <w:rPr>
          <w:sz w:val="20"/>
          <w:szCs w:val="20"/>
          <w:color w:val="auto"/>
        </w:rPr>
      </w:pPr>
    </w:p>
    <w:p>
      <w:pPr>
        <w:ind w:left="1260" w:right="1279" w:firstLine="284"/>
        <w:spacing w:after="0" w:line="257" w:lineRule="auto"/>
        <w:rPr>
          <w:sz w:val="20"/>
          <w:szCs w:val="20"/>
          <w:color w:val="auto"/>
        </w:rPr>
      </w:pPr>
      <w:r>
        <w:rPr>
          <w:rFonts w:ascii="Times New Roman" w:cs="Times New Roman" w:eastAsia="Times New Roman" w:hAnsi="Times New Roman"/>
          <w:sz w:val="14"/>
          <w:szCs w:val="14"/>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6" w:name="page67"/>
    <w:bookmarkEnd w:id="66"/>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29" w:lineRule="exact"/>
        <w:rPr>
          <w:sz w:val="20"/>
          <w:szCs w:val="20"/>
          <w:color w:val="auto"/>
        </w:rPr>
      </w:pPr>
    </w:p>
    <w:p>
      <w:pPr>
        <w:ind w:left="1260" w:right="1279" w:firstLine="284"/>
        <w:spacing w:after="0" w:line="271" w:lineRule="auto"/>
        <w:rPr>
          <w:sz w:val="20"/>
          <w:szCs w:val="20"/>
          <w:color w:val="auto"/>
        </w:rPr>
      </w:pPr>
      <w:r>
        <w:rPr>
          <w:rFonts w:ascii="Times New Roman" w:cs="Times New Roman" w:eastAsia="Times New Roman" w:hAnsi="Times New Roman"/>
          <w:sz w:val="14"/>
          <w:szCs w:val="14"/>
          <w:color w:val="auto"/>
        </w:rPr>
        <w:t>The Selling Securityholders listed in the table below, may, from time to time, offer and sell any or all of the shares of Class A common stock set forth below pursuant to this prospectus. Additional Selling Securityholders may be added from time to time by amendment or supplement to this prospectus.</w:t>
      </w:r>
    </w:p>
    <w:p>
      <w:pPr>
        <w:spacing w:after="0" w:line="83" w:lineRule="exact"/>
        <w:rPr>
          <w:sz w:val="20"/>
          <w:szCs w:val="20"/>
          <w:color w:val="auto"/>
        </w:rPr>
      </w:pPr>
    </w:p>
    <w:p>
      <w:pPr>
        <w:ind w:left="1260" w:right="1319" w:firstLine="284"/>
        <w:spacing w:after="0" w:line="258" w:lineRule="auto"/>
        <w:rPr>
          <w:sz w:val="20"/>
          <w:szCs w:val="20"/>
          <w:color w:val="auto"/>
        </w:rPr>
      </w:pPr>
      <w:r>
        <w:rPr>
          <w:rFonts w:ascii="Times New Roman" w:cs="Times New Roman" w:eastAsia="Times New Roman" w:hAnsi="Times New Roman"/>
          <w:sz w:val="14"/>
          <w:szCs w:val="14"/>
          <w:color w:val="auto"/>
        </w:rPr>
        <w:t>As described in the section of this prospectus titled “Description of Capital Stock,” we have entered into a Registration Rights Agreement, dated November 1, 2021, among us and the Selling Securityholders identified below, pursuant to which we have granted certain registration rights with respect to certain shares of Class A common stock and shares of Class A common stock issuable upon redemption of outstanding LLC Interests held by such Selling Securityholders. We are registering certain of the securities offered by this prospectus on behalf of these Selling Securityholders. Our registration of these shares of Class A common stock does not necessarily mean that the Selling Securityholders will sell all or any of such shares. Because the Selling Securityholders are not obligated to sell their securities, we cannot state with certainty the amount of our securities that the Selling Securityholders will hold upon consummation of any such sales.</w:t>
      </w:r>
    </w:p>
    <w:p>
      <w:pPr>
        <w:spacing w:after="0" w:line="253" w:lineRule="exact"/>
        <w:rPr>
          <w:sz w:val="20"/>
          <w:szCs w:val="20"/>
          <w:color w:val="auto"/>
        </w:rPr>
      </w:pPr>
    </w:p>
    <w:p>
      <w:pPr>
        <w:ind w:left="1260" w:right="1339" w:firstLine="284"/>
        <w:spacing w:after="0" w:line="258" w:lineRule="auto"/>
        <w:rPr>
          <w:sz w:val="20"/>
          <w:szCs w:val="20"/>
          <w:color w:val="auto"/>
        </w:rPr>
      </w:pPr>
      <w:r>
        <w:rPr>
          <w:rFonts w:ascii="Times New Roman" w:cs="Times New Roman" w:eastAsia="Times New Roman" w:hAnsi="Times New Roman"/>
          <w:sz w:val="14"/>
          <w:szCs w:val="14"/>
          <w:color w:val="auto"/>
        </w:rPr>
        <w:t>The following table sets forth certain information provided by or on behalf of the Selling Securityholders identified below as of May 1, 2026 concerning the Class A common stock that may be offered from time to time by any such Selling Securityholder pursuant to this prospectus. The percentage of beneficial ownership before this offering set forth below is based on an aggregate of 132,811,490 shares of our Class A common stock and 51,499,195 shares of Class B-1 common stock, in each case, outstanding as of May 1, 2026. The number of shares and percentages of beneficial ownership after this offering set forth below assumes that the Selling Securityholders sell all 117,666,665 shares of our Class A common stock offered by this prospectus, including 51,499,195 shares of Class A common stock issuable upon redemption of outstanding LLC Interests.</w:t>
      </w:r>
    </w:p>
    <w:p>
      <w:pPr>
        <w:spacing w:after="0" w:line="266" w:lineRule="exact"/>
        <w:rPr>
          <w:sz w:val="20"/>
          <w:szCs w:val="20"/>
          <w:color w:val="auto"/>
        </w:rPr>
      </w:pPr>
    </w:p>
    <w:p>
      <w:pPr>
        <w:ind w:left="1260" w:right="1279" w:firstLine="284"/>
        <w:spacing w:after="0" w:line="259"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For information regarding material relationships and transactions between us and the Selling Securityholders identified below, see “Certain Relationships and Related Party Transactions” in our </w:t>
      </w:r>
      <w:hyperlink r:id="rId119">
        <w:r>
          <w:rPr>
            <w:rFonts w:ascii="Times New Roman" w:cs="Times New Roman" w:eastAsia="Times New Roman" w:hAnsi="Times New Roman"/>
            <w:sz w:val="14"/>
            <w:szCs w:val="14"/>
            <w:u w:val="single" w:color="auto"/>
            <w:color w:val="0000EE"/>
          </w:rPr>
          <w:t>definitive proxy statement filed on January 26, 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that is incorporated by reference in our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Annual Report</w:t>
        </w:r>
      </w:hyperlink>
      <w:r>
        <w:rPr>
          <w:rFonts w:ascii="Times New Roman" w:cs="Times New Roman" w:eastAsia="Times New Roman" w:hAnsi="Times New Roman"/>
          <w:sz w:val="14"/>
          <w:szCs w:val="14"/>
          <w:color w:val="0000EE"/>
        </w:rPr>
        <w:t xml:space="preserve"> </w:t>
      </w:r>
      <w:hyperlink r:id="rId119">
        <w:r>
          <w:rPr>
            <w:rFonts w:ascii="Times New Roman" w:cs="Times New Roman" w:eastAsia="Times New Roman" w:hAnsi="Times New Roman"/>
            <w:sz w:val="14"/>
            <w:szCs w:val="14"/>
            <w:u w:val="single" w:color="auto"/>
            <w:color w:val="0000EE"/>
          </w:rPr>
          <w:t>on Form 10-K for the fiscal year ended September 30, 2025</w:t>
        </w:r>
        <w:r>
          <w:rPr>
            <w:rFonts w:ascii="Times New Roman" w:cs="Times New Roman" w:eastAsia="Times New Roman" w:hAnsi="Times New Roman"/>
            <w:sz w:val="14"/>
            <w:szCs w:val="14"/>
            <w:color w:val="000000"/>
          </w:rPr>
          <w:t>, which is incorporated by reference in this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prospectus. Additional information about Selling Securityholders, other than those identified below, where applicable, will be set forth in a prospectus supplement, in a post-effective amendment or in filings we make with the SEC under the Exchange Act that are incorporated by reference.</w:t>
      </w:r>
    </w:p>
    <w:p>
      <w:pPr>
        <w:spacing w:after="0" w:line="94" w:lineRule="exact"/>
        <w:rPr>
          <w:sz w:val="20"/>
          <w:szCs w:val="20"/>
          <w:color w:val="auto"/>
        </w:rPr>
      </w:pPr>
    </w:p>
    <w:p>
      <w:pPr>
        <w:ind w:left="1260" w:right="1279" w:firstLine="284"/>
        <w:spacing w:after="0" w:line="271"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Unless otherwise indicated below, the address for each beneficial owner listed is c/o Fluence Energy, Inc., 4601 Fairfax Drive, Suite 600, Arlington, Virginia 22203.</w:t>
      </w:r>
    </w:p>
    <w:p>
      <w:pPr>
        <w:sectPr>
          <w:pgSz w:w="11900" w:h="16838" w:orient="portrait"/>
          <w:cols w:equalWidth="0" w:num="1">
            <w:col w:w="9019"/>
          </w:cols>
          <w:pgMar w:left="1440" w:top="108" w:right="1440" w:bottom="1440" w:gutter="0" w:footer="0" w:header="0"/>
        </w:sectPr>
      </w:pP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Name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AES Grid Stability, LLC</w:t>
      </w:r>
      <w:r>
        <w:rPr>
          <w:rFonts w:ascii="Times New Roman" w:cs="Times New Roman" w:eastAsia="Times New Roman" w:hAnsi="Times New Roman"/>
          <w:sz w:val="15"/>
          <w:szCs w:val="15"/>
          <w:color w:val="auto"/>
          <w:vertAlign w:val="superscript"/>
        </w:rPr>
        <w:t>(3)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Siemens AG</w:t>
      </w:r>
      <w:r>
        <w:rPr>
          <w:rFonts w:ascii="Times New Roman" w:cs="Times New Roman" w:eastAsia="Times New Roman" w:hAnsi="Times New Roman"/>
          <w:sz w:val="15"/>
          <w:szCs w:val="15"/>
          <w:color w:val="auto"/>
          <w:vertAlign w:val="superscript"/>
        </w:rPr>
        <w:t>(4)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Qatar Holding LLC</w:t>
      </w:r>
      <w:r>
        <w:rPr>
          <w:rFonts w:ascii="Times New Roman" w:cs="Times New Roman" w:eastAsia="Times New Roman" w:hAnsi="Times New Roman"/>
          <w:sz w:val="15"/>
          <w:szCs w:val="15"/>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97155</wp:posOffset>
            </wp:positionV>
            <wp:extent cx="97345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97345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7"/>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Shares Beneficially Owned</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7"/>
          </w:tcPr>
          <w:p>
            <w:pPr>
              <w:jc w:val="center"/>
              <w:ind w:right="202"/>
              <w:spacing w:after="0"/>
              <w:rPr>
                <w:sz w:val="20"/>
                <w:szCs w:val="20"/>
                <w:color w:val="auto"/>
              </w:rPr>
            </w:pPr>
            <w:r>
              <w:rPr>
                <w:rFonts w:ascii="Times New Roman" w:cs="Times New Roman" w:eastAsia="Times New Roman" w:hAnsi="Times New Roman"/>
                <w:sz w:val="11"/>
                <w:szCs w:val="11"/>
                <w:b w:val="1"/>
                <w:bCs w:val="1"/>
                <w:color w:val="auto"/>
                <w:w w:val="98"/>
              </w:rPr>
              <w:t>Shares Beneficially Owned</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Before Offering</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left="22"/>
              <w:spacing w:after="0"/>
              <w:rPr>
                <w:sz w:val="20"/>
                <w:szCs w:val="20"/>
                <w:color w:val="auto"/>
              </w:rPr>
            </w:pPr>
            <w:r>
              <w:rPr>
                <w:rFonts w:ascii="Times New Roman" w:cs="Times New Roman" w:eastAsia="Times New Roman" w:hAnsi="Times New Roman"/>
                <w:sz w:val="11"/>
                <w:szCs w:val="11"/>
                <w:b w:val="1"/>
                <w:bCs w:val="1"/>
                <w:color w:val="auto"/>
                <w:w w:val="99"/>
              </w:rPr>
              <w:t>After Offering</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vMerge w:val="restart"/>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vMerge w:val="restart"/>
          </w:tcPr>
          <w:p>
            <w:pPr>
              <w:jc w:val="right"/>
              <w:ind w:right="242"/>
              <w:spacing w:after="0"/>
              <w:rPr>
                <w:sz w:val="20"/>
                <w:szCs w:val="20"/>
                <w:color w:val="auto"/>
              </w:rPr>
            </w:pPr>
            <w:r>
              <w:rPr>
                <w:rFonts w:ascii="Times New Roman" w:cs="Times New Roman" w:eastAsia="Times New Roman" w:hAnsi="Times New Roman"/>
                <w:sz w:val="11"/>
                <w:szCs w:val="11"/>
                <w:b w:val="1"/>
                <w:bCs w:val="1"/>
                <w:color w:val="auto"/>
              </w:rPr>
              <w:t>Class B-1</w:t>
            </w: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vMerge w:val="restart"/>
          </w:tcPr>
          <w:p>
            <w:pPr>
              <w:jc w:val="center"/>
              <w:ind w:right="222"/>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vMerge w:val="restart"/>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9"/>
              </w:rPr>
              <w:t>Class B-1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3"/>
          </w:tcPr>
          <w:p>
            <w:pPr>
              <w:jc w:val="center"/>
              <w:ind w:right="2"/>
              <w:spacing w:after="0" w:line="141" w:lineRule="exact"/>
              <w:rPr>
                <w:sz w:val="20"/>
                <w:szCs w:val="20"/>
                <w:color w:val="auto"/>
              </w:rPr>
            </w:pPr>
            <w:r>
              <w:rPr>
                <w:rFonts w:ascii="Times New Roman" w:cs="Times New Roman" w:eastAsia="Times New Roman" w:hAnsi="Times New Roman"/>
                <w:sz w:val="11"/>
                <w:szCs w:val="11"/>
                <w:b w:val="1"/>
                <w:bCs w:val="1"/>
                <w:color w:val="auto"/>
                <w:w w:val="95"/>
              </w:rPr>
              <w:t>Common Stock</w:t>
            </w:r>
            <w:r>
              <w:rPr>
                <w:rFonts w:ascii="Times New Roman" w:cs="Times New Roman" w:eastAsia="Times New Roman" w:hAnsi="Times New Roman"/>
                <w:sz w:val="14"/>
                <w:szCs w:val="14"/>
                <w:b w:val="1"/>
                <w:bCs w:val="1"/>
                <w:color w:val="auto"/>
                <w:w w:val="95"/>
                <w:vertAlign w:val="superscript"/>
              </w:rPr>
              <w:t>(1)</w:t>
            </w: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3"/>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 w:type="dxa"/>
            <w:vAlign w:val="bottom"/>
          </w:tcPr>
          <w:p>
            <w:pPr>
              <w:spacing w:after="0"/>
              <w:rPr>
                <w:sz w:val="12"/>
                <w:szCs w:val="12"/>
                <w:color w:val="auto"/>
              </w:rPr>
            </w:pPr>
          </w:p>
        </w:tc>
        <w:tc>
          <w:tcPr>
            <w:tcW w:w="1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of Shares of</w:t>
            </w:r>
          </w:p>
        </w:tc>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b w:val="1"/>
                <w:bCs w:val="1"/>
                <w:color w:val="auto"/>
                <w:w w:val="94"/>
              </w:rPr>
              <w:t>% of Total</w:t>
            </w: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rPr>
              <w:t>% of</w:t>
            </w:r>
          </w:p>
        </w:tc>
        <w:tc>
          <w:tcPr>
            <w:tcW w:w="80" w:type="dxa"/>
            <w:vAlign w:val="bottom"/>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of 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5"/>
              </w:rPr>
              <w:t>Class B-1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Voting</w:t>
            </w: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Stock to be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5"/>
              </w:rPr>
              <w:t>Class B-1</w:t>
            </w:r>
          </w:p>
        </w:tc>
        <w:tc>
          <w:tcPr>
            <w:tcW w:w="80" w:type="dxa"/>
            <w:vAlign w:val="bottom"/>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Voting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87"/>
              </w:rPr>
              <w:t>Common</w:t>
            </w:r>
          </w:p>
        </w:tc>
        <w:tc>
          <w:tcPr>
            <w:tcW w:w="20" w:type="dxa"/>
            <w:vAlign w:val="bottom"/>
          </w:tcPr>
          <w:p>
            <w:pPr>
              <w:spacing w:after="0"/>
              <w:rPr>
                <w:sz w:val="10"/>
                <w:szCs w:val="10"/>
                <w:color w:val="auto"/>
              </w:rPr>
            </w:pPr>
          </w:p>
        </w:tc>
        <w:tc>
          <w:tcPr>
            <w:tcW w:w="7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Power Before</w:t>
            </w:r>
          </w:p>
        </w:tc>
        <w:tc>
          <w:tcPr>
            <w:tcW w:w="80" w:type="dxa"/>
            <w:vAlign w:val="bottom"/>
          </w:tcPr>
          <w:p>
            <w:pPr>
              <w:spacing w:after="0"/>
              <w:rPr>
                <w:sz w:val="10"/>
                <w:szCs w:val="10"/>
                <w:color w:val="auto"/>
              </w:rPr>
            </w:pP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Sold in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2"/>
              </w:rPr>
              <w:t>Common</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87"/>
              </w:rPr>
              <w:t>Common</w:t>
            </w:r>
          </w:p>
        </w:tc>
        <w:tc>
          <w:tcPr>
            <w:tcW w:w="6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Power 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tcPr>
          <w:p>
            <w:pPr>
              <w:ind w:left="40"/>
              <w:spacing w:after="0" w:line="190"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Offering</w:t>
            </w:r>
            <w:r>
              <w:rPr>
                <w:rFonts w:ascii="Times New Roman" w:cs="Times New Roman" w:eastAsia="Times New Roman" w:hAnsi="Times New Roman"/>
                <w:sz w:val="14"/>
                <w:szCs w:val="14"/>
                <w:b w:val="1"/>
                <w:bCs w:val="1"/>
                <w:color w:val="auto"/>
                <w:w w:val="93"/>
                <w:vertAlign w:val="superscript"/>
              </w:rPr>
              <w:t>(2)</w:t>
            </w:r>
          </w:p>
        </w:tc>
        <w:tc>
          <w:tcPr>
            <w:tcW w:w="62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Offering</w:t>
            </w:r>
          </w:p>
        </w:tc>
        <w:tc>
          <w:tcPr>
            <w:tcW w:w="40" w:type="dxa"/>
            <w:vAlign w:val="bottom"/>
          </w:tcPr>
          <w:p>
            <w:pPr>
              <w:spacing w:after="0"/>
              <w:rPr>
                <w:sz w:val="16"/>
                <w:szCs w:val="16"/>
                <w:color w:val="auto"/>
              </w:rPr>
            </w:pPr>
          </w:p>
        </w:tc>
        <w:tc>
          <w:tcPr>
            <w:tcW w:w="500" w:type="dxa"/>
            <w:vAlign w:val="bottom"/>
            <w:gridSpan w:val="4"/>
          </w:tcPr>
          <w:p>
            <w:pPr>
              <w:jc w:val="right"/>
              <w:ind w:right="20"/>
              <w:spacing w:after="0" w:line="190"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Stock</w:t>
            </w:r>
          </w:p>
        </w:tc>
        <w:tc>
          <w:tcPr>
            <w:tcW w:w="52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p>
        </w:tc>
        <w:tc>
          <w:tcPr>
            <w:tcW w:w="42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Offering</w:t>
            </w:r>
            <w:r>
              <w:rPr>
                <w:rFonts w:ascii="Times New Roman" w:cs="Times New Roman" w:eastAsia="Times New Roman" w:hAnsi="Times New Roman"/>
                <w:sz w:val="14"/>
                <w:szCs w:val="14"/>
                <w:b w:val="1"/>
                <w:bCs w:val="1"/>
                <w:color w:val="auto"/>
                <w:w w:val="93"/>
                <w:vertAlign w:val="superscript"/>
              </w:rPr>
              <w:t>(2)</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40" w:type="dxa"/>
            <w:vAlign w:val="bottom"/>
            <w:gridSpan w:val="2"/>
          </w:tcPr>
          <w:p>
            <w:pPr>
              <w:jc w:val="center"/>
              <w:ind w:left="30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51,499,195​​​</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100%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66.0%</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51,499,195 ​​​</w:t>
            </w:r>
          </w:p>
        </w:tc>
        <w:tc>
          <w:tcPr>
            <w:tcW w:w="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Times New Roman" w:cs="Times New Roman" w:eastAsia="Times New Roman" w:hAnsi="Times New Roman"/>
                <w:sz w:val="12"/>
                <w:szCs w:val="12"/>
                <w:color w:val="auto"/>
                <w:w w:val="99"/>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Times New Roman" w:cs="Times New Roman" w:eastAsia="Times New Roman" w:hAnsi="Times New Roman"/>
                <w:sz w:val="12"/>
                <w:szCs w:val="12"/>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Times New Roman" w:cs="Times New Roman" w:eastAsia="Times New Roman" w:hAnsi="Times New Roman"/>
                <w:sz w:val="12"/>
                <w:szCs w:val="12"/>
                <w:color w:val="auto"/>
                <w:w w:val="99"/>
              </w:rPr>
              <w:t>—</w:t>
            </w:r>
          </w:p>
        </w:tc>
        <w:tc>
          <w:tcPr>
            <w:tcW w:w="24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6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51,499,195​​​</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38.8% ​​​</w:t>
            </w:r>
            <w:r>
              <w:rPr>
                <w:rFonts w:ascii="Times New Roman" w:cs="Times New Roman" w:eastAsia="Times New Roman" w:hAnsi="Times New Roman"/>
                <w:sz w:val="12"/>
                <w:szCs w:val="12"/>
                <w:b w:val="1"/>
                <w:bCs w:val="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13.2%</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51,499,195 ​​​</w:t>
            </w:r>
          </w:p>
        </w:tc>
        <w:tc>
          <w:tcPr>
            <w:tcW w:w="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Times New Roman" w:cs="Times New Roman" w:eastAsia="Times New Roman" w:hAnsi="Times New Roman"/>
                <w:sz w:val="12"/>
                <w:szCs w:val="12"/>
                <w:color w:val="auto"/>
                <w:w w:val="99"/>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Times New Roman" w:cs="Times New Roman" w:eastAsia="Times New Roman" w:hAnsi="Times New Roman"/>
                <w:sz w:val="12"/>
                <w:szCs w:val="12"/>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Times New Roman" w:cs="Times New Roman" w:eastAsia="Times New Roman" w:hAnsi="Times New Roman"/>
                <w:sz w:val="12"/>
                <w:szCs w:val="12"/>
                <w:color w:val="auto"/>
                <w:w w:val="99"/>
              </w:rPr>
              <w:t>—</w:t>
            </w:r>
          </w:p>
        </w:tc>
        <w:tc>
          <w:tcPr>
            <w:tcW w:w="24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6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14,668,275​​​</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11.0% ​​​</w:t>
            </w:r>
            <w:r>
              <w:rPr>
                <w:rFonts w:ascii="Times New Roman" w:cs="Times New Roman" w:eastAsia="Times New Roman" w:hAnsi="Times New Roman"/>
                <w:sz w:val="12"/>
                <w:szCs w:val="12"/>
                <w:b w:val="1"/>
                <w:bCs w:val="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w w:val="95"/>
              </w:rPr>
              <w:t>3.8%</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14,668,275 ​​​</w:t>
            </w:r>
          </w:p>
        </w:tc>
        <w:tc>
          <w:tcPr>
            <w:tcW w:w="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Times New Roman" w:cs="Times New Roman" w:eastAsia="Times New Roman" w:hAnsi="Times New Roman"/>
                <w:sz w:val="12"/>
                <w:szCs w:val="12"/>
                <w:color w:val="auto"/>
                <w:w w:val="99"/>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Times New Roman" w:cs="Times New Roman" w:eastAsia="Times New Roman" w:hAnsi="Times New Roman"/>
                <w:sz w:val="12"/>
                <w:szCs w:val="12"/>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Times New Roman" w:cs="Times New Roman" w:eastAsia="Times New Roman" w:hAnsi="Times New Roman"/>
                <w:sz w:val="12"/>
                <w:szCs w:val="12"/>
                <w:color w:val="auto"/>
                <w:w w:val="99"/>
              </w:rPr>
              <w:t>—</w:t>
            </w:r>
          </w:p>
        </w:tc>
        <w:tc>
          <w:tcPr>
            <w:tcW w:w="24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-123825</wp:posOffset>
            </wp:positionV>
            <wp:extent cx="4875530" cy="1149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4875530" cy="11493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-353695</wp:posOffset>
            </wp:positionV>
            <wp:extent cx="4875530" cy="1149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4875530" cy="11493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2020" w:space="180"/>
            <w:col w:w="6819"/>
          </w:cols>
          <w:pgMar w:left="1440" w:top="108" w:right="1440" w:bottom="1440" w:gutter="0" w:footer="0" w:header="0"/>
          <w:type w:val="continuous"/>
        </w:sectPr>
      </w:pPr>
    </w:p>
    <w:p>
      <w:pPr>
        <w:spacing w:after="0" w:line="87" w:lineRule="exact"/>
        <w:rPr>
          <w:sz w:val="20"/>
          <w:szCs w:val="20"/>
          <w:color w:val="auto"/>
        </w:rPr>
      </w:pPr>
    </w:p>
    <w:p>
      <w:pPr>
        <w:ind w:left="1560" w:right="1419" w:hanging="293"/>
        <w:spacing w:after="0" w:line="262" w:lineRule="auto"/>
        <w:tabs>
          <w:tab w:leader="none" w:pos="15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LLC Interest is redeemable from time to time at each holder’s option for, at our election (determined solely by our independent directors (within the meaning of the rules of the Nasdaq) who are disinterested), newly-issued shares of our Class A common stock on a one-for-one basis or a cash payment equal to a volume weighted average market price of one share of Class A common stock for each LLC Interest so redeemed, in each case, in accordance with the terms of the Third Amended and</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67" w:name="page68"/>
    <w:bookmarkEnd w:id="67"/>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60" w:right="1299"/>
        <w:spacing w:after="0" w:line="259" w:lineRule="auto"/>
        <w:rPr>
          <w:sz w:val="20"/>
          <w:szCs w:val="20"/>
          <w:color w:val="auto"/>
        </w:rPr>
      </w:pPr>
      <w:r>
        <w:rPr>
          <w:rFonts w:ascii="Times New Roman" w:cs="Times New Roman" w:eastAsia="Times New Roman" w:hAnsi="Times New Roman"/>
          <w:sz w:val="14"/>
          <w:szCs w:val="14"/>
          <w:color w:val="auto"/>
        </w:rPr>
        <w:t>Restated Limited Liability Company Agreement of Fluence Energy, LLC (the “Fluence Energy LLC”) Agreement; provided that, at our election (determined solely by our independent directors (within the meaning of the rules of the Nasdaq) who are disinterested), we may effect a direct exchange by Fluence Energy, Inc. of such Class A common stock or such cash, as applicable, for such LLC Interests. AES Grid Stability, LLC may, subject to certain exceptions, exercise such redemption right for as long as its LLC Interests remain outstanding. When AES Grid Stability, LLC redeems an LLC Interest, a corresponding share of Class B-1 or Class B-2 common stock, as applicable, held by AES Grid Stability, LLC will be cancelled.</w:t>
      </w:r>
    </w:p>
    <w:p>
      <w:pPr>
        <w:spacing w:after="0" w:line="211" w:lineRule="exact"/>
        <w:rPr>
          <w:sz w:val="20"/>
          <w:szCs w:val="20"/>
          <w:color w:val="auto"/>
        </w:rPr>
      </w:pPr>
    </w:p>
    <w:p>
      <w:pPr>
        <w:ind w:left="1560" w:right="1319" w:hanging="293"/>
        <w:spacing w:after="0" w:line="261" w:lineRule="auto"/>
        <w:tabs>
          <w:tab w:leader="none" w:pos="1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of voting power of our Class A common stock and Class B-1 common stock voting as a single class. Each share of Class A common stock entitles the registered holder to one vote per share, and each share of Class B-1 common stock entitles the registered holder thereof to five votes per share on all matters presented to stockholders for a vote generally, including the election of directors. The Class A common stock and Class B-1 common stock will vote as a single class on all matters except as required by law or our amended and restated certificate of incorporation.</w:t>
      </w:r>
    </w:p>
    <w:p>
      <w:pPr>
        <w:spacing w:after="0" w:line="25" w:lineRule="exact"/>
        <w:rPr>
          <w:rFonts w:ascii="Times New Roman" w:cs="Times New Roman" w:eastAsia="Times New Roman" w:hAnsi="Times New Roman"/>
          <w:sz w:val="14"/>
          <w:szCs w:val="14"/>
          <w:color w:val="auto"/>
        </w:rPr>
      </w:pPr>
    </w:p>
    <w:p>
      <w:pPr>
        <w:ind w:left="1560" w:right="1439" w:hanging="293"/>
        <w:spacing w:after="0" w:line="261" w:lineRule="auto"/>
        <w:tabs>
          <w:tab w:leader="none" w:pos="1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equal number of shares of Class A common stock issuable on a one-for-one basis upon redemption of LLC Interests, of which AES Grid Stability, LLC is the record holder. The AES Corporation is the indirect parent of AES Grid Stability, LLC and may be deemed to share beneficial ownership of the shares held of record by AES Grid Stability, LLC. The business address of each of The AES Corporation and AES Grid Stability, LLC is 4300 Wilson Blvd, 11th Floor, Arlington, Virginia, 22203.</w:t>
      </w:r>
    </w:p>
    <w:p>
      <w:pPr>
        <w:spacing w:after="0" w:line="200" w:lineRule="exact"/>
        <w:rPr>
          <w:rFonts w:ascii="Times New Roman" w:cs="Times New Roman" w:eastAsia="Times New Roman" w:hAnsi="Times New Roman"/>
          <w:sz w:val="14"/>
          <w:szCs w:val="14"/>
          <w:color w:val="auto"/>
        </w:rPr>
      </w:pPr>
    </w:p>
    <w:p>
      <w:pPr>
        <w:ind w:left="1560" w:right="1319" w:hanging="293"/>
        <w:spacing w:after="0" w:line="258" w:lineRule="auto"/>
        <w:tabs>
          <w:tab w:leader="none" w:pos="1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19,738,064 shares of Class A common stock held of record by Siemens AG and 31,761,131 shares of Class A common stock held of record by SPT Holding. SPT Holding is a wholly owned subsidiary of Siemens e.V. and as such, Siemens e.V. may be deemed to share beneficial ownership of the shares of Class A common stock beneficially owned by SPT Holding. Siemens AG is an affiliate of Siemens e.V. and as such, may be deemed to share beneficial ownership of the shares of Class A common stock beneficially owned by Siemens e.V. The business address of SPT Holding is 21 Rue Edmond Reuter, Contern Luxembourg 5326. The business address of Siemens e.V. is Wittelsbacher Platz 2, 80333 Munich, Germany. The business address of Siemens AG is Werner-von-Siemens-Strasse 1, 80333 Munich, Germany.</w:t>
      </w:r>
    </w:p>
    <w:p>
      <w:pPr>
        <w:spacing w:after="0" w:line="212" w:lineRule="exact"/>
        <w:rPr>
          <w:rFonts w:ascii="Times New Roman" w:cs="Times New Roman" w:eastAsia="Times New Roman" w:hAnsi="Times New Roman"/>
          <w:sz w:val="14"/>
          <w:szCs w:val="14"/>
          <w:color w:val="auto"/>
        </w:rPr>
      </w:pPr>
    </w:p>
    <w:p>
      <w:pPr>
        <w:ind w:left="1560" w:right="1379" w:hanging="293"/>
        <w:spacing w:after="0" w:line="271" w:lineRule="auto"/>
        <w:tabs>
          <w:tab w:leader="none" w:pos="1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14,668,275 shares of Class A common stock held of record by Qatar Holding LLC. The business address of Qatar Holding LLC is Ooredoo Tower (Building 14), Al Dafna Street (Street 801), Al Dafna (Zone 61), Doha, State of Qatar.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8" w:name="page69"/>
    <w:bookmarkEnd w:id="68"/>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9" w:lineRule="exact"/>
        <w:rPr>
          <w:sz w:val="20"/>
          <w:szCs w:val="20"/>
          <w:color w:val="auto"/>
        </w:rPr>
      </w:pPr>
    </w:p>
    <w:p>
      <w:pPr>
        <w:ind w:left="1260" w:right="1359" w:firstLine="284"/>
        <w:spacing w:after="0" w:line="255" w:lineRule="auto"/>
        <w:rPr>
          <w:sz w:val="20"/>
          <w:szCs w:val="20"/>
          <w:color w:val="auto"/>
        </w:rPr>
      </w:pPr>
      <w:r>
        <w:rPr>
          <w:rFonts w:ascii="Times New Roman" w:cs="Times New Roman" w:eastAsia="Times New Roman" w:hAnsi="Times New Roman"/>
          <w:sz w:val="14"/>
          <w:szCs w:val="14"/>
          <w:color w:val="auto"/>
        </w:rPr>
        <w:t>We or any of the Selling Securityholders, and their pledgees, donees, transferees or other successors in interest, may from time to time offer and sell, separately or together, shares of Class A common stock covered by this prospectus. Registration of the shares of Class A common stock covered by this prospectus does not mean, however, that those shares of Class A common stock necessarily will be offered or sold.</w:t>
      </w:r>
    </w:p>
    <w:p>
      <w:pPr>
        <w:spacing w:after="0" w:line="83" w:lineRule="exact"/>
        <w:rPr>
          <w:sz w:val="20"/>
          <w:szCs w:val="20"/>
          <w:color w:val="auto"/>
        </w:rPr>
      </w:pPr>
    </w:p>
    <w:p>
      <w:pPr>
        <w:jc w:val="both"/>
        <w:ind w:left="1260" w:right="1619" w:firstLine="284"/>
        <w:spacing w:after="0" w:line="263" w:lineRule="auto"/>
        <w:rPr>
          <w:sz w:val="20"/>
          <w:szCs w:val="20"/>
          <w:color w:val="auto"/>
        </w:rPr>
      </w:pPr>
      <w:r>
        <w:rPr>
          <w:rFonts w:ascii="Times New Roman" w:cs="Times New Roman" w:eastAsia="Times New Roman" w:hAnsi="Times New Roman"/>
          <w:sz w:val="14"/>
          <w:szCs w:val="14"/>
          <w:color w:val="auto"/>
        </w:rPr>
        <w:t>The shares of Class A common stock covered by this prospectus may be sold from time to time, at market prices prevailing at the time of sale, at prices related to market prices, at a fixed price or prices subject to change or at negotiated prices, by a variety of methods including the following:</w:t>
      </w:r>
    </w:p>
    <w:p>
      <w:pPr>
        <w:spacing w:after="0" w:line="46" w:lineRule="exact"/>
        <w:rPr>
          <w:sz w:val="20"/>
          <w:szCs w:val="20"/>
          <w:color w:val="auto"/>
        </w:rPr>
      </w:pPr>
    </w:p>
    <w:p>
      <w:pPr>
        <w:ind w:left="1700" w:right="1439" w:hanging="149"/>
        <w:spacing w:after="0" w:line="289" w:lineRule="auto"/>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national securities exchange on which our shares of Class A common stock may be listed at the time of sale, including Nasdaq (including through “at the market” offerings);</w:t>
      </w:r>
    </w:p>
    <w:p>
      <w:pPr>
        <w:spacing w:after="0" w:line="16"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83"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w:t>
      </w:r>
    </w:p>
    <w:p>
      <w:pPr>
        <w:spacing w:after="0" w:line="83"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broker-dealers, who may act as agents or principals;</w:t>
      </w:r>
    </w:p>
    <w:p>
      <w:pPr>
        <w:spacing w:after="0" w:line="83"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underwriters on a firm commitment or best-efforts basis;</w:t>
      </w:r>
    </w:p>
    <w:p>
      <w:pPr>
        <w:spacing w:after="0" w:line="83" w:lineRule="exact"/>
        <w:rPr>
          <w:rFonts w:ascii="Times New Roman" w:cs="Times New Roman" w:eastAsia="Times New Roman" w:hAnsi="Times New Roman"/>
          <w:sz w:val="14"/>
          <w:szCs w:val="14"/>
          <w:color w:val="auto"/>
        </w:rPr>
      </w:pPr>
    </w:p>
    <w:p>
      <w:pPr>
        <w:ind w:left="1700" w:right="1479" w:hanging="149"/>
        <w:spacing w:after="0" w:line="271" w:lineRule="auto"/>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block trade in which a broker-dealer may attempt to sell a block of shares of Class A common stock as agent or may position and resell all or a portion of the block as principal to facilitate the transaction;</w:t>
      </w:r>
    </w:p>
    <w:p>
      <w:pPr>
        <w:spacing w:after="0" w:line="29"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put or call option transactions relating to the shares of Class A common stock;</w:t>
      </w:r>
    </w:p>
    <w:p>
      <w:pPr>
        <w:spacing w:after="0" w:line="83" w:lineRule="exact"/>
        <w:rPr>
          <w:rFonts w:ascii="Times New Roman" w:cs="Times New Roman" w:eastAsia="Times New Roman" w:hAnsi="Times New Roman"/>
          <w:sz w:val="14"/>
          <w:szCs w:val="14"/>
          <w:color w:val="auto"/>
        </w:rPr>
      </w:pPr>
    </w:p>
    <w:p>
      <w:pPr>
        <w:ind w:left="1700" w:right="1719" w:hanging="149"/>
        <w:spacing w:after="0" w:line="289" w:lineRule="auto"/>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 and/or the settlement of margin transactions;</w:t>
      </w:r>
    </w:p>
    <w:p>
      <w:pPr>
        <w:spacing w:after="0" w:line="27"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w:t>
      </w:r>
    </w:p>
    <w:p>
      <w:pPr>
        <w:spacing w:after="0" w:line="83"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w:t>
      </w:r>
    </w:p>
    <w:p>
      <w:pPr>
        <w:spacing w:after="0" w:line="83"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 or by any other legally available means.</w:t>
      </w:r>
    </w:p>
    <w:p>
      <w:pPr>
        <w:spacing w:after="0" w:line="116" w:lineRule="exact"/>
        <w:rPr>
          <w:sz w:val="20"/>
          <w:szCs w:val="20"/>
          <w:color w:val="auto"/>
        </w:rPr>
      </w:pPr>
    </w:p>
    <w:p>
      <w:pPr>
        <w:ind w:left="1260" w:right="1359" w:firstLine="284"/>
        <w:spacing w:after="0" w:line="289" w:lineRule="auto"/>
        <w:rPr>
          <w:sz w:val="20"/>
          <w:szCs w:val="20"/>
          <w:color w:val="auto"/>
        </w:rPr>
      </w:pPr>
      <w:r>
        <w:rPr>
          <w:rFonts w:ascii="Times New Roman" w:cs="Times New Roman" w:eastAsia="Times New Roman" w:hAnsi="Times New Roman"/>
          <w:sz w:val="14"/>
          <w:szCs w:val="14"/>
          <w:color w:val="auto"/>
        </w:rPr>
        <w:t>In effecting sales, brokers or dealers engaged by us and/or the Selling Securityholders may arrange for other brokers or dealers to participate. Broker/dealer transactions may include:</w:t>
      </w:r>
    </w:p>
    <w:p>
      <w:pPr>
        <w:spacing w:after="0" w:line="28" w:lineRule="exact"/>
        <w:rPr>
          <w:sz w:val="20"/>
          <w:szCs w:val="20"/>
          <w:color w:val="auto"/>
        </w:rPr>
      </w:pPr>
    </w:p>
    <w:p>
      <w:pPr>
        <w:ind w:left="1700" w:right="1459" w:hanging="149"/>
        <w:spacing w:after="0" w:line="289" w:lineRule="auto"/>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of the shares of Class A common stock by a broker-dealer as principal and resales of the shares of Class A common stock by the broker-dealer for its account pursuant to this prospectus;</w:t>
      </w:r>
    </w:p>
    <w:p>
      <w:pPr>
        <w:spacing w:after="0" w:line="27"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or</w:t>
      </w:r>
    </w:p>
    <w:p>
      <w:pPr>
        <w:spacing w:after="0" w:line="73" w:lineRule="exact"/>
        <w:rPr>
          <w:rFonts w:ascii="Times New Roman" w:cs="Times New Roman" w:eastAsia="Times New Roman" w:hAnsi="Times New Roman"/>
          <w:sz w:val="14"/>
          <w:szCs w:val="14"/>
          <w:color w:val="auto"/>
        </w:rPr>
      </w:pPr>
    </w:p>
    <w:p>
      <w:pPr>
        <w:ind w:left="1700" w:hanging="149"/>
        <w:spacing w:after="0"/>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 which the broker/dealer solicits purchasers on a best efforts basis.</w:t>
      </w:r>
    </w:p>
    <w:p>
      <w:pPr>
        <w:spacing w:after="0" w:line="127" w:lineRule="exact"/>
        <w:rPr>
          <w:sz w:val="20"/>
          <w:szCs w:val="20"/>
          <w:color w:val="auto"/>
        </w:rPr>
      </w:pPr>
    </w:p>
    <w:p>
      <w:pPr>
        <w:ind w:left="1260" w:right="1559" w:firstLine="284"/>
        <w:spacing w:after="0" w:line="247" w:lineRule="auto"/>
        <w:rPr>
          <w:sz w:val="20"/>
          <w:szCs w:val="20"/>
          <w:color w:val="auto"/>
        </w:rPr>
      </w:pPr>
      <w:r>
        <w:rPr>
          <w:rFonts w:ascii="Times New Roman" w:cs="Times New Roman" w:eastAsia="Times New Roman" w:hAnsi="Times New Roman"/>
          <w:sz w:val="14"/>
          <w:szCs w:val="14"/>
          <w:color w:val="auto"/>
        </w:rPr>
        <w:t>At any time a particular offer of the shares of Class A common stock covered by this prospectus is made, a revised prospectus or prospectus supplement, if required, will set forth the aggregate amount of shares of Class A common stock covered by this prospectus being offered and the terms of the offering, including the name or names of any underwriters, dealers, brokers or agents. In addition, to the extent required, any discounts, commissions, concessions and other items constituting underwriters’ or agents’ compensation, as well as any discounts, commissions or concessions allowed or reallowed or paid to dealers, will be set forth in such prospectus supplement. To the extent required, any such prospectus supplement, and, if necessary, a post-effective amendment to the registration statement of which this prospectus is a part, will be filed with the SEC to reflect the disclosure of additional information with respect to the distribution of the shares of Class A common stock covered by this prospectus.</w:t>
      </w:r>
    </w:p>
    <w:p>
      <w:pPr>
        <w:spacing w:after="0" w:line="90" w:lineRule="exact"/>
        <w:rPr>
          <w:sz w:val="20"/>
          <w:szCs w:val="20"/>
          <w:color w:val="auto"/>
        </w:rPr>
      </w:pPr>
    </w:p>
    <w:p>
      <w:pPr>
        <w:ind w:left="1260" w:right="1359" w:firstLine="284"/>
        <w:spacing w:after="0" w:line="255" w:lineRule="auto"/>
        <w:rPr>
          <w:sz w:val="20"/>
          <w:szCs w:val="20"/>
          <w:color w:val="auto"/>
        </w:rPr>
      </w:pPr>
      <w:r>
        <w:rPr>
          <w:rFonts w:ascii="Times New Roman" w:cs="Times New Roman" w:eastAsia="Times New Roman" w:hAnsi="Times New Roman"/>
          <w:sz w:val="14"/>
          <w:szCs w:val="14"/>
          <w:color w:val="auto"/>
        </w:rPr>
        <w:t>To the extent required, the applicable prospectus supplement will set forth whether or not underwriters may over-allot or effect transactions that stabilize, maintain or otherwise affect the market price of the Class A common stock at levels above those that might otherwise prevail in the open market, including, for example, by entering stabilizing bids, effecting syndicate covering transactions or imposing penalty bids.</w:t>
      </w:r>
    </w:p>
    <w:p>
      <w:pPr>
        <w:spacing w:after="0" w:line="83" w:lineRule="exact"/>
        <w:rPr>
          <w:sz w:val="20"/>
          <w:szCs w:val="20"/>
          <w:color w:val="auto"/>
        </w:rPr>
      </w:pPr>
    </w:p>
    <w:p>
      <w:pPr>
        <w:ind w:left="1260" w:right="1379" w:firstLine="284"/>
        <w:spacing w:after="0" w:line="263" w:lineRule="auto"/>
        <w:rPr>
          <w:sz w:val="20"/>
          <w:szCs w:val="20"/>
          <w:color w:val="auto"/>
        </w:rPr>
      </w:pPr>
      <w:r>
        <w:rPr>
          <w:rFonts w:ascii="Times New Roman" w:cs="Times New Roman" w:eastAsia="Times New Roman" w:hAnsi="Times New Roman"/>
          <w:sz w:val="14"/>
          <w:szCs w:val="14"/>
          <w:color w:val="auto"/>
        </w:rPr>
        <w:t>If the Selling Securityholders utilize a dealer in the sale of the securities being offered pursuant to this prospectus, the Selling Securityholders will sell the securities to the dealer, as principal. The dealer may then resell the securities to the public at varying prices to be determined by the dealer at the time of resale.</w:t>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9" w:name="page70"/>
    <w:bookmarkEnd w:id="6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99" w:firstLine="284"/>
        <w:spacing w:after="0" w:line="261" w:lineRule="auto"/>
        <w:rPr>
          <w:sz w:val="20"/>
          <w:szCs w:val="20"/>
          <w:color w:val="auto"/>
        </w:rPr>
      </w:pPr>
      <w:r>
        <w:rPr>
          <w:rFonts w:ascii="Times New Roman" w:cs="Times New Roman" w:eastAsia="Times New Roman" w:hAnsi="Times New Roman"/>
          <w:sz w:val="14"/>
          <w:szCs w:val="14"/>
          <w:color w:val="auto"/>
        </w:rPr>
        <w:t>The Selling Securityholders may also authorize agents or underwriters to solicit offers by certain types of institutional investors to purchase securities at the public offering price set forth in the revised prospectus or prospectus supplement pursuant to delayed delivery contracts providing for payment and delivery on a specified date in the future. The conditions to these contracts and the commission that the Selling Securityholders must pay for solicitation of these contracts will be described in a revised prospectus or prospectus supplement, to the extent such revised prospectus or prospectus supplement is required.</w:t>
      </w:r>
    </w:p>
    <w:p>
      <w:pPr>
        <w:spacing w:after="0" w:line="89" w:lineRule="exact"/>
        <w:rPr>
          <w:sz w:val="20"/>
          <w:szCs w:val="20"/>
          <w:color w:val="auto"/>
        </w:rPr>
      </w:pPr>
    </w:p>
    <w:p>
      <w:pPr>
        <w:ind w:left="1260" w:right="1319" w:firstLine="284"/>
        <w:spacing w:after="0" w:line="261" w:lineRule="auto"/>
        <w:rPr>
          <w:sz w:val="20"/>
          <w:szCs w:val="20"/>
          <w:color w:val="auto"/>
        </w:rPr>
      </w:pPr>
      <w:r>
        <w:rPr>
          <w:rFonts w:ascii="Times New Roman" w:cs="Times New Roman" w:eastAsia="Times New Roman" w:hAnsi="Times New Roman"/>
          <w:sz w:val="14"/>
          <w:szCs w:val="14"/>
          <w:color w:val="auto"/>
        </w:rPr>
        <w:t>In connection with the sale of the shares of Class A common stock covered by this prospectus through underwriters, underwriters may receive compensation in the form of underwriting discounts or commissions and may also receive commissions from purchasers of shares of Class A common stock for whom they may act as agent. Underwriters may sell to or through dealers, and such dealers may receive compensation in the form of discounts, concessions or commissions from the underwriters and/or commissions from the purchasers for whom they may act as agent.</w:t>
      </w:r>
    </w:p>
    <w:p>
      <w:pPr>
        <w:spacing w:after="0" w:line="89" w:lineRule="exact"/>
        <w:rPr>
          <w:sz w:val="20"/>
          <w:szCs w:val="20"/>
          <w:color w:val="auto"/>
        </w:rPr>
      </w:pPr>
    </w:p>
    <w:p>
      <w:pPr>
        <w:ind w:left="1260" w:right="1299" w:firstLine="284"/>
        <w:spacing w:after="0" w:line="265" w:lineRule="auto"/>
        <w:rPr>
          <w:sz w:val="20"/>
          <w:szCs w:val="20"/>
          <w:color w:val="auto"/>
        </w:rPr>
      </w:pPr>
      <w:r>
        <w:rPr>
          <w:rFonts w:ascii="Times New Roman" w:cs="Times New Roman" w:eastAsia="Times New Roman" w:hAnsi="Times New Roman"/>
          <w:sz w:val="14"/>
          <w:szCs w:val="14"/>
          <w:color w:val="auto"/>
        </w:rPr>
        <w:t>Any underwriters, broker/dealers or agents participating in the distribution of the shares of Class A common stock covered by this prospectus may be deemed to be “underwriters” within the meaning of the Securities Act, and any commissions received by any of those underwriters, broker/dealers or agents may be deemed to be underwriting commissions under the Securities Act.</w:t>
      </w:r>
    </w:p>
    <w:p>
      <w:pPr>
        <w:spacing w:after="0" w:line="77" w:lineRule="exact"/>
        <w:rPr>
          <w:sz w:val="20"/>
          <w:szCs w:val="20"/>
          <w:color w:val="auto"/>
        </w:rPr>
      </w:pPr>
    </w:p>
    <w:p>
      <w:pPr>
        <w:ind w:left="1260" w:right="1419" w:firstLine="284"/>
        <w:spacing w:after="0" w:line="271" w:lineRule="auto"/>
        <w:rPr>
          <w:sz w:val="20"/>
          <w:szCs w:val="20"/>
          <w:color w:val="auto"/>
        </w:rPr>
      </w:pPr>
      <w:r>
        <w:rPr>
          <w:rFonts w:ascii="Times New Roman" w:cs="Times New Roman" w:eastAsia="Times New Roman" w:hAnsi="Times New Roman"/>
          <w:sz w:val="14"/>
          <w:szCs w:val="14"/>
          <w:color w:val="auto"/>
        </w:rPr>
        <w:t>We and the Selling Securityholders may agree to indemnify underwriters, broker-dealers or agents against certain liabilities, including liabilities under the Securities Act, and may also agree to contribute to payments which the underwriters, broker/dealers or agents may be required to make.</w:t>
      </w:r>
    </w:p>
    <w:p>
      <w:pPr>
        <w:spacing w:after="0" w:line="83" w:lineRule="exact"/>
        <w:rPr>
          <w:sz w:val="20"/>
          <w:szCs w:val="20"/>
          <w:color w:val="auto"/>
        </w:rPr>
      </w:pPr>
    </w:p>
    <w:p>
      <w:pPr>
        <w:ind w:left="1260" w:right="1479" w:firstLine="284"/>
        <w:spacing w:after="0" w:line="271" w:lineRule="auto"/>
        <w:rPr>
          <w:sz w:val="20"/>
          <w:szCs w:val="20"/>
          <w:color w:val="auto"/>
        </w:rPr>
      </w:pPr>
      <w:r>
        <w:rPr>
          <w:rFonts w:ascii="Times New Roman" w:cs="Times New Roman" w:eastAsia="Times New Roman" w:hAnsi="Times New Roman"/>
          <w:sz w:val="14"/>
          <w:szCs w:val="14"/>
          <w:color w:val="auto"/>
        </w:rPr>
        <w:t>Certain of the underwriters, broker/dealers or agents who may become involved in the sale of the shares of Class A common stock may engage in transactions with and perform other services for us in the ordinary course of their business for which they receive customary compensation.</w:t>
      </w:r>
    </w:p>
    <w:p>
      <w:pPr>
        <w:spacing w:after="0" w:line="83" w:lineRule="exact"/>
        <w:rPr>
          <w:sz w:val="20"/>
          <w:szCs w:val="20"/>
          <w:color w:val="auto"/>
        </w:rPr>
      </w:pPr>
    </w:p>
    <w:p>
      <w:pPr>
        <w:ind w:left="1260" w:right="1439" w:firstLine="284"/>
        <w:spacing w:after="0" w:line="271" w:lineRule="auto"/>
        <w:rPr>
          <w:sz w:val="20"/>
          <w:szCs w:val="20"/>
          <w:color w:val="auto"/>
        </w:rPr>
      </w:pPr>
      <w:r>
        <w:rPr>
          <w:rFonts w:ascii="Times New Roman" w:cs="Times New Roman" w:eastAsia="Times New Roman" w:hAnsi="Times New Roman"/>
          <w:sz w:val="14"/>
          <w:szCs w:val="14"/>
          <w:color w:val="auto"/>
        </w:rPr>
        <w:t>Some of the shares of Class A common stock covered by this prospectus may be sold by Selling Securityholders in private transactions or under Rule 144 under the Securities Act or another available exemption from the registration requirements of the Securities Act rather than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0" w:name="page71"/>
    <w:bookmarkEnd w:id="70"/>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9" w:lineRule="exact"/>
        <w:rPr>
          <w:sz w:val="20"/>
          <w:szCs w:val="20"/>
          <w:color w:val="auto"/>
        </w:rPr>
      </w:pPr>
    </w:p>
    <w:p>
      <w:pPr>
        <w:ind w:left="1260" w:right="1339" w:firstLine="284"/>
        <w:spacing w:after="0" w:line="265" w:lineRule="auto"/>
        <w:rPr>
          <w:sz w:val="20"/>
          <w:szCs w:val="20"/>
          <w:color w:val="auto"/>
        </w:rPr>
      </w:pPr>
      <w:r>
        <w:rPr>
          <w:rFonts w:ascii="Times New Roman" w:cs="Times New Roman" w:eastAsia="Times New Roman" w:hAnsi="Times New Roman"/>
          <w:sz w:val="14"/>
          <w:szCs w:val="14"/>
          <w:color w:val="auto"/>
        </w:rPr>
        <w:t>Latham &amp; Watkins LLP will pass upon certain legal matters relating to the issuance and sale of the securities offered hereby on behalf of Fluence Energy, Inc. Additional legal matters may be passed upon for us, the Selling Securityholders or any underwriters, dealers or agents, by counsel that we will name in the applicable prospectus supplement.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9" w:lineRule="exact"/>
        <w:rPr>
          <w:sz w:val="20"/>
          <w:szCs w:val="20"/>
          <w:color w:val="auto"/>
        </w:rPr>
      </w:pPr>
    </w:p>
    <w:p>
      <w:pPr>
        <w:ind w:left="1260" w:right="1319" w:firstLine="284"/>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Fluence Energy, Inc. incorporated by reference in Fluence Energy Inc.’s </w:t>
      </w:r>
      <w:hyperlink r:id="rId119">
        <w:r>
          <w:rPr>
            <w:rFonts w:ascii="Times New Roman" w:cs="Times New Roman" w:eastAsia="Times New Roman" w:hAnsi="Times New Roman"/>
            <w:sz w:val="14"/>
            <w:szCs w:val="14"/>
            <w:u w:val="single" w:color="auto"/>
            <w:color w:val="0000EE"/>
          </w:rPr>
          <w:t>Annual Report (Form 10-K) for the year ended September 30, 2025</w:t>
        </w:r>
      </w:hyperlink>
      <w:r>
        <w:rPr>
          <w:rFonts w:ascii="Times New Roman" w:cs="Times New Roman" w:eastAsia="Times New Roman" w:hAnsi="Times New Roman"/>
          <w:sz w:val="14"/>
          <w:szCs w:val="14"/>
          <w:color w:val="auto"/>
        </w:rPr>
        <w:t>, and the effectiveness of Fluence Energy, Inc.’s internal control over financial reporting as of September 30, 2025 have been audited by Ernst &amp; Young LLP, independent registered public accounting firm, as set forth in their reports thereon incorporated by reference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198755</wp:posOffset>
            </wp:positionV>
            <wp:extent cx="53879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1" w:name="page72"/>
    <w:bookmarkEnd w:id="71"/>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1905</wp:posOffset>
            </wp:positionV>
            <wp:extent cx="4111625"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4111625" cy="13335"/>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42545</wp:posOffset>
            </wp:positionV>
            <wp:extent cx="41116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41116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246380</wp:posOffset>
            </wp:positionV>
            <wp:extent cx="1947545" cy="4870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1947545" cy="48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436245</wp:posOffset>
            </wp:positionV>
            <wp:extent cx="97345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9734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135255</wp:posOffset>
            </wp:positionV>
            <wp:extent cx="97345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9734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Barclays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J.P. Morgan</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Joint bookrunners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Citigroup</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Mizuho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Morgan Stanley</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RBC Capital Markets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448310</wp:posOffset>
            </wp:positionV>
            <wp:extent cx="41116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41116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1905</wp:posOffset>
            </wp:positionV>
            <wp:extent cx="4111625"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4111625" cy="1333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483235</wp:posOffset>
            </wp:positionV>
            <wp:extent cx="53879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538797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2" w:name="page73"/>
    <w:bookmarkEnd w:id="72"/>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9"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Fluence Energy, Inc.</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5"/>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13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8"/>
                <w:szCs w:val="8"/>
                <w:color w:val="auto"/>
              </w:rPr>
            </w:pPr>
          </w:p>
        </w:tc>
        <w:tc>
          <w:tcPr>
            <w:tcW w:w="98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20"/>
              <w:spacing w:after="0" w:line="170" w:lineRule="exact"/>
              <w:rPr>
                <w:sz w:val="20"/>
                <w:szCs w:val="20"/>
                <w:color w:val="auto"/>
              </w:rPr>
            </w:pPr>
            <w:r>
              <w:rPr>
                <w:rFonts w:ascii="Arial" w:cs="Arial" w:eastAsia="Arial" w:hAnsi="Arial"/>
                <w:sz w:val="17"/>
                <w:szCs w:val="17"/>
                <w:b w:val="1"/>
                <w:bCs w:val="1"/>
                <w:color w:val="auto"/>
                <w:w w:val="98"/>
              </w:rPr>
              <w:t>Security</w:t>
            </w:r>
          </w:p>
        </w:tc>
        <w:tc>
          <w:tcPr>
            <w:tcW w:w="4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ind w:right="35"/>
              <w:spacing w:after="0" w:line="170"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2"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16"/>
                <w:szCs w:val="16"/>
                <w:color w:val="auto"/>
              </w:rPr>
            </w:pPr>
          </w:p>
        </w:tc>
        <w:tc>
          <w:tcPr>
            <w:tcW w:w="720" w:type="dxa"/>
            <w:vAlign w:val="bottom"/>
            <w:shd w:val="clear" w:color="auto" w:fill="9ADAF6"/>
          </w:tcPr>
          <w:p>
            <w:pPr>
              <w:ind w:left="140"/>
              <w:spacing w:after="0" w:line="192"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92"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3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4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Rate</w:t>
            </w:r>
          </w:p>
        </w:tc>
        <w:tc>
          <w:tcPr>
            <w:tcW w:w="20" w:type="dxa"/>
            <w:vAlign w:val="bottom"/>
          </w:tcPr>
          <w:p>
            <w:pPr>
              <w:spacing w:after="0"/>
              <w:rPr>
                <w:sz w:val="16"/>
                <w:szCs w:val="16"/>
                <w:color w:val="auto"/>
              </w:rPr>
            </w:pPr>
          </w:p>
        </w:tc>
        <w:tc>
          <w:tcPr>
            <w:tcW w:w="1020" w:type="dxa"/>
            <w:vAlign w:val="bottom"/>
            <w:shd w:val="clear" w:color="auto" w:fill="9ADAF6"/>
          </w:tcPr>
          <w:p>
            <w:pPr>
              <w:jc w:val="right"/>
              <w:spacing w:after="0" w:line="192"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ind w:left="180"/>
              <w:spacing w:after="0" w:line="192"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3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Offering Price</w:t>
            </w: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ind w:right="275"/>
              <w:spacing w:after="0" w:line="192"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5"/>
          </w:tcPr>
          <w:p>
            <w:pPr>
              <w:jc w:val="center"/>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4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8"/>
              </w:rPr>
              <w:t>$0.00001</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415(a)(6)</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23,000,000</w:t>
            </w: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$ 483,000,000.00</w:t>
            </w: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08/11/2023</w:t>
            </w: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E7E7E2"/>
          </w:tcPr>
          <w:p>
            <w:pPr>
              <w:jc w:val="right"/>
              <w:spacing w:after="0"/>
              <w:rPr>
                <w:sz w:val="20"/>
                <w:szCs w:val="20"/>
                <w:color w:val="auto"/>
              </w:rPr>
            </w:pPr>
            <w:r>
              <w:rPr>
                <w:rFonts w:ascii="Arial" w:cs="Arial" w:eastAsia="Arial" w:hAnsi="Arial"/>
                <w:sz w:val="17"/>
                <w:szCs w:val="17"/>
                <w:color w:val="auto"/>
              </w:rPr>
              <w:t>$ 68,231.43</w:t>
            </w: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jc w:val="center"/>
              <w:spacing w:after="0" w:line="112" w:lineRule="exact"/>
              <w:rPr>
                <w:sz w:val="20"/>
                <w:szCs w:val="20"/>
                <w:color w:val="auto"/>
              </w:rPr>
            </w:pPr>
            <w:r>
              <w:rPr>
                <w:rFonts w:ascii="Arial" w:cs="Arial" w:eastAsia="Arial" w:hAnsi="Arial"/>
                <w:sz w:val="12"/>
                <w:szCs w:val="12"/>
                <w:color w:val="auto"/>
              </w:rPr>
              <w:t>273939</w:t>
            </w: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Borders>
              <w:right w:val="single" w:sz="8" w:color="auto"/>
            </w:tcBorders>
            <w:vMerge w:val="continue"/>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4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8"/>
              </w:rPr>
              <w:t>$0.00001</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415(a)(6)</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94,666,665</w:t>
            </w: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08/11/2023</w:t>
            </w:r>
          </w:p>
        </w:tc>
        <w:tc>
          <w:tcPr>
            <w:tcW w:w="20" w:type="dxa"/>
            <w:vAlign w:val="bottom"/>
          </w:tcPr>
          <w:p>
            <w:pPr>
              <w:spacing w:after="0"/>
              <w:rPr>
                <w:sz w:val="8"/>
                <w:szCs w:val="8"/>
                <w:color w:val="auto"/>
              </w:rPr>
            </w:pPr>
          </w:p>
        </w:tc>
        <w:tc>
          <w:tcPr>
            <w:tcW w:w="980" w:type="dxa"/>
            <w:vAlign w:val="bottom"/>
            <w:tcBorders>
              <w:right w:val="single" w:sz="8" w:color="auto"/>
            </w:tcBorders>
            <w:vMerge w:val="continue"/>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2,548,426,621.80</w:t>
            </w:r>
          </w:p>
        </w:tc>
        <w:tc>
          <w:tcPr>
            <w:tcW w:w="20" w:type="dxa"/>
            <w:vAlign w:val="bottom"/>
          </w:tcPr>
          <w:p>
            <w:pPr>
              <w:spacing w:after="0"/>
              <w:rPr>
                <w:sz w:val="14"/>
                <w:szCs w:val="14"/>
                <w:color w:val="auto"/>
              </w:rPr>
            </w:pPr>
          </w:p>
        </w:tc>
        <w:tc>
          <w:tcPr>
            <w:tcW w:w="4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jc w:val="center"/>
              <w:spacing w:after="0" w:line="170" w:lineRule="exact"/>
              <w:rPr>
                <w:sz w:val="20"/>
                <w:szCs w:val="20"/>
                <w:color w:val="auto"/>
              </w:rPr>
            </w:pPr>
            <w:r>
              <w:rPr>
                <w:rFonts w:ascii="Arial" w:cs="Arial" w:eastAsia="Arial" w:hAnsi="Arial"/>
                <w:sz w:val="17"/>
                <w:szCs w:val="17"/>
                <w:color w:val="auto"/>
                <w:w w:val="98"/>
              </w:rPr>
              <w:t>273939</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jc w:val="right"/>
              <w:spacing w:after="0" w:line="170" w:lineRule="exact"/>
              <w:rPr>
                <w:sz w:val="20"/>
                <w:szCs w:val="20"/>
                <w:color w:val="auto"/>
              </w:rPr>
            </w:pPr>
            <w:r>
              <w:rPr>
                <w:rFonts w:ascii="Arial" w:cs="Arial" w:eastAsia="Arial" w:hAnsi="Arial"/>
                <w:sz w:val="17"/>
                <w:szCs w:val="17"/>
                <w:color w:val="auto"/>
              </w:rPr>
              <w:t>280,836.61</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line="118" w:lineRule="exact"/>
              <w:rPr>
                <w:sz w:val="20"/>
                <w:szCs w:val="20"/>
                <w:color w:val="auto"/>
              </w:rPr>
            </w:pPr>
            <w:r>
              <w:rPr>
                <w:rFonts w:ascii="Arial" w:cs="Arial" w:eastAsia="Arial" w:hAnsi="Arial"/>
                <w:sz w:val="13"/>
                <w:szCs w:val="13"/>
                <w:color w:val="auto"/>
              </w:rPr>
              <w:t>Securities</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shd w:val="clear" w:color="auto" w:fill="E7E7E2"/>
          </w:tcPr>
          <w:p>
            <w:pPr>
              <w:spacing w:after="0" w:line="118" w:lineRule="exact"/>
              <w:rPr>
                <w:sz w:val="20"/>
                <w:szCs w:val="20"/>
                <w:color w:val="auto"/>
              </w:rPr>
            </w:pPr>
            <w:r>
              <w:rPr>
                <w:rFonts w:ascii="Arial" w:cs="Arial" w:eastAsia="Arial" w:hAnsi="Arial"/>
                <w:sz w:val="13"/>
                <w:szCs w:val="13"/>
                <w:color w:val="auto"/>
              </w:rPr>
              <w:t>par value</w:t>
            </w: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3,031,426,621.80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Includes 3,000,000 additional shares of Class A common stock that the underwriters have an option to purchase.</w:t>
      </w:r>
    </w:p>
    <w:p>
      <w:pPr>
        <w:spacing w:after="0" w:line="188" w:lineRule="exact"/>
        <w:rPr>
          <w:sz w:val="20"/>
          <w:szCs w:val="20"/>
          <w:color w:val="auto"/>
        </w:rPr>
      </w:pPr>
    </w:p>
    <w:p>
      <w:pPr>
        <w:ind w:left="220" w:right="280"/>
        <w:spacing w:after="0" w:line="247" w:lineRule="auto"/>
        <w:rPr>
          <w:sz w:val="20"/>
          <w:szCs w:val="20"/>
          <w:color w:val="auto"/>
        </w:rPr>
      </w:pPr>
      <w:r>
        <w:rPr>
          <w:rFonts w:ascii="Arial" w:cs="Arial" w:eastAsia="Arial" w:hAnsi="Arial"/>
          <w:sz w:val="17"/>
          <w:szCs w:val="17"/>
          <w:color w:val="auto"/>
        </w:rPr>
        <w:t>Previously paid in connection with the filing of the Registrant's previous Registration Statement on Form S-3ASR, File No. 333-273939, filed with the Securities and Exchange Commission ("SEC") on August 11, 2023, and transferred pursuant to Rule 415(a)(6) under the Securities Act of 1933, as amended (the "Securities Act"), to the Registrant's current Registration Statement on Form S-3ASR, File No. 333-295786, filed with the SEC on May 12, 2026 (the "Current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57785</wp:posOffset>
            </wp:positionV>
            <wp:extent cx="714629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5" w:lineRule="exact"/>
        <w:rPr>
          <w:sz w:val="20"/>
          <w:szCs w:val="20"/>
          <w:color w:val="auto"/>
        </w:rPr>
      </w:pPr>
    </w:p>
    <w:p>
      <w:pPr>
        <w:ind w:left="220" w:right="140"/>
        <w:spacing w:after="0" w:line="242" w:lineRule="auto"/>
        <w:rPr>
          <w:sz w:val="20"/>
          <w:szCs w:val="20"/>
          <w:color w:val="auto"/>
        </w:rPr>
      </w:pPr>
      <w:r>
        <w:rPr>
          <w:rFonts w:ascii="Arial" w:cs="Arial" w:eastAsia="Arial" w:hAnsi="Arial"/>
          <w:sz w:val="17"/>
          <w:szCs w:val="17"/>
          <w:color w:val="auto"/>
        </w:rPr>
        <w:t>Consists of the remaining 94,666,665 shares of unsold Class A common stock to be sold by the Selling, Securityholders, including 42,745,791 shares of Class A common stock issuable upon redemption of outstanding LLC Interests, after deducting the shares of Class A common stock to which the prospectus supplement relates. Pursuant to Rule 415(a)(6), the Registrant includes on the Current Registration Statement such unsold shares of Class A common stock for which a filing fee in the amount of $280,836.61 (based on the filing fee rates in effect at the time such shares were initially registered) was previously paid in connection with the filing of the Prior Registration Statement. The Prior Registration Statement was deemed terminated as of the filing date of the Current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60960</wp:posOffset>
            </wp:positionV>
            <wp:extent cx="714629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32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with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0"/>
                <w:szCs w:val="10"/>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Filing</w:t>
            </w:r>
          </w:p>
        </w:tc>
        <w:tc>
          <w:tcPr>
            <w:tcW w:w="4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0"/>
                <w:szCs w:val="10"/>
                <w:color w:val="auto"/>
              </w:rPr>
            </w:pPr>
          </w:p>
        </w:tc>
        <w:tc>
          <w:tcPr>
            <w:tcW w:w="68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0"/>
                <w:szCs w:val="10"/>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0"/>
                <w:szCs w:val="10"/>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Source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-1009650</wp:posOffset>
            </wp:positionV>
            <wp:extent cx="12700" cy="20656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12700" cy="2065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-1009650</wp:posOffset>
            </wp:positionV>
            <wp:extent cx="12700" cy="2065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12700" cy="206565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-116840</wp:posOffset>
            </wp:positionV>
            <wp:extent cx="7106920"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06920" cy="2571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-116840</wp:posOffset>
            </wp:positionV>
            <wp:extent cx="7106920" cy="257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06920" cy="2571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-116840</wp:posOffset>
            </wp:positionV>
            <wp:extent cx="7106920" cy="2032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06920" cy="203200"/>
                    </a:xfrm>
                    <a:prstGeom prst="rect">
                      <a:avLst/>
                    </a:prstGeom>
                    <a:noFill/>
                  </pic:spPr>
                </pic:pic>
              </a:graphicData>
            </a:graphic>
          </wp:anchor>
        </w:drawing>
      </w:r>
    </w:p>
    <w:p>
      <w:pPr>
        <w:sectPr>
          <w:pgSz w:w="11900" w:h="16838" w:orient="portrait"/>
          <w:cols w:equalWidth="0" w:num="1">
            <w:col w:w="11360"/>
          </w:cols>
          <w:pgMar w:left="300" w:top="142" w:right="239" w:bottom="0" w:gutter="0" w:footer="0" w:header="0"/>
        </w:sectPr>
      </w:pPr>
    </w:p>
    <w:bookmarkStart w:id="73" w:name="page74"/>
    <w:bookmarkEnd w:id="73"/>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167245" cy="422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167245" cy="42227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68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60"/>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20"/>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20"/>
              <w:spacing w:after="0" w:line="192"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20"/>
              <w:spacing w:after="0" w:line="192"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ind w:left="60"/>
              <w:spacing w:after="0" w:line="192"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40"/>
              <w:spacing w:after="0" w:line="192"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4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maximum aggregate offering price of the securities to which the prospectus relates is $483,000,000.00. The prospectus is a final prospectus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related offering.</w:t>
      </w:r>
    </w:p>
    <w:p>
      <w:pPr>
        <w:spacing w:after="0" w:line="236" w:lineRule="exact"/>
        <w:rPr>
          <w:sz w:val="20"/>
          <w:szCs w:val="20"/>
          <w:color w:val="auto"/>
        </w:rPr>
      </w:pPr>
    </w:p>
    <w:p>
      <w:pPr>
        <w:jc w:val="center"/>
        <w:spacing w:after="0" w:line="270" w:lineRule="auto"/>
        <w:rPr>
          <w:sz w:val="20"/>
          <w:szCs w:val="20"/>
          <w:color w:val="auto"/>
        </w:rPr>
      </w:pPr>
      <w:r>
        <w:rPr>
          <w:rFonts w:ascii="Arial" w:cs="Arial" w:eastAsia="Arial" w:hAnsi="Arial"/>
          <w:sz w:val="17"/>
          <w:szCs w:val="17"/>
          <w:color w:val="auto"/>
        </w:rPr>
        <w:t>This "Calculation of Filing Fee Tables" table shall be deemed to update the "Calculation of Registration Fee Tables" in the Current Registration Statement in accordance with Rule 456(b) and 457(r) under the Securities Act.</w:t>
      </w: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833"/>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4"/>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6"/>
    </w:lvl>
  </w:abstractNum>
  <w:abstractNum w:abstractNumId="12">
    <w:nsid w:val="2CA88611"/>
    <w:multiLevelType w:val="hybridMultilevel"/>
    <w:lvl w:ilvl="0">
      <w:lvlJc w:val="left"/>
      <w:lvlText w:val="(%1)"/>
      <w:numFmt w:val="decimal"/>
      <w:start w:val="12"/>
    </w:lvl>
  </w:abstractNum>
  <w:abstractNum w:abstractNumId="13">
    <w:nsid w:val="836C40E"/>
    <w:multiLevelType w:val="hybridMultilevel"/>
    <w:lvl w:ilvl="0">
      <w:lvlJc w:val="left"/>
      <w:lvlText w:val="(%1)"/>
      <w:numFmt w:val="lowerLetter"/>
      <w:start w:val="2"/>
    </w:lvl>
  </w:abstractNum>
  <w:abstractNum w:abstractNumId="14">
    <w:nsid w:val="2901D82"/>
    <w:multiLevelType w:val="hybridMultilevel"/>
    <w:lvl w:ilvl="0">
      <w:lvlJc w:val="left"/>
      <w:lvlText w:val="(%1)"/>
      <w:numFmt w:val="upperLetter"/>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Roman"/>
      <w:start w:val="1"/>
    </w:lvl>
  </w:abstractNum>
  <w:abstractNum w:abstractNumId="19">
    <w:nsid w:val="737B8DDC"/>
    <w:multiLevelType w:val="hybridMultilevel"/>
    <w:lvl w:ilvl="0">
      <w:lvlJc w:val="left"/>
      <w:lvlText w:val="(%1)"/>
      <w:numFmt w:val="lowerRoman"/>
      <w:start w:val="3"/>
    </w:lvl>
  </w:abstractNum>
  <w:abstractNum w:abstractNumId="20">
    <w:nsid w:val="6CEAF087"/>
    <w:multiLevelType w:val="hybridMultilevel"/>
    <w:lvl w:ilvl="0">
      <w:lvlJc w:val="left"/>
      <w:lvlText w:val="(%1)"/>
      <w:numFmt w:val="decimal"/>
      <w:start w:val="3"/>
    </w:lvl>
  </w:abstractNum>
  <w:abstractNum w:abstractNumId="21">
    <w:nsid w:val="22221A70"/>
    <w:multiLevelType w:val="hybridMultilevel"/>
    <w:lvl w:ilvl="0">
      <w:lvlJc w:val="left"/>
      <w:lvlText w:val="(%1)"/>
      <w:numFmt w:val="decimal"/>
      <w:start w:val="5"/>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3"/>
    </w:lvl>
  </w:abstractNum>
  <w:abstractNum w:abstractNumId="24">
    <w:nsid w:val="614FD4A1"/>
    <w:multiLevelType w:val="hybridMultilevel"/>
    <w:lvl w:ilvl="0">
      <w:lvlJc w:val="left"/>
      <w:lvlText w:val="(%1)"/>
      <w:numFmt w:val="decimal"/>
      <w:start w:val="5"/>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2"/>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jpe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jpe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24" Type="http://schemas.openxmlformats.org/officeDocument/2006/relationships/hyperlink" Target="https://www.sec.gov/ix?doc=/Archives/edgar/data/1868941/000186894125000081/flnc-20250930.htm" TargetMode="External"/><Relationship Id="rId25" Type="http://schemas.openxmlformats.org/officeDocument/2006/relationships/hyperlink" Target="https://www.sec.gov/ix?doc=/Archives/edgar/data/1868941/000114036126002380/ny20057461x1_def14a.htm" TargetMode="External"/><Relationship Id="rId26" Type="http://schemas.openxmlformats.org/officeDocument/2006/relationships/hyperlink" Target="https://www.sec.gov/ix?doc=/Archives/edgar/data/1868941/000186894126000005/flnc-20251231.htm" TargetMode="External"/><Relationship Id="rId27" Type="http://schemas.openxmlformats.org/officeDocument/2006/relationships/hyperlink" Target="https://www.sec.gov/ix?doc=/Archives/edgar/data/1868941/000110465926056304/flnc-20260331x10q.htm" TargetMode="External"/><Relationship Id="rId28" Type="http://schemas.openxmlformats.org/officeDocument/2006/relationships/hyperlink" Target="https://www.sec.gov/ix?doc=/Archives/edgar/data/1868941/000110465925096646/tm2527820d1_8k.htm" TargetMode="External"/><Relationship Id="rId29" Type="http://schemas.openxmlformats.org/officeDocument/2006/relationships/hyperlink" Target="https://www.sec.gov/ix?doc=/Archives/edgar/data/1868941/000186894126000008/flnc-20260312.htm" TargetMode="External"/><Relationship Id="rId30" Type="http://schemas.openxmlformats.org/officeDocument/2006/relationships/hyperlink" Target="https://www.sec.gov/ix?doc=/Archives/edgar/data/1868941/000110465926039628/tm2610909d1_8k.htm" TargetMode="External"/><Relationship Id="rId31" Type="http://schemas.openxmlformats.org/officeDocument/2006/relationships/hyperlink" Target="https://www.sec.gov/ix?doc=/Archives/edgar/data/1868941/000186894126000012/flnc-20260331.htm" TargetMode="External"/><Relationship Id="rId32" Type="http://schemas.openxmlformats.org/officeDocument/2006/relationships/hyperlink" Target="https://www.sec.gov/Archives/edgar/data/1868941/000110465921130643/tm2131095d1_8a12b.htm" TargetMode="External"/><Relationship Id="rId119" Type="http://schemas.openxmlformats.org/officeDocument/2006/relationships/hyperlink" Target="http://www.sec.gov/ix?doc=/Archives/edgar/data/1868941/000186894125000081/flnc-2025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2026-05-13T16:05:22Z</dcterms:created>
  <dcterms:modified xsi:type="dcterms:W3CDTF">2026-05-13T16:05:22Z</dcterms:modified>
</cp:coreProperties>
</file>