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30,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FLUENCE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5"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001-40978</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87-1304612</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(I.R.S. Employer Identification</w:t>
      </w:r>
    </w:p>
    <w:p>
      <w:pPr>
        <w:spacing w:after="0" w:line="2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No.)</w:t>
      </w:r>
    </w:p>
    <w:p>
      <w:pPr>
        <w:spacing w:after="0" w:line="200" w:lineRule="exact"/>
        <w:rPr>
          <w:sz w:val="24"/>
          <w:szCs w:val="24"/>
          <w:color w:val="auto"/>
        </w:rPr>
      </w:pPr>
    </w:p>
    <w:p>
      <w:pPr>
        <w:sectPr>
          <w:pgSz w:w="11900" w:h="16838" w:orient="portrait"/>
          <w:cols w:equalWidth="0" w:num="3">
            <w:col w:w="3920" w:space="720"/>
            <w:col w:w="2880" w:space="720"/>
            <w:col w:w="3000"/>
          </w:cols>
          <w:pgMar w:left="320" w:top="745" w:right="339" w:bottom="1440" w:gutter="0" w:footer="0" w:header="0"/>
          <w:type w:val="continuous"/>
        </w:sectPr>
      </w:pP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2107 Wilson Boulevard, Suite 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Arlington, Virginia 22201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(833) 358-3623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745" w:right="339" w:bottom="1440" w:gutter="0" w:footer="0" w:header="0"/>
          <w:type w:val="continuous"/>
        </w:sectPr>
      </w:pP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140" w:hanging="565"/>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1140" w:hanging="565"/>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1140" w:hanging="565"/>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1140" w:hanging="565"/>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64"/>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Class A Common Stock, $0.00001 par value per share</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FLNC</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25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and Chief Financial Officer Transitions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30, 2026, Julian Nebreda departed from his position as President and Chief Executive Officer of Fluence Energy, Inc. (the “Company”), effective immediately. Mr. Nebreda also resigned from the Company’s Board of Directors (“the Board”), effective immediately, which resignation did not result from any disagreement with the Company on any matter relating to the Company’s operations, policies or practices.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Axel Meier, who has served on the Board since January 2020, was appointed by the Board as interim Chief Executive Officer on October 30, 2026, which appointment was effective on November 2, 2026. Mr. Meier previously served as a director designee of Siemens Industry, Inc. (“</w:t>
      </w:r>
      <w:r>
        <w:rPr>
          <w:rFonts w:ascii="Times New Roman" w:cs="Times New Roman" w:eastAsia="Times New Roman" w:hAnsi="Times New Roman"/>
          <w:sz w:val="18"/>
          <w:szCs w:val="18"/>
          <w:b w:val="1"/>
          <w:bCs w:val="1"/>
          <w:i w:val="1"/>
          <w:iCs w:val="1"/>
          <w:color w:val="auto"/>
        </w:rPr>
        <w:t>Siemens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Industry</w:t>
      </w:r>
      <w:r>
        <w:rPr>
          <w:rFonts w:ascii="Times New Roman" w:cs="Times New Roman" w:eastAsia="Times New Roman" w:hAnsi="Times New Roman"/>
          <w:sz w:val="18"/>
          <w:szCs w:val="18"/>
          <w:color w:val="auto"/>
        </w:rPr>
        <w:t>”) and its Permitted Transferees (as defined in the Company’s Stockholders Agreement, dated as of October 27, 2021, by and among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Fluence Energy, LLC, Siemens Industry, AES Grid Stability, LLC, and Qatar Holding LLC (as amended and modified from time to time, the "</w:t>
      </w: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pursuant to Siemens Industry’s rights under the Stockholders Agreement. On November 1, 2026, Mr. Meier resigned as a director designee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Siemens Industry and its Permitted Transferees, and each committee of the Board on which he served, including the Compensation and Human Resources Committee and the Finance and Investment Committee. On October 30, 2026, Mr. Meier was re-appointed to serve as a director of the Company’s Board, effective as of November 2, 2026, for a term expiring at the Company’s annual meeting of stockholders to be held in 2027 and until his respective successor is duly elected and qualified or his earlier death, disqualification, resignation or removal.</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Mr. Meier, age 63, previously served as Chief Financial Officer of Siemens Smart Infrastructure from April 2019 until June 2026, and he ceased providing any services to Siemens Industry or its affiliates prior to his appointment as interim Chief Executive Officer of the Company. From 2015 to April 2019, Mr. Meier served as the Chief Financial Officer of Siemens Building Technologies. He started his career at Siemens in 1988 with increasing responsibilities in businesses pertaining to communications, industry, and infrastructure.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30, 2026, the Board also appointed Ricardo Roizen as the Company’s interim Chief Financial Officer, replacing Ahmed Pasha upon his departure from the Company, in each case, effective immediately.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Mr. Roizen, age 47, served as Chief Financial Officer of AES Andes S.A. (“AES Andes”) and Head of International Treasury and Growth for The AES Corporation (“AES”). Pursuant to a secondment agreement among the Company, AES and AES Andes, Mr. Roizen has been seconded from his role at AES Andes to fulfill the interim Chief Financial Officer position at the Company. Prior to his current role at AES Andes, Mr. Roizen served as Director of Corporate Finance at AES Gener from 2012 to 2018 and Head of Financial Structuring beginning in 2008. Mr. Roizen holds a degree in Commercial Engineering, with a concentration in Business Administration, from Pontificia Universidad Católica de Chile, and a dual MBA from Universidad de Chile and Tulane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as described below, there are no arrangements or understandings between each of Mr. Meier or Mr. Roizen and any other person pursuant to which each of Mr. Meier and Mr. Roizen is being appointed as the Company’s interim Chief Executive Officer and interim Chief Financial Officer, respectively. Neither Mr. Meier nor Mr. Roizen has any direct or indirect material interest in any transaction required to be reported pursuant to Item 404(a) of Regulation S-K. There are no family relationships existing between each of Messrs. Meier and Roizen and any executive officer or director of the Company, respectively.</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previously disclosed in the Company’s filings with the Securities and Exchange Commission (the “SEC”), Mr. Meier previously served as one of Siemens Industry’s designees on the Company’s Board pursuant to Siemens Industry’s director nomination rights under the Stockholders Agreement. As previously disclosed in filings with the SEC, Siemens Industry is an indirect subsidiary of Siemens AG. Currently, the Company's principal stockholders include Siemens AG, SPT Holding Sarl ("SPT Holding"), and Siemens Pension-Trust e.V. (“SPT e.V.”). SPT Holding is a wholly owned subsidiary of SPT e.V. and as such, SPT e.V. may be deemed to share beneficial ownership of the shares of the Company's Class A common stock beneficially owned by SPT Holding. Siemens AG is an affiliate of SPT e.V. and as such, may be deemed to share beneficial ownership of the Company's Class A common stock beneficially owned by SPT e.V. Siemens AG, SPT Holding, and SPT e.V. have joined as a party to a number of agreements entered into by and among the Company, Siemens Industry, and its other principal stockholders and their respective affiliates which provide a framework for the Company’s relationship with these stockholders, including the Stockholders Agreement. In the ordinary course of the Company's business, Siemens AG and its affiliates have purchased, and the Company expects that Siemens AG and its affiliates may in the future purchase, the Company’s products and services for energy storage projects. In addition, Siemens AG and its affiliates supply the Company with goods and services, and the Company expects that they will continue to provide the Company with goods and services in the future, that are used when delivering and maintaining energy storage projects for the Company's customers and occasionally used for research and development efforts. Siemens AG and its affiliates have also provided, and may in the future provide, consulting services to the Company. At times, Siemens AG and its affiliates and the Company have entered, and may in the future enter, into master consortium agreements to deliver battery-based energy storage products and related service contracts to external customers as well as other types of collaboration agreements. For additional information regarding the Company’s transactions and arrangements with Siemens AG and its affiliates, see the section titled “Certain Relationships and Related Person Transactions” in the Company’s definitive proxy statement for its 2026 annual meeting of stockholders, filed with the SEC on January 26, 2026.</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his appointment as interim Chief Executive Officer, Mr. Meier entered into an offer letter (the “Offer Letter”) with the Company setting forth the terms of his employment. Pursuant to the terms of the Offer Letter, Mr. Meier’s annual base salary is $1,015,000. In addition, Mr. Meier will be eligible to receive a discretionary cash bonus for successful completion of the transition and the placement of a permanent President and Chief Executive Officer of the Company. Given the interim nature of his position, Mr. Meier will not be eligible to participate in the Company’s Executive Severance Plan. Mr. Meier will, however, be eligible to participate in the Company’s broad-based health and welfare benefit plans and broad-based retirement plan, subject to the terms and conditions thereof. A copy of the Offer Letter is attached hereto as Exhibit 99.1.</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in connection with Mr. Roizen’s appointment as interim Chief Financial Officer, AES Andes, an affiliate of AES, entered into a secondment agreement with the Company and AES to second Mr. Roizen to the Company for up to 90 days or longer, as mutually agreed (the “Secondment Term”). AES Andes will continue to pay Mr. Roizen’s salary and any other compensation or benefits during the Secondment Term. The Secondment Term will automatically terminate when a new Chief Financial Officer of the Company is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noted above, Mr. Roizen is employed at AES Andes, an affiliate of AES. In the ordinary course of our business, AES and its affiliates have purchased, and we expect that AES and its affiliates will continue to purchase, our products and services for energy storage projects in multiple countries. AES Grid Stability is a principal stockholder of the Company and is party to a number of agreements entered into by and among the Company and its other principal shareholders and their respective affiliates which provide a framework for the Company’s relationship with these shareholders, including the Stockholders Agreement. When performing our obligations pursuant to such contracts, we may, from time to time, enter into related change orders, settlements with AES or its applicable affiliates, and other related arrangements to such underlying contracts. The Company also provides consulting services to AES whereby the Company will advise and, in some cases, provide support to AES on procurement, logistics, design, safety, and commissioning of projects. For additional information regarding the Company’s transactions and arrangements with AES and its affiliates, see the section titled “Certain Relationships and Related Person Transactions” in the Company’s definitive proxy statement for its 2026 annual meeting of stockholders, filed with the SEC on January 26, 2026.</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Meier previously entered into, and Mr. Roizen is expected to enter into, the Company’s standard indemnification agreement for directors and officers in the form filed as Exhibit 10.13 to the Company’s Registration Statement on Form S-1/A (File No. 333- 259839), filed with the SEC on October 19,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Named Executive Officer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John Zahurancik, the Company’s Senior Vice President and Chief Customer Success Officer, departed the Company on October 30, 2026, effective immediately.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under the Executive Severance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their departures, each of Messrs. Nebreda, Pasha and Zahurancik will be eligible to receive severance benefits in accordance with the terms of the Company’s Executive Severance Plan (the “Severance Plan”). The Severance Plan was previously filed as Exhibit 10.1 to the Company’s Current Report on Form 8-K filed with the SEC on February 10,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2, 2026, the Company issued a press release announcing certain executive leadership changes, including those described in Item 5.02 of this Current Report on Form 8-K. A copy of the Press Release is attached hereto as Exhibit 99.2.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32"/>
        </w:trPr>
        <w:tc>
          <w:tcPr>
            <w:tcW w:w="13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40" w:type="dxa"/>
            <w:vAlign w:val="bottom"/>
            <w:tcBorders>
              <w:top w:val="single" w:sz="8" w:color="auto"/>
            </w:tcBorders>
            <w:gridSpan w:val="2"/>
          </w:tcPr>
          <w:p>
            <w:pPr>
              <w:jc w:val="center"/>
              <w:ind w:left="33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Offer Letter, dated October 30, 2026, between Fluence Energy, Inc. and Axel Meier</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740" w:type="dxa"/>
            <w:vAlign w:val="bottom"/>
            <w:gridSpan w:val="2"/>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of Fluence Energy, Inc., dated November 2, 2026</w:t>
            </w: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r>
      <w:tr>
        <w:trPr>
          <w:trHeight w:val="236"/>
        </w:trPr>
        <w:tc>
          <w:tcPr>
            <w:tcW w:w="440" w:type="dxa"/>
            <w:vAlign w:val="bottom"/>
          </w:tcPr>
          <w:p>
            <w:pPr>
              <w:spacing w:after="0"/>
              <w:rPr>
                <w:sz w:val="20"/>
                <w:szCs w:val="20"/>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FLUENCE ENERGY,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Vincent Mathis</w:t>
            </w:r>
          </w:p>
        </w:tc>
      </w:tr>
      <w:tr>
        <w:trPr>
          <w:trHeight w:val="191"/>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Vincent Mathis</w:t>
            </w:r>
          </w:p>
        </w:tc>
      </w:tr>
      <w:tr>
        <w:trPr>
          <w:trHeight w:val="216"/>
        </w:trPr>
        <w:tc>
          <w:tcPr>
            <w:tcW w:w="37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Legal and Compliance Officer and</w:t>
            </w:r>
          </w:p>
        </w:tc>
      </w:tr>
      <w:tr>
        <w:trPr>
          <w:trHeight w:val="234"/>
        </w:trPr>
        <w:tc>
          <w:tcPr>
            <w:tcW w:w="3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675"/>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7"/>
          <w:szCs w:val="17"/>
          <w:color w:val="auto"/>
        </w:rPr>
        <w:t>2107 Wilson Blvd, Suite 900 | Arlington, VA 22201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28420"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8420" cy="334645"/>
                    </a:xfrm>
                    <a:prstGeom prst="rect">
                      <a:avLst/>
                    </a:prstGeom>
                    <a:noFill/>
                  </pic:spPr>
                </pic:pic>
              </a:graphicData>
            </a:graphic>
          </wp:anchor>
        </w:drawing>
      </w:r>
    </w:p>
    <w:p>
      <w:pPr>
        <w:spacing w:after="0" w:line="19"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+1 833 358 3623</w:t>
      </w:r>
    </w:p>
    <w:p>
      <w:pPr>
        <w:spacing w:after="0" w:line="9"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fluenceenergy.com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Axel Meier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Axel,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delighted to confirm that the Fluence Energy, Inc. (“Fluence”) Board of Directors (“Board”) approved you as the Interim President &amp; Chief Executive Officer (“CEO”). This role is effective November 2, 2026. In this position you will participate in, or be eligible for, the compensation and benefits outlined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BENEFITS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Your annual base salary will be $1,015,000, pro-rated for partial years of service, effective November 2, 2026, paid in one-twelfth monthly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increments, subject to applicable withholdings.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Discretionary Bonus: </w:t>
      </w:r>
      <w:r>
        <w:rPr>
          <w:rFonts w:ascii="Times New Roman" w:cs="Times New Roman" w:eastAsia="Times New Roman" w:hAnsi="Times New Roman"/>
          <w:sz w:val="18"/>
          <w:szCs w:val="18"/>
          <w:color w:val="auto"/>
        </w:rPr>
        <w:t>You will be eligible to receive a discretionary cash bonus for successful completion of the transition and the placement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permanent President &amp; CEO. Your potential receipt of this bonus is subject to approval by the Board.</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Benefits: </w:t>
      </w:r>
      <w:r>
        <w:rPr>
          <w:rFonts w:ascii="Times New Roman" w:cs="Times New Roman" w:eastAsia="Times New Roman" w:hAnsi="Times New Roman"/>
          <w:sz w:val="18"/>
          <w:szCs w:val="18"/>
          <w:color w:val="auto"/>
        </w:rPr>
        <w:t>You will be eligible to participate in Fluence’s Health and Welfare Benefits Programs and Fluence’s short-term and long-term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accidental death and dismemberment, and life insurance plans, in accordance with their terms (as may be amended from time to time).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Retirement: </w:t>
      </w:r>
      <w:r>
        <w:rPr>
          <w:rFonts w:ascii="Times New Roman" w:cs="Times New Roman" w:eastAsia="Times New Roman" w:hAnsi="Times New Roman"/>
          <w:sz w:val="18"/>
          <w:szCs w:val="18"/>
          <w:color w:val="auto"/>
        </w:rPr>
        <w:t>You will be eligible to participate in the Fluence Energy Savings Plan (the “401(k) plan”). You may contribute up to 50% of your salary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account and will be eligible to receive a company matching contribution of 100% of your contributions up to 5% of your gross salary, in each case, in accordance with the terms and conditions of the plan.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Severance</w:t>
      </w:r>
      <w:r>
        <w:rPr>
          <w:rFonts w:ascii="Times New Roman" w:cs="Times New Roman" w:eastAsia="Times New Roman" w:hAnsi="Times New Roman"/>
          <w:sz w:val="18"/>
          <w:szCs w:val="18"/>
          <w:color w:val="auto"/>
        </w:rPr>
        <w:t>: Given the interim nature of your position, you will not be designated as a participant in the Fluence Executive Severance Plan and, as such,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be eligible to receive severance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112395</wp:posOffset>
            </wp:positionV>
            <wp:extent cx="6995160"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left="7480"/>
        <w:spacing w:after="0"/>
        <w:rPr>
          <w:sz w:val="20"/>
          <w:szCs w:val="20"/>
          <w:color w:val="auto"/>
        </w:rPr>
      </w:pPr>
      <w:r>
        <w:rPr>
          <w:rFonts w:ascii="Times New Roman" w:cs="Times New Roman" w:eastAsia="Times New Roman" w:hAnsi="Times New Roman"/>
          <w:sz w:val="17"/>
          <w:szCs w:val="17"/>
          <w:color w:val="auto"/>
        </w:rPr>
        <w:t>2107 Wilson Blvd, Suite 900 | Arlington, VA 22201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28420"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8420" cy="334645"/>
                    </a:xfrm>
                    <a:prstGeom prst="rect">
                      <a:avLst/>
                    </a:prstGeom>
                    <a:noFill/>
                  </pic:spPr>
                </pic:pic>
              </a:graphicData>
            </a:graphic>
          </wp:anchor>
        </w:drawing>
      </w:r>
    </w:p>
    <w:p>
      <w:pPr>
        <w:spacing w:after="0" w:line="19"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+1 833 358 3623</w:t>
      </w:r>
    </w:p>
    <w:p>
      <w:pPr>
        <w:spacing w:after="0" w:line="9"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fluenceenergy.com</w:t>
      </w:r>
    </w:p>
    <w:p>
      <w:pPr>
        <w:spacing w:after="0" w:line="20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Officer Policies</w:t>
      </w:r>
      <w:r>
        <w:rPr>
          <w:rFonts w:ascii="Times New Roman" w:cs="Times New Roman" w:eastAsia="Times New Roman" w:hAnsi="Times New Roman"/>
          <w:sz w:val="18"/>
          <w:szCs w:val="18"/>
          <w:color w:val="auto"/>
        </w:rPr>
        <w:t>: Fluence maintains company policies applicable to all employees. In addition, you are subject to additional policies applicable only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including the Fluence Policy for Recovery of Erroneously Awarded Compensation (i.e., the clawback policy), as approved and may be amended from time to time by the Board (or a committee thereof),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ACCEPTANCE PROCESS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Axel, your experience and background for this position will be an asset to Fluence. To confirm your acceptance of this offer, please print this letter, sign, and return the signed version to Vincent Mathis, SVP &amp; General Counsel of Fluence. If you have any questions, please do not hesitate to contact 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Herman Bulls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Your employment with Fluence is and will be “at will” employment, for an indefinite period of time. This means that you or Fluence may terminate the employment relationship at any time, for any reason or for no reason. No oral or written representation made by anyone at Fluence may change the “at will” nature of this relationship. You retain the option, as does Fluence, of ending your employment with Fluence at any time, with or without notice and with or without cause. Further, this letter describes certain of the current benefit plans, programs and policies but, notwithstanding anything to the contrary herein, Fluence retains the right to modify or terminate any benefit plan, program or policy, including its Health and Welfare Benefits Programs, and 401(k) plan, at any time in its sole and absolute discretion. This letter is governed by the laws of Virginia. Fluence is an “at will” employer; this letter does not constitute a contract for employment.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 and Accepted: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 Axel Meier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Date:  November 1, 2026</w:t>
            </w:r>
          </w:p>
        </w:tc>
      </w:tr>
      <w:tr>
        <w:trPr>
          <w:trHeight w:val="228"/>
        </w:trPr>
        <w:tc>
          <w:tcPr>
            <w:tcW w:w="1360" w:type="dxa"/>
            <w:vAlign w:val="bottom"/>
          </w:tcPr>
          <w:p>
            <w:pPr>
              <w:spacing w:after="0"/>
              <w:rPr>
                <w:sz w:val="19"/>
                <w:szCs w:val="19"/>
                <w:color w:val="auto"/>
              </w:rPr>
            </w:pPr>
          </w:p>
        </w:tc>
        <w:tc>
          <w:tcPr>
            <w:tcW w:w="4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Axel Meier</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1"/>
              </w:rPr>
              <w:t>Effective</w:t>
            </w:r>
          </w:p>
        </w:tc>
        <w:tc>
          <w:tcPr>
            <w:tcW w:w="49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Date: November 2, 2026</w:t>
            </w:r>
          </w:p>
        </w:tc>
      </w:tr>
    </w:tbl>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156845</wp:posOffset>
            </wp:positionV>
            <wp:extent cx="2983230" cy="694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8323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Fluence Strengthens Executive Leadership Team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Accelerate Operational Transformation</w:t>
      </w:r>
    </w:p>
    <w:p>
      <w:pPr>
        <w:spacing w:after="0" w:line="20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Siemens and AES veteran executives Axel Meier and Ricardo Roizen appointed Interim CEO and Interim CFO; global operations and transformation executive Marco Boos named Senior Vice President &amp; Chief Customer Success Officer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Board of Directors establishes </w:t>
      </w:r>
      <w:r>
        <w:rPr>
          <w:rFonts w:ascii="Times New Roman" w:cs="Times New Roman" w:eastAsia="Times New Roman" w:hAnsi="Times New Roman"/>
          <w:sz w:val="18"/>
          <w:szCs w:val="18"/>
          <w:b w:val="1"/>
          <w:bCs w:val="1"/>
          <w:i w:val="1"/>
          <w:iCs w:val="1"/>
          <w:color w:val="auto"/>
        </w:rPr>
        <w:t>Manufacturing and Operations Oversight Committee</w:t>
      </w:r>
      <w:r>
        <w:rPr>
          <w:rFonts w:ascii="Times New Roman" w:cs="Times New Roman" w:eastAsia="Times New Roman" w:hAnsi="Times New Roman"/>
          <w:sz w:val="18"/>
          <w:szCs w:val="18"/>
          <w:i w:val="1"/>
          <w:iCs w:val="1"/>
          <w:color w:val="auto"/>
        </w:rPr>
        <w:t xml:space="preserve"> to provide focused oversight of transformation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ARLINGTON, Va., November 2, 2026 – </w:t>
      </w:r>
      <w:r>
        <w:rPr>
          <w:rFonts w:ascii="Times New Roman" w:cs="Times New Roman" w:eastAsia="Times New Roman" w:hAnsi="Times New Roman"/>
          <w:sz w:val="18"/>
          <w:szCs w:val="18"/>
          <w:color w:val="auto"/>
        </w:rPr>
        <w:t>Fluence Energy, Inc. (“Fluence” or the “Company”) (NASDAQ: FLNC) today announced a series of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leadership changes that mark an important step in the Company’s ongoing operational transformation. These leadership changes add proven experience in financial management, operational transformation, manufacturing, and customer delivery as Fluence works to strengthen production systems and processes, improve execution, and reinforce financial discipline.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is taking decisive action to strengthen leadership, sharpen accountability, and support Fluence’s long-term success,” said Herman Bulls, Chairman of the Fluence Board of Directors. “We believe Fluence has tremendous potential and a significant market opportunity ahead. We are confident that these leadership changes, together with the additional steps the Board is taking to advance the Company’s transformation, will position Fluence for the future and create lasting value for our employees, customers, and shareholders.”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Fluence enters this next phase with important competitive strengths, including Smartstack™’s differentiated technology, high energy density, and modular architecture, and a record backlog of $6.4 billion, as reported in the Company’s fiscal third-quarter 2026 results. Building on this foundation, the Board and management are focused on improving financial and operational execution, delivering on commitments to customers, strengthening cash generation, and prioritizing sustainable, profitable growth through disciplined pricing and a streamlined cost 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Axel Meier Appointed Interim CEO; Ricardo Roizen Appointed Interim CFO</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Axel Meier </w:t>
      </w:r>
      <w:r>
        <w:rPr>
          <w:rFonts w:ascii="Times New Roman" w:cs="Times New Roman" w:eastAsia="Times New Roman" w:hAnsi="Times New Roman"/>
          <w:sz w:val="18"/>
          <w:szCs w:val="18"/>
          <w:color w:val="auto"/>
        </w:rPr>
        <w:t>has been appointed Interim Chief Executive Officer, effective immediately, succeeding</w:t>
      </w:r>
      <w:r>
        <w:rPr>
          <w:rFonts w:ascii="Times New Roman" w:cs="Times New Roman" w:eastAsia="Times New Roman" w:hAnsi="Times New Roman"/>
          <w:sz w:val="18"/>
          <w:szCs w:val="18"/>
          <w:b w:val="1"/>
          <w:bCs w:val="1"/>
          <w:color w:val="auto"/>
        </w:rPr>
        <w:t xml:space="preserve"> Julian Nebreda, </w:t>
      </w:r>
      <w:r>
        <w:rPr>
          <w:rFonts w:ascii="Times New Roman" w:cs="Times New Roman" w:eastAsia="Times New Roman" w:hAnsi="Times New Roman"/>
          <w:sz w:val="18"/>
          <w:szCs w:val="18"/>
          <w:color w:val="auto"/>
        </w:rPr>
        <w:t>who has stepped down as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Chief Executive Officer. Mr. Meier has served on Fluence’s Board of Directors since 2020 and recently retired as Chief Financial Officer of Siemens Smart Infrastructure. He brings more than three decades of experience at Siemens, including senior leadership roles across its infrastructure, industry, and technology businesses. As CFO of Siemens Smart Infrastructure, Mr. Meier helped shape the business into a reliable performer, delivering consistent above-market growth, year-over-year profit margin expansion for 23 consecutive quarters, and disciplined cash conversion.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 addition, </w:t>
      </w:r>
      <w:r>
        <w:rPr>
          <w:rFonts w:ascii="Times New Roman" w:cs="Times New Roman" w:eastAsia="Times New Roman" w:hAnsi="Times New Roman"/>
          <w:sz w:val="18"/>
          <w:szCs w:val="18"/>
          <w:b w:val="1"/>
          <w:bCs w:val="1"/>
          <w:color w:val="auto"/>
        </w:rPr>
        <w:t>Ricardo Roizen</w:t>
      </w:r>
      <w:r>
        <w:rPr>
          <w:rFonts w:ascii="Times New Roman" w:cs="Times New Roman" w:eastAsia="Times New Roman" w:hAnsi="Times New Roman"/>
          <w:sz w:val="18"/>
          <w:szCs w:val="18"/>
          <w:color w:val="auto"/>
        </w:rPr>
        <w:t xml:space="preserve"> has been appointed Interim Chief Financial Officer, effective immediately, succeeding </w:t>
      </w:r>
      <w:r>
        <w:rPr>
          <w:rFonts w:ascii="Times New Roman" w:cs="Times New Roman" w:eastAsia="Times New Roman" w:hAnsi="Times New Roman"/>
          <w:sz w:val="18"/>
          <w:szCs w:val="18"/>
          <w:b w:val="1"/>
          <w:bCs w:val="1"/>
          <w:color w:val="auto"/>
        </w:rPr>
        <w:t>Ahmed Pasha</w:t>
      </w:r>
      <w:r>
        <w:rPr>
          <w:rFonts w:ascii="Times New Roman" w:cs="Times New Roman" w:eastAsia="Times New Roman" w:hAnsi="Times New Roman"/>
          <w:sz w:val="18"/>
          <w:szCs w:val="18"/>
          <w:color w:val="auto"/>
        </w:rPr>
        <w:t>, who has stepped down as Senior Vice President &amp; Chief Financial Officer. Mr. Roizen previously served as Chief Financial Officer of AES Andes and brings more than a decade of financial leadership experience with AES, spanning corporate finance, financial planning, business analysis, and treasury functions.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“Axel and Ricardo understand Fluence, its industry, and the opportunity ahead, and they will work closely with the broader leadership team to bring urgency, rigor, and accountability to the Company’s transformation,” said Mr. Bulls. “On behalf of the Board, I want to thank Julian for his leadership of Fluence. We also wish Ahmed the best and appreciate his service as CFO.”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honored to step into this role at an important time for Fluence,” said Mr. Meier. “The Company has strong technology, talented people, and a compelling position in a growing market. Our mission and priorities are clear: delivering on our commitments to our customers, strengthening execution, and advancing the transformation work already underway across the business. I look forward to working with the entire Fluence team to drive progress in each of these areas.”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Fluence has begun searches for permanent leaders for the Chief Executive Officer and Chief Financial Officer roles.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Bernerd Da Santos to Lead Operational Transformation; Marco Boos Appointed Senior Vice President &amp; Chief Customer Success Officer</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Bernerd Da Santos </w:t>
      </w:r>
      <w:r>
        <w:rPr>
          <w:rFonts w:ascii="Times New Roman" w:cs="Times New Roman" w:eastAsia="Times New Roman" w:hAnsi="Times New Roman"/>
          <w:sz w:val="18"/>
          <w:szCs w:val="18"/>
          <w:color w:val="auto"/>
        </w:rPr>
        <w:t>will continue to serve as Chief Operating Officer and will lead the Company’s operational transformation, working closely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Meier and the executive leadership team. His responsibilities will include execution, supply chain, product development, commercial performance, and customer delivery, with a focus on measurable improvements in operational and financial performance.</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Fluence also announced that </w:t>
      </w:r>
      <w:r>
        <w:rPr>
          <w:rFonts w:ascii="Times New Roman" w:cs="Times New Roman" w:eastAsia="Times New Roman" w:hAnsi="Times New Roman"/>
          <w:sz w:val="18"/>
          <w:szCs w:val="18"/>
          <w:b w:val="1"/>
          <w:bCs w:val="1"/>
          <w:color w:val="auto"/>
        </w:rPr>
        <w:t>Marco Boos</w:t>
      </w:r>
      <w:r>
        <w:rPr>
          <w:rFonts w:ascii="Times New Roman" w:cs="Times New Roman" w:eastAsia="Times New Roman" w:hAnsi="Times New Roman"/>
          <w:sz w:val="18"/>
          <w:szCs w:val="18"/>
          <w:color w:val="auto"/>
        </w:rPr>
        <w:t xml:space="preserve"> has been appointed Senior Vice President &amp; Chief Customer Success Officer, effective November 15. Mr. Boos brings more than 25 years of global operations and transformation experience, with senior leadership roles spanning supply chain, manufacturing, and operational performance at Proenergy, Weatherford, ABB, and Siemens. Mr. Boos succeeds </w:t>
      </w:r>
      <w:r>
        <w:rPr>
          <w:rFonts w:ascii="Times New Roman" w:cs="Times New Roman" w:eastAsia="Times New Roman" w:hAnsi="Times New Roman"/>
          <w:sz w:val="18"/>
          <w:szCs w:val="18"/>
          <w:b w:val="1"/>
          <w:bCs w:val="1"/>
          <w:color w:val="auto"/>
        </w:rPr>
        <w:t>John Zahurancik</w:t>
      </w:r>
      <w:r>
        <w:rPr>
          <w:rFonts w:ascii="Times New Roman" w:cs="Times New Roman" w:eastAsia="Times New Roman" w:hAnsi="Times New Roman"/>
          <w:sz w:val="18"/>
          <w:szCs w:val="18"/>
          <w:color w:val="auto"/>
        </w:rPr>
        <w:t>, who has stepped down from the position.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“Marco brings deep experience in manufacturing, operational transformation, and performance improvement, as well as a strong record of delivering for customers. His appointment adds important capabilities to the leadership team,” said Mr. Bulls. “We are grateful to John for his contributions to Fluence.”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Mr. Meier, Mr. Roizen, and Mr. Boos will join Mr. Da Santos; Vincent Mathis, Senior Vice President &amp; Chief Legal and Compliance Officer and Secretary; Jeff Monday, Senior Vice President &amp; Chief Growth Officer; and Roman Loosen, Senior Vice President &amp; Chief Supply Chain and Manufacturing Officer, as part of Fluence’s executive leadership team.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Establishes Manufacturing and Operations Oversight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Fluence Board of Directors has established a new Manufacturing and Operations Oversight Committee to provide focused oversight of the Company’s efforts to strengthen manufacturing performance, operational execution, and customer delivery. The committee reflects the Board’s commitment to disciplined execution and sustained operational improvement.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board committee will be chaired by </w:t>
      </w:r>
      <w:r>
        <w:rPr>
          <w:rFonts w:ascii="Times New Roman" w:cs="Times New Roman" w:eastAsia="Times New Roman" w:hAnsi="Times New Roman"/>
          <w:sz w:val="18"/>
          <w:szCs w:val="18"/>
          <w:b w:val="1"/>
          <w:bCs w:val="1"/>
          <w:color w:val="auto"/>
        </w:rPr>
        <w:t>Stephan May</w:t>
      </w:r>
      <w:r>
        <w:rPr>
          <w:rFonts w:ascii="Times New Roman" w:cs="Times New Roman" w:eastAsia="Times New Roman" w:hAnsi="Times New Roman"/>
          <w:sz w:val="18"/>
          <w:szCs w:val="18"/>
          <w:color w:val="auto"/>
        </w:rPr>
        <w:t xml:space="preserve"> and will include </w:t>
      </w:r>
      <w:r>
        <w:rPr>
          <w:rFonts w:ascii="Times New Roman" w:cs="Times New Roman" w:eastAsia="Times New Roman" w:hAnsi="Times New Roman"/>
          <w:sz w:val="18"/>
          <w:szCs w:val="18"/>
          <w:b w:val="1"/>
          <w:bCs w:val="1"/>
          <w:color w:val="auto"/>
        </w:rPr>
        <w:t>Stephen Coughlin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Elizabeth Fessenden</w:t>
      </w:r>
      <w:r>
        <w:rPr>
          <w:rFonts w:ascii="Times New Roman" w:cs="Times New Roman" w:eastAsia="Times New Roman" w:hAnsi="Times New Roman"/>
          <w:sz w:val="18"/>
          <w:szCs w:val="18"/>
          <w:color w:val="auto"/>
        </w:rPr>
        <w:t>. Mr. May and Ms. Fessenden bring significant expertise in manufacturing and manufacturing processes, while Mr. Coughlin brings extensive finance leadership experience in the energy industry.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Fluence’s operational transformation is supported by major shareholders Siemens AG and The AES Corporation, whose global experience and capabilities provide important support as the Company moves forward.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Year 2026 Earnings Call and 2027 Guidance Timing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will report financial results for fiscal year 2026 after market close on Monday, November 23, followed by a year-end earnings call before market open on Tuesday, November 24 at 8:30 a.m. ET. To participate, analysts are required to register by clicking </w:t>
      </w:r>
      <w:r>
        <w:rPr>
          <w:rFonts w:ascii="Times New Roman" w:cs="Times New Roman" w:eastAsia="Times New Roman" w:hAnsi="Times New Roman"/>
          <w:sz w:val="18"/>
          <w:szCs w:val="18"/>
          <w:u w:val="single" w:color="auto"/>
          <w:color w:val="auto"/>
        </w:rPr>
        <w:t>Fluence Energy Q4 2026 Earnings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 Link</w:t>
      </w:r>
      <w:r>
        <w:rPr>
          <w:rFonts w:ascii="Times New Roman" w:cs="Times New Roman" w:eastAsia="Times New Roman" w:hAnsi="Times New Roman"/>
          <w:sz w:val="18"/>
          <w:szCs w:val="18"/>
          <w:color w:val="auto"/>
        </w:rPr>
        <w:t>. Once registered, analysts will be issued a unique PIN number and dial-in number. Analysts are encouraged to register at least 15 minutes before the scheduled start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Other participants are encouraged to join the teleconference in a listen-only mode at: </w:t>
      </w:r>
      <w:r>
        <w:rPr>
          <w:rFonts w:ascii="Times New Roman" w:cs="Times New Roman" w:eastAsia="Times New Roman" w:hAnsi="Times New Roman"/>
          <w:sz w:val="18"/>
          <w:szCs w:val="18"/>
          <w:u w:val="single" w:color="auto"/>
          <w:color w:val="auto"/>
        </w:rPr>
        <w:t>Listen-Only Mode – Webcast Link</w:t>
      </w:r>
      <w:r>
        <w:rPr>
          <w:rFonts w:ascii="Times New Roman" w:cs="Times New Roman" w:eastAsia="Times New Roman" w:hAnsi="Times New Roman"/>
          <w:sz w:val="18"/>
          <w:szCs w:val="18"/>
          <w:color w:val="auto"/>
        </w:rPr>
        <w:t>, or on https://fluenceenergy.com/ by selecting Investors, News &amp; Events, and Events &amp; Presentations. Supplemental materials that may be referenced during the teleconference will be available at: www.fluenceenergy.com, by selecting Investors, News &amp; Events, and Events &amp; Presentations.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available after 1:00 p.m. ET on November 24. The replay will be available on the Company’s website at https://fluenceenergy.com/ by selecting Investors, News &amp; Events, and Events &amp; Presentations.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guidance for fiscal year 2027 is expected to be provided at a later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Fluence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Fluence Energy, Inc. (Nasdaq: FLNC) is a global market leader delivering intelligent energy storage and optimization software for renewables and storage. The Company's solutions and operational services are helping to create a more resilient grid, from powering the next generation of AI-driven data centers to unlocking the full potential of renewable portfolios. With gigawatts of projects successfully contracted, deployed, and under management across nearly 50 markets, the Company is transforming the way we power our world for a more sustainable future.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more information, visit our</w:t>
      </w:r>
      <w:r>
        <w:rPr>
          <w:rFonts w:ascii="Times New Roman" w:cs="Times New Roman" w:eastAsia="Times New Roman" w:hAnsi="Times New Roman"/>
          <w:sz w:val="18"/>
          <w:szCs w:val="18"/>
          <w:u w:val="single" w:color="auto"/>
          <w:color w:val="auto"/>
        </w:rPr>
        <w:t> website</w:t>
      </w:r>
      <w:r>
        <w:rPr>
          <w:rFonts w:ascii="Times New Roman" w:cs="Times New Roman" w:eastAsia="Times New Roman" w:hAnsi="Times New Roman"/>
          <w:sz w:val="18"/>
          <w:szCs w:val="18"/>
          <w:color w:val="auto"/>
        </w:rPr>
        <w:t>, or follow us on</w:t>
      </w:r>
      <w:r>
        <w:rPr>
          <w:rFonts w:ascii="Times New Roman" w:cs="Times New Roman" w:eastAsia="Times New Roman" w:hAnsi="Times New Roman"/>
          <w:sz w:val="18"/>
          <w:szCs w:val="18"/>
          <w:u w:val="single" w:color="auto"/>
          <w:color w:val="auto"/>
        </w:rPr>
        <w:t> LinkedIn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u w:val="single" w:color="auto"/>
          <w:color w:val="auto"/>
        </w:rPr>
        <w:t> X</w:t>
      </w:r>
      <w:r>
        <w:rPr>
          <w:rFonts w:ascii="Times New Roman" w:cs="Times New Roman" w:eastAsia="Times New Roman" w:hAnsi="Times New Roman"/>
          <w:sz w:val="18"/>
          <w:szCs w:val="18"/>
          <w:color w:val="auto"/>
        </w:rPr>
        <w:t>. To stay up to date on the latest industry insights,</w:t>
      </w:r>
      <w:r>
        <w:rPr>
          <w:rFonts w:ascii="Times New Roman" w:cs="Times New Roman" w:eastAsia="Times New Roman" w:hAnsi="Times New Roman"/>
          <w:sz w:val="18"/>
          <w:szCs w:val="18"/>
          <w:u w:val="single" w:color="auto"/>
          <w:color w:val="auto"/>
        </w:rPr>
        <w:t> sign up for Fluence's Full 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Blog</w:t>
      </w:r>
      <w:r>
        <w:rPr>
          <w:rFonts w:ascii="Times New Roman" w:cs="Times New Roman" w:eastAsia="Times New Roman" w:hAnsi="Times New Roman"/>
          <w:sz w:val="18"/>
          <w:szCs w:val="18"/>
          <w:color w:val="auto"/>
        </w:rPr>
        <w:t>.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press release are forward-looking statements, including statements regarding the Company’s operational transformation, potential benefits of the executive leadership changes, future market opportunity, future operational or financial execution and performance, future cash flows, ability to create lasting value for employees, customers, and shareholders, competitive strengths, ability to achieve and maintain sustainable, profitable growth, ability to deliver on customer commitments, expectations related to backlog, and any other statements regarding the Company’s business, growth, or future performance and the beliefs, assumptions, prospects, plans, and objectives of management and timing associated therewith. Such statements can be identified by the fact that they do not relate strictly to historical or current facts. When used in this press release, words such as “may,” “possible,” “will,” “should,” “seeks,” “expects,” “plans,” “anticipates,” “grows,” “could,” “intends,” “targets,” “projects,” “contemplates,” "commits", “believes,” “estimates,” “predicts,” “potential” or “continue” or the negative of these terms or other similar expressions and variations thereof and similar words and expressions are intended to identify such forward-looking statements, but the absence of these words does not mean that a statement is not forward-looking.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51" w:lineRule="auto"/>
        <w:rPr>
          <w:sz w:val="20"/>
          <w:szCs w:val="20"/>
          <w:color w:val="auto"/>
        </w:rPr>
      </w:pPr>
      <w:r>
        <w:rPr>
          <w:rFonts w:ascii="Times New Roman" w:cs="Times New Roman" w:eastAsia="Times New Roman" w:hAnsi="Times New Roman"/>
          <w:sz w:val="18"/>
          <w:szCs w:val="18"/>
          <w:color w:val="auto"/>
        </w:rPr>
        <w:t>The forward-looking statements contained in this press release are based on our current expectations and beliefs concerning future developments, as well as a number of assumptions concerning future events, and their potential effects on our business. These forward-looking statements are not guarantees of performance, and there can be no assurance that future developments affecting our business will be those that we have anticipated, and actual results may prove to be materially different from the results expressed or implied by the forward-looking statements. These forward-looking statements are subject to a number of risks, uncertainties, and other important factors that could cause actual results to differ materially from those in the forward-looking statements, including, but not limited to, the elimination or expiration of government incentives or regulations regarding renewable energy; changes in the global trade environment; fluctuations in order intake and results of operations across fiscal periods; a significant reduction in order volume or loss of significant customers or their inability to perform under contracts; competition for offerings and the ability to attract new customers and retain existing ones; maintaining and enhancing reputation and brand recognition; our ability to manage recent and future growth and the expansion of our business and operations; our ability to attract and retain highly qualified personnel; our growth depending on the success of relationships with third parties; delays, disruptions, and quality control problems in manufacturing operations; risks associated with engineering and construction, utility interconnection, commissioning and installation of energy storage products, cost overruns, and delays; supplier concentration and limited supplier capacity; operating as a global company with a global supply chain; changes in the cost and availability of raw materials and underlying components; lengthy sales and installation cycle for energy storage solutions; quality and quantity of components provided by suppliers; defects, errors, vulnerabilities, and/or bugs in products and technology; events and incidents relating to storage, delivery, installation, operation, maintenance, and shutdowns of products; current and planned foreign operations; failure by contract manufacturers, vendors, and suppliers to use ethical business practices and comply with applicable laws and regulations; actual or threatened health epidemics, pandemics, or similar public health threats; severe weather events; acquisitions made or that may be pursued; our ability to obtain financial assurances for projects; relatively limited operating and revenue history as an independent entity and the nascent clean energy industry; anticipated increases in expenses in the future and our ability to maintain prolonged profitability; the risk that amounts included in the pipeline and contracted backlog may not result in actual revenue or translate into profits; restrictions set forth in current and future credit and debt agreements; our uncertain ability to raise additional capital to execute on business opportunities; fluctuations in currency exchange rates; whether renewable energy technologies are suitable for widespread adoption or if sufficient demand for offerings does not develop or takes longer to develop than anticipated; our estimates on the size of the total addressable market; macroeconomic uncertainty and market conditions; interest rates or a reduction in the availability of tax equity or project debt capital in the global financial markets and corresponding effects on customers’ ability to finance energy storage systems and demand for energy storage solutions; the cost of electricity available from alternative sources; a decline or delay in public acceptance of renewable energy, or increase in the cost of customer projects; increased attention to environmental, social and governance matters; our ability to obtain, maintain, and enforce proper protection for intellectual property, including technology; the threat of lawsuits by third parties alleging intellectual property violations; our having adequate protection for trademarks and trade names; our ability to enforce intellectual property rights; our patent portfolio; our ability to effectively protect data integrity of technology infrastructure, data, and other business systems; the use of open-source software; our failure to comply with third-party license or technology agreements; our inability to license rights to use technologies on reasonable terms; compromises, interruptions, or shutdowns of systems; use of artificial intelligence (“AI”) technologies; potential changes in tax laws or regulations; barriers arising from current electric utility industry policies and regulations and any subsequent changes; environmental, health, and safety laws and potential obligations, liabilities, and costs thereunder; actual or perceived failure to comply with data privacy and data security laws, regulations, industry standards, and other requirements relating to the privacy, security, and processing of personal information; potential future legal proceedings, regulatory disputes, and governmental inquiries; ownership of our Class A common stock; short-seller activists; being a “controlled company” within the meaning of the rules of the Nasdaq Stock Market; conflicts of interest by officers and directors due to positions with our continuing equity owners; relationship with our founders and continuing equity owners; terms of our amended and restated certificate of incorporation and amended and restated bylaws; our dependence on distributions from Fluence Energy, LLC to pay taxes and expenses and Fluence Energy, LLC’s ability to make such distributions may be limited or restricted in certain scenarios; risks arising out of the Tax Receivable Agreement; unanticipated changes in effective tax rates or adverse outcomes resulting from examination of tax returns; risks related to the 2030 Convertible Senior Notes; improper and ineffective internal control over reporting to comply with the Sarbanes-Oxley Act; changes in accounting principles or their applicability; and estimates or judgments relating to critical accounting policies; and other important factors described under Part I, Item 1A.“Risk Factors” in our Annual Report on Form 10-K for the fiscal year ended September 30, 2025, filed with the U.S. Securities and Exchange Commission (the “SEC”) on November 25, 2025, as updated from time to time in our filings with the SEC.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 You are cautioned not to place undue reliance on any forward-looking statements made in this press release. Each forward-looking statement speaks only as of the date of the particular statement, and we undertake no obligation to publicly update or revise any forward-looking statements to reflect events or circumstances that occur, or which we become aware of, after the date hereof, except as otherwise may be required by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Media Contact</w:t>
      </w:r>
      <w:r>
        <w:rPr>
          <w:rFonts w:ascii="Times New Roman" w:cs="Times New Roman" w:eastAsia="Times New Roman" w:hAnsi="Times New Roman"/>
          <w:sz w:val="18"/>
          <w:szCs w:val="18"/>
          <w:color w:val="auto"/>
        </w:rPr>
        <w: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Shayla Ebsen, Director of Communications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media.corporate@fluenceenergy.com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 Contact</w:t>
      </w:r>
      <w:r>
        <w:rPr>
          <w:rFonts w:ascii="Times New Roman" w:cs="Times New Roman" w:eastAsia="Times New Roman" w:hAnsi="Times New Roman"/>
          <w:sz w:val="18"/>
          <w:szCs w:val="18"/>
          <w:color w:val="auto"/>
        </w:rPr>
        <w: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Shelton, Vice President of Finance, GID, and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r>
        <w:rPr>
          <w:rFonts w:ascii="Times New Roman" w:cs="Times New Roman" w:eastAsia="Times New Roman" w:hAnsi="Times New Roman"/>
          <w:sz w:val="18"/>
          <w:szCs w:val="18"/>
          <w:u w:val="single" w:color="auto"/>
          <w:color w:val="auto"/>
        </w:rPr>
        <w:t> investorrelations@fluenceenergy.com</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2026-11-02T07:13:30Z</dcterms:created>
  <dcterms:modified xsi:type="dcterms:W3CDTF">2026-11-02T07:13:30Z</dcterms:modified>
</cp:coreProperties>
</file>