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0" w:lineRule="exact"/>
        <w:rPr>
          <w:sz w:val="24"/>
          <w:szCs w:val="24"/>
          <w:color w:val="auto"/>
        </w:rPr>
      </w:pPr>
    </w:p>
    <w:p>
      <w:pPr>
        <w:jc w:val="right"/>
        <w:ind w:right="40"/>
        <w:spacing w:after="0"/>
        <w:rPr>
          <w:sz w:val="20"/>
          <w:szCs w:val="20"/>
          <w:color w:val="auto"/>
        </w:rPr>
      </w:pPr>
      <w:r>
        <w:rPr>
          <w:rFonts w:ascii="Arial" w:cs="Arial" w:eastAsia="Arial" w:hAnsi="Arial"/>
          <w:sz w:val="14"/>
          <w:szCs w:val="14"/>
          <w:b w:val="1"/>
          <w:bCs w:val="1"/>
          <w:color w:val="auto"/>
        </w:rPr>
        <w:t>Filed Pursuant to Rule 424(b)(4)</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333-259839</w:t>
      </w:r>
    </w:p>
    <w:p>
      <w:pPr>
        <w:spacing w:after="0" w:line="25" w:lineRule="exact"/>
        <w:rPr>
          <w:sz w:val="24"/>
          <w:szCs w:val="24"/>
          <w:color w:val="auto"/>
        </w:rPr>
      </w:pPr>
    </w:p>
    <w:p>
      <w:pPr>
        <w:ind w:left="4540"/>
        <w:spacing w:after="0"/>
        <w:rPr>
          <w:sz w:val="20"/>
          <w:szCs w:val="20"/>
          <w:color w:val="auto"/>
        </w:rPr>
      </w:pPr>
      <w:r>
        <w:rPr>
          <w:rFonts w:ascii="Arial" w:cs="Arial" w:eastAsia="Arial" w:hAnsi="Arial"/>
          <w:sz w:val="20"/>
          <w:szCs w:val="20"/>
          <w:b w:val="1"/>
          <w:bCs w:val="1"/>
          <w:color w:val="auto"/>
        </w:rPr>
        <w:t>31,000,000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2634615</wp:posOffset>
            </wp:positionH>
            <wp:positionV relativeFrom="paragraph">
              <wp:posOffset>65405</wp:posOffset>
            </wp:positionV>
            <wp:extent cx="155130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30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Fluence Energy, Inc.</w:t>
      </w:r>
    </w:p>
    <w:p>
      <w:pPr>
        <w:spacing w:after="0" w:line="49" w:lineRule="exact"/>
        <w:rPr>
          <w:sz w:val="24"/>
          <w:szCs w:val="24"/>
          <w:color w:val="auto"/>
        </w:rPr>
      </w:pPr>
    </w:p>
    <w:p>
      <w:pPr>
        <w:ind w:left="4120"/>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82550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3" w:lineRule="exact"/>
        <w:rPr>
          <w:sz w:val="24"/>
          <w:szCs w:val="24"/>
          <w:color w:val="auto"/>
        </w:rPr>
      </w:pPr>
    </w:p>
    <w:p>
      <w:pPr>
        <w:ind w:left="500"/>
        <w:spacing w:after="0"/>
        <w:rPr>
          <w:sz w:val="20"/>
          <w:szCs w:val="20"/>
          <w:color w:val="auto"/>
        </w:rPr>
      </w:pPr>
      <w:r>
        <w:rPr>
          <w:rFonts w:ascii="Arial" w:cs="Arial" w:eastAsia="Arial" w:hAnsi="Arial"/>
          <w:sz w:val="14"/>
          <w:szCs w:val="14"/>
          <w:color w:val="auto"/>
        </w:rPr>
        <w:t>This is an initial public offering of shares of Class A common stock of Fluence Energy, Inc. We are selling 31,000,000 shares of Class A common stock.</w:t>
      </w:r>
    </w:p>
    <w:p>
      <w:pPr>
        <w:spacing w:after="0" w:line="42" w:lineRule="exact"/>
        <w:rPr>
          <w:sz w:val="24"/>
          <w:szCs w:val="24"/>
          <w:color w:val="auto"/>
        </w:rPr>
      </w:pPr>
    </w:p>
    <w:p>
      <w:pPr>
        <w:ind w:left="500" w:right="220"/>
        <w:spacing w:after="0" w:line="253" w:lineRule="auto"/>
        <w:rPr>
          <w:sz w:val="20"/>
          <w:szCs w:val="20"/>
          <w:color w:val="auto"/>
        </w:rPr>
      </w:pPr>
      <w:r>
        <w:rPr>
          <w:rFonts w:ascii="Arial" w:cs="Arial" w:eastAsia="Arial" w:hAnsi="Arial"/>
          <w:sz w:val="14"/>
          <w:szCs w:val="14"/>
          <w:color w:val="auto"/>
        </w:rPr>
        <w:t>Prior to this offering, there has been no public market for the Class A common stock. Our Class A common stock has been approved for listing on the Nasdaq Global Select Market under the symbol “FLNC.”</w:t>
      </w:r>
    </w:p>
    <w:p>
      <w:pPr>
        <w:spacing w:after="0" w:line="12" w:lineRule="exact"/>
        <w:rPr>
          <w:sz w:val="24"/>
          <w:szCs w:val="24"/>
          <w:color w:val="auto"/>
        </w:rPr>
      </w:pPr>
    </w:p>
    <w:p>
      <w:pPr>
        <w:ind w:left="500" w:right="60"/>
        <w:spacing w:after="0" w:line="229" w:lineRule="auto"/>
        <w:rPr>
          <w:sz w:val="20"/>
          <w:szCs w:val="20"/>
          <w:color w:val="auto"/>
        </w:rPr>
      </w:pPr>
      <w:r>
        <w:rPr>
          <w:rFonts w:ascii="Arial" w:cs="Arial" w:eastAsia="Arial" w:hAnsi="Arial"/>
          <w:sz w:val="14"/>
          <w:szCs w:val="14"/>
          <w:color w:val="auto"/>
        </w:rPr>
        <w:t>We will have three classes of common stock after this offering: Class A common stock, Class B -1 common stock and Class B-2 common stock. Each share of our Class A common stock entitles its holder to one vote per share, each share of our Class B-1 common stock entitles its holder to five votes per share and each share of our Class B-2 common stock entitles its holder to one vote per share on all matters presented to our stockholders generally. Immediately following the consummation of this offering, all of the outstanding shares of our Class B-1 common stock will be held by the Founders (as defined below), which will represent in the aggregate approximately 92.2% of the voting power of our outstanding common stock after this offering (or approximately 91.5% if the underwriters exercise in full their option to purchase additional shares).</w:t>
      </w:r>
    </w:p>
    <w:p>
      <w:pPr>
        <w:spacing w:after="0" w:line="23" w:lineRule="exact"/>
        <w:rPr>
          <w:sz w:val="24"/>
          <w:szCs w:val="24"/>
          <w:color w:val="auto"/>
        </w:rPr>
      </w:pPr>
    </w:p>
    <w:p>
      <w:pPr>
        <w:ind w:left="500" w:right="20"/>
        <w:spacing w:after="0" w:line="226" w:lineRule="auto"/>
        <w:rPr>
          <w:sz w:val="20"/>
          <w:szCs w:val="20"/>
          <w:color w:val="auto"/>
        </w:rPr>
      </w:pPr>
      <w:r>
        <w:rPr>
          <w:rFonts w:ascii="Arial" w:cs="Arial" w:eastAsia="Arial" w:hAnsi="Arial"/>
          <w:sz w:val="14"/>
          <w:szCs w:val="14"/>
          <w:color w:val="auto"/>
        </w:rPr>
        <w:t>This offering is being conducted through what is commonly referred to as an “Up- 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redeem their pass - through interests for shares of Class A common stock or cash from the sale of newly issued shares of Class A common stock. We will be a holding company, and upon consummation of this offering and the application of the proceeds therefrom, our principal asset will consist of LLC Interests (as defined below) we purchase directly from Fluence Energy, LLC with the net proceeds from this offering and acquire indirectly from the Blocker Shareholder (as defined below), collectively representing an aggregate 29.7% economic interest in Fluence Energy, LLC. Of the remaining 70.3% economic interest in Fluence Energy, LLC, 70.3% will be owned by the Founders through their ownership of LLC Interests. Fluence Energy, LLC intends to use the net proceeds from the sale of LLC Interests to Fluence Energy, Inc. to repay all outstanding borrowings under our existing Line of Credit and the Promissory Notes (as defined below), and the remainder for working capital and other general corporate purposes.</w:t>
      </w:r>
    </w:p>
    <w:p>
      <w:pPr>
        <w:spacing w:after="0" w:line="23" w:lineRule="exact"/>
        <w:rPr>
          <w:sz w:val="24"/>
          <w:szCs w:val="24"/>
          <w:color w:val="auto"/>
        </w:rPr>
      </w:pPr>
    </w:p>
    <w:p>
      <w:pPr>
        <w:ind w:left="500" w:right="320"/>
        <w:spacing w:after="0" w:line="253" w:lineRule="auto"/>
        <w:rPr>
          <w:sz w:val="20"/>
          <w:szCs w:val="20"/>
          <w:color w:val="auto"/>
        </w:rPr>
      </w:pPr>
      <w:r>
        <w:rPr>
          <w:rFonts w:ascii="Arial" w:cs="Arial" w:eastAsia="Arial" w:hAnsi="Arial"/>
          <w:sz w:val="14"/>
          <w:szCs w:val="14"/>
          <w:color w:val="auto"/>
        </w:rPr>
        <w:t>Fluence Energy, Inc. will be the sole managing member of Fluence Energy, LLC. We will operate and control all the business and affairs of Fluence Energy, LLC and its direct and indirect subsidiaries and, through Fluence Energy, LLC and its direct and indirect subsidiaries, conduct our business.</w:t>
      </w:r>
    </w:p>
    <w:p>
      <w:pPr>
        <w:spacing w:after="0" w:line="12" w:lineRule="exact"/>
        <w:rPr>
          <w:sz w:val="24"/>
          <w:szCs w:val="24"/>
          <w:color w:val="auto"/>
        </w:rPr>
      </w:pPr>
    </w:p>
    <w:p>
      <w:pPr>
        <w:ind w:left="500" w:right="260"/>
        <w:spacing w:after="0" w:line="253" w:lineRule="auto"/>
        <w:rPr>
          <w:sz w:val="20"/>
          <w:szCs w:val="20"/>
          <w:color w:val="auto"/>
        </w:rPr>
      </w:pPr>
      <w:r>
        <w:rPr>
          <w:rFonts w:ascii="Arial" w:cs="Arial" w:eastAsia="Arial" w:hAnsi="Arial"/>
          <w:sz w:val="14"/>
          <w:szCs w:val="14"/>
          <w:color w:val="auto"/>
        </w:rPr>
        <w:t>Following this offering, we will be a “controlled company” within the meaning of the Nasdaq rules. See “Our Organizational Structure” and “Management— Controlled Company Exception.”</w:t>
      </w:r>
    </w:p>
    <w:p>
      <w:pPr>
        <w:spacing w:after="0" w:line="12" w:lineRule="exact"/>
        <w:rPr>
          <w:sz w:val="24"/>
          <w:szCs w:val="24"/>
          <w:color w:val="auto"/>
        </w:rPr>
      </w:pPr>
    </w:p>
    <w:p>
      <w:pPr>
        <w:jc w:val="both"/>
        <w:ind w:left="500" w:right="500"/>
        <w:spacing w:after="0" w:line="238"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and will be subject to reduced disclosure and public reporting requirements. This prospectus complies with the requirements that apply to an issuer that is an emerging growth company.</w:t>
      </w:r>
    </w:p>
    <w:p>
      <w:pPr>
        <w:spacing w:after="0" w:line="7" w:lineRule="exact"/>
        <w:rPr>
          <w:sz w:val="24"/>
          <w:szCs w:val="24"/>
          <w:color w:val="auto"/>
        </w:rPr>
      </w:pPr>
    </w:p>
    <w:p>
      <w:pPr>
        <w:ind w:left="500" w:right="3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“Risk Factors” beginning on page </w:t>
      </w:r>
      <w:hyperlink w:anchor="page30">
        <w:r>
          <w:rPr>
            <w:rFonts w:ascii="Arial" w:cs="Arial" w:eastAsia="Arial" w:hAnsi="Arial"/>
            <w:sz w:val="18"/>
            <w:szCs w:val="18"/>
            <w:b w:val="1"/>
            <w:bCs w:val="1"/>
            <w:u w:val="single" w:color="auto"/>
            <w:color w:val="0000EE"/>
          </w:rPr>
          <w:t>25</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to read about factors you should consider before buying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46355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8" w:lineRule="exact"/>
        <w:rPr>
          <w:sz w:val="24"/>
          <w:szCs w:val="24"/>
          <w:color w:val="auto"/>
        </w:rPr>
      </w:pPr>
    </w:p>
    <w:p>
      <w:pPr>
        <w:ind w:left="500" w:right="380"/>
        <w:spacing w:after="0" w:line="258"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52070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79" w:lineRule="exact"/>
        <w:rPr>
          <w:sz w:val="24"/>
          <w:szCs w:val="24"/>
          <w:color w:val="auto"/>
        </w:rPr>
      </w:pPr>
    </w:p>
    <w:tbl>
      <w:tblPr>
        <w:tblLayout w:type="fixed"/>
        <w:tblInd w:w="120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42"/>
        </w:trPr>
        <w:tc>
          <w:tcPr>
            <w:tcW w:w="66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Initial public offering price</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85"/>
              </w:rPr>
              <w:t>28.00</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868,000,000</w:t>
            </w:r>
          </w:p>
        </w:tc>
        <w:tc>
          <w:tcPr>
            <w:tcW w:w="20" w:type="dxa"/>
            <w:vAlign w:val="bottom"/>
          </w:tcPr>
          <w:p>
            <w:pPr>
              <w:spacing w:after="0"/>
              <w:rPr>
                <w:sz w:val="12"/>
                <w:szCs w:val="12"/>
                <w:color w:val="auto"/>
              </w:rPr>
            </w:pPr>
          </w:p>
        </w:tc>
      </w:tr>
      <w:tr>
        <w:trPr>
          <w:trHeight w:val="175"/>
        </w:trPr>
        <w:tc>
          <w:tcPr>
            <w:tcW w:w="6640" w:type="dxa"/>
            <w:vAlign w:val="bottom"/>
          </w:tcPr>
          <w:p>
            <w:pPr>
              <w:ind w:left="20"/>
              <w:spacing w:after="0" w:line="176"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17"/>
                <w:szCs w:val="17"/>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9"/>
              </w:rPr>
              <w:t>47,740,000</w:t>
            </w:r>
          </w:p>
        </w:tc>
      </w:tr>
      <w:tr>
        <w:trPr>
          <w:trHeight w:val="175"/>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before expenses, to Fluence Energy, Inc.</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5"/>
              </w:rPr>
              <w:t>26.46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820,260,000</w:t>
            </w:r>
          </w:p>
        </w:tc>
        <w:tc>
          <w:tcPr>
            <w:tcW w:w="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-325120</wp:posOffset>
            </wp:positionV>
            <wp:extent cx="4749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85725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93" w:lineRule="exact"/>
        <w:rPr>
          <w:sz w:val="24"/>
          <w:szCs w:val="24"/>
          <w:color w:val="auto"/>
        </w:rPr>
      </w:pPr>
    </w:p>
    <w:p>
      <w:pPr>
        <w:ind w:left="860" w:hanging="368"/>
        <w:spacing w:after="0"/>
        <w:tabs>
          <w:tab w:leader="none" w:pos="86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We have agreed to reimburse the underwriters for certain expenses in connection with this offering. See “Underwriting.”</w:t>
      </w:r>
    </w:p>
    <w:p>
      <w:pPr>
        <w:spacing w:after="0" w:line="59" w:lineRule="exact"/>
        <w:rPr>
          <w:sz w:val="24"/>
          <w:szCs w:val="24"/>
          <w:color w:val="auto"/>
        </w:rPr>
      </w:pPr>
    </w:p>
    <w:p>
      <w:pPr>
        <w:ind w:left="500" w:right="20"/>
        <w:spacing w:after="0" w:line="232" w:lineRule="auto"/>
        <w:rPr>
          <w:sz w:val="20"/>
          <w:szCs w:val="20"/>
          <w:color w:val="auto"/>
        </w:rPr>
      </w:pPr>
      <w:r>
        <w:rPr>
          <w:rFonts w:ascii="Arial" w:cs="Arial" w:eastAsia="Arial" w:hAnsi="Arial"/>
          <w:sz w:val="14"/>
          <w:szCs w:val="14"/>
          <w:color w:val="auto"/>
        </w:rPr>
        <w:t>At our request, the underwriters have reserved for sale at the initial public offering price per share up to 5% of the shares of Class A common stock offered by this prospectus for sale at the initial public offering price through a directed share program to certain individuals identified by management. See the section titled “Underwriting—Directed Share Program.”</w:t>
      </w:r>
    </w:p>
    <w:p>
      <w:pPr>
        <w:spacing w:after="0" w:line="21" w:lineRule="exact"/>
        <w:rPr>
          <w:sz w:val="24"/>
          <w:szCs w:val="24"/>
          <w:color w:val="auto"/>
        </w:rPr>
      </w:pPr>
    </w:p>
    <w:p>
      <w:pPr>
        <w:ind w:left="500" w:right="80"/>
        <w:spacing w:after="0" w:line="231" w:lineRule="auto"/>
        <w:rPr>
          <w:sz w:val="20"/>
          <w:szCs w:val="20"/>
          <w:color w:val="auto"/>
        </w:rPr>
      </w:pPr>
      <w:r>
        <w:rPr>
          <w:rFonts w:ascii="Arial" w:cs="Arial" w:eastAsia="Arial" w:hAnsi="Arial"/>
          <w:sz w:val="14"/>
          <w:szCs w:val="14"/>
          <w:color w:val="auto"/>
        </w:rPr>
        <w:t>BNP Paribas Energy Transition Fund (“BNPP ET”) has indicated an interest in purchasing an aggregate of up to a maximum of $ 70 million in shares of Class A common stock in this offering at the initial public offering price. Because this indication of interest is not a binding agreement or a commitment to purchase, BNPP ET could determine to purchase more, fewer or no shares of Class A common stock in this offering, or the underwriters could determine to sell more, fewer or no shares to BNPP ET. The underwriters will receive the same discount on any of the shares of Class A common stock purchased by BNPP ET as they will on any other shares of Class A common stock sold to the public in this offering.</w:t>
      </w:r>
    </w:p>
    <w:p>
      <w:pPr>
        <w:spacing w:after="0" w:line="22" w:lineRule="exact"/>
        <w:rPr>
          <w:sz w:val="24"/>
          <w:szCs w:val="24"/>
          <w:color w:val="auto"/>
        </w:rPr>
      </w:pPr>
    </w:p>
    <w:p>
      <w:pPr>
        <w:ind w:left="500" w:right="540"/>
        <w:spacing w:after="0" w:line="253" w:lineRule="auto"/>
        <w:rPr>
          <w:sz w:val="20"/>
          <w:szCs w:val="20"/>
          <w:color w:val="auto"/>
        </w:rPr>
      </w:pPr>
      <w:r>
        <w:rPr>
          <w:rFonts w:ascii="Arial" w:cs="Arial" w:eastAsia="Arial" w:hAnsi="Arial"/>
          <w:sz w:val="14"/>
          <w:szCs w:val="14"/>
          <w:color w:val="auto"/>
        </w:rPr>
        <w:t>The underwriters have the option to purchase up to an additional 4,650,000 shares of Class A common stock from us at the initial price to public less the underwriting discount within 30 days of the date of this prospectus.</w:t>
      </w:r>
    </w:p>
    <w:p>
      <w:pPr>
        <w:spacing w:after="0" w:line="12" w:lineRule="exact"/>
        <w:rPr>
          <w:sz w:val="24"/>
          <w:szCs w:val="24"/>
          <w:color w:val="auto"/>
        </w:rPr>
      </w:pPr>
    </w:p>
    <w:p>
      <w:pPr>
        <w:ind w:left="500"/>
        <w:spacing w:after="0"/>
        <w:rPr>
          <w:sz w:val="20"/>
          <w:szCs w:val="20"/>
          <w:color w:val="auto"/>
        </w:rPr>
      </w:pPr>
      <w:r>
        <w:rPr>
          <w:rFonts w:ascii="Arial" w:cs="Arial" w:eastAsia="Arial" w:hAnsi="Arial"/>
          <w:sz w:val="14"/>
          <w:szCs w:val="14"/>
          <w:color w:val="auto"/>
        </w:rPr>
        <w:t>The underwriters expect to deliver the shares of Class A common stock against payment in New York, New York on November 1, 2021.</w:t>
      </w:r>
    </w:p>
    <w:p>
      <w:pPr>
        <w:spacing w:after="0" w:line="69" w:lineRule="exact"/>
        <w:rPr>
          <w:sz w:val="24"/>
          <w:szCs w:val="24"/>
          <w:color w:val="auto"/>
        </w:rPr>
      </w:pPr>
    </w:p>
    <w:tbl>
      <w:tblPr>
        <w:tblLayout w:type="fixed"/>
        <w:tblInd w:w="500" w:type="dxa"/>
        <w:tblCellMar>
          <w:top w:w="0" w:type="dxa"/>
          <w:left w:w="0" w:type="dxa"/>
          <w:bottom w:w="0" w:type="dxa"/>
          <w:right w:w="0" w:type="dxa"/>
        </w:tblCellMar>
      </w:tblPr>
      <w:tr>
        <w:trPr>
          <w:trHeight w:val="182"/>
        </w:trPr>
        <w:tc>
          <w:tcPr>
            <w:tcW w:w="2440" w:type="dxa"/>
            <w:vAlign w:val="bottom"/>
            <w:vMerge w:val="restart"/>
          </w:tcPr>
          <w:p>
            <w:pPr>
              <w:spacing w:after="0"/>
              <w:rPr>
                <w:sz w:val="20"/>
                <w:szCs w:val="20"/>
                <w:color w:val="auto"/>
              </w:rPr>
            </w:pPr>
            <w:r>
              <w:rPr>
                <w:rFonts w:ascii="Arial" w:cs="Arial" w:eastAsia="Arial" w:hAnsi="Arial"/>
                <w:sz w:val="22"/>
                <w:szCs w:val="22"/>
                <w:b w:val="1"/>
                <w:bCs w:val="1"/>
                <w:color w:val="auto"/>
              </w:rPr>
              <w:t>J.P. Morgan</w:t>
            </w:r>
          </w:p>
        </w:tc>
        <w:tc>
          <w:tcPr>
            <w:tcW w:w="4840" w:type="dxa"/>
            <w:vAlign w:val="bottom"/>
          </w:tcPr>
          <w:p>
            <w:pPr>
              <w:jc w:val="center"/>
              <w:spacing w:after="0"/>
              <w:rPr>
                <w:sz w:val="20"/>
                <w:szCs w:val="20"/>
                <w:color w:val="auto"/>
              </w:rPr>
            </w:pPr>
            <w:r>
              <w:rPr>
                <w:rFonts w:ascii="Arial" w:cs="Arial" w:eastAsia="Arial" w:hAnsi="Arial"/>
                <w:sz w:val="14"/>
                <w:szCs w:val="14"/>
                <w:i w:val="1"/>
                <w:iCs w:val="1"/>
                <w:color w:val="auto"/>
                <w:w w:val="99"/>
              </w:rPr>
              <w:t>(Lead bookrunners listed in alphabetical order by row)</w:t>
            </w:r>
          </w:p>
        </w:tc>
        <w:tc>
          <w:tcPr>
            <w:tcW w:w="24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Morgan Stanley</w:t>
            </w:r>
          </w:p>
        </w:tc>
        <w:tc>
          <w:tcPr>
            <w:tcW w:w="0" w:type="dxa"/>
            <w:vAlign w:val="bottom"/>
          </w:tcPr>
          <w:p>
            <w:pPr>
              <w:spacing w:after="0"/>
              <w:rPr>
                <w:sz w:val="1"/>
                <w:szCs w:val="1"/>
                <w:color w:val="auto"/>
              </w:rPr>
            </w:pPr>
          </w:p>
        </w:tc>
      </w:tr>
      <w:tr>
        <w:trPr>
          <w:trHeight w:val="241"/>
        </w:trPr>
        <w:tc>
          <w:tcPr>
            <w:tcW w:w="2440" w:type="dxa"/>
            <w:vAlign w:val="bottom"/>
            <w:vMerge w:val="continue"/>
          </w:tcPr>
          <w:p>
            <w:pPr>
              <w:spacing w:after="0"/>
              <w:rPr>
                <w:sz w:val="20"/>
                <w:szCs w:val="20"/>
                <w:color w:val="auto"/>
              </w:rPr>
            </w:pPr>
          </w:p>
        </w:tc>
        <w:tc>
          <w:tcPr>
            <w:tcW w:w="4840" w:type="dxa"/>
            <w:vAlign w:val="bottom"/>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44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48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2"/>
                <w:szCs w:val="22"/>
                <w:b w:val="1"/>
                <w:bCs w:val="1"/>
                <w:color w:val="auto"/>
              </w:rPr>
              <w:t>BofA Securities</w:t>
            </w:r>
          </w:p>
        </w:tc>
        <w:tc>
          <w:tcPr>
            <w:tcW w:w="0" w:type="dxa"/>
            <w:vAlign w:val="bottom"/>
          </w:tcPr>
          <w:p>
            <w:pPr>
              <w:spacing w:after="0"/>
              <w:rPr>
                <w:sz w:val="1"/>
                <w:szCs w:val="1"/>
                <w:color w:val="auto"/>
              </w:rPr>
            </w:pPr>
          </w:p>
        </w:tc>
      </w:tr>
      <w:tr>
        <w:trPr>
          <w:trHeight w:val="309"/>
        </w:trPr>
        <w:tc>
          <w:tcPr>
            <w:tcW w:w="2440" w:type="dxa"/>
            <w:vAlign w:val="bottom"/>
          </w:tcPr>
          <w:p>
            <w:pPr>
              <w:spacing w:after="0"/>
              <w:rPr>
                <w:sz w:val="20"/>
                <w:szCs w:val="20"/>
                <w:color w:val="auto"/>
              </w:rPr>
            </w:pPr>
            <w:r>
              <w:rPr>
                <w:rFonts w:ascii="Arial" w:cs="Arial" w:eastAsia="Arial" w:hAnsi="Arial"/>
                <w:sz w:val="18"/>
                <w:szCs w:val="18"/>
                <w:b w:val="1"/>
                <w:bCs w:val="1"/>
                <w:color w:val="auto"/>
              </w:rPr>
              <w:t>Citigroup</w:t>
            </w:r>
          </w:p>
        </w:tc>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3"/>
              </w:rPr>
              <w:t>Credit Suisse</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UBS Investment Bank</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Evercore ISI</w:t>
            </w:r>
          </w:p>
        </w:tc>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4"/>
              </w:rPr>
              <w:t>HSBC</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RBC Capital Markets</w:t>
            </w:r>
          </w:p>
        </w:tc>
        <w:tc>
          <w:tcPr>
            <w:tcW w:w="0" w:type="dxa"/>
            <w:vAlign w:val="bottom"/>
          </w:tcPr>
          <w:p>
            <w:pPr>
              <w:spacing w:after="0"/>
              <w:rPr>
                <w:sz w:val="1"/>
                <w:szCs w:val="1"/>
                <w:color w:val="auto"/>
              </w:rPr>
            </w:pPr>
          </w:p>
        </w:tc>
      </w:tr>
      <w:tr>
        <w:trPr>
          <w:trHeight w:val="297"/>
        </w:trPr>
        <w:tc>
          <w:tcPr>
            <w:tcW w:w="244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Arial" w:cs="Arial" w:eastAsia="Arial" w:hAnsi="Arial"/>
                <w:sz w:val="14"/>
                <w:szCs w:val="14"/>
                <w:i w:val="1"/>
                <w:iCs w:val="1"/>
                <w:color w:val="auto"/>
                <w:w w:val="99"/>
              </w:rPr>
              <w:t>Co-Managers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20"/>
                <w:szCs w:val="20"/>
                <w:color w:val="auto"/>
              </w:rPr>
            </w:pPr>
            <w:r>
              <w:rPr>
                <w:rFonts w:ascii="Arial" w:cs="Arial" w:eastAsia="Arial" w:hAnsi="Arial"/>
                <w:sz w:val="16"/>
                <w:szCs w:val="16"/>
                <w:b w:val="1"/>
                <w:bCs w:val="1"/>
                <w:color w:val="auto"/>
              </w:rPr>
              <w:t>Nomura</w:t>
            </w: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w w:val="92"/>
              </w:rPr>
              <w:t>Baird</w:t>
            </w: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Raymond James</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Arial" w:cs="Arial" w:eastAsia="Arial" w:hAnsi="Arial"/>
                <w:sz w:val="16"/>
                <w:szCs w:val="16"/>
                <w:b w:val="1"/>
                <w:bCs w:val="1"/>
                <w:color w:val="auto"/>
              </w:rPr>
              <w:t>Seaport Global Securities</w:t>
            </w: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w w:val="88"/>
              </w:rPr>
              <w:t>Penserra Securities LLC</w:t>
            </w: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Siebert Williams Shank</w:t>
            </w:r>
          </w:p>
        </w:tc>
        <w:tc>
          <w:tcPr>
            <w:tcW w:w="0" w:type="dxa"/>
            <w:vAlign w:val="bottom"/>
          </w:tcPr>
          <w:p>
            <w:pPr>
              <w:spacing w:after="0"/>
              <w:rPr>
                <w:sz w:val="1"/>
                <w:szCs w:val="1"/>
                <w:color w:val="auto"/>
              </w:rPr>
            </w:pPr>
          </w:p>
        </w:tc>
      </w:tr>
    </w:tbl>
    <w:p>
      <w:pPr>
        <w:spacing w:after="0" w:line="186" w:lineRule="exact"/>
        <w:rPr>
          <w:sz w:val="24"/>
          <w:szCs w:val="24"/>
          <w:color w:val="auto"/>
        </w:rPr>
      </w:pPr>
    </w:p>
    <w:p>
      <w:pPr>
        <w:sectPr>
          <w:pgSz w:w="11900" w:h="16838" w:orient="portrait"/>
          <w:cols w:equalWidth="0" w:num="1">
            <w:col w:w="10240"/>
          </w:cols>
          <w:pgMar w:left="580" w:top="239" w:right="1079" w:bottom="1440" w:gutter="0" w:footer="0" w:header="0"/>
        </w:sectPr>
      </w:pPr>
    </w:p>
    <w:p>
      <w:pPr>
        <w:ind w:left="4340"/>
        <w:spacing w:after="0"/>
        <w:rPr>
          <w:sz w:val="20"/>
          <w:szCs w:val="20"/>
          <w:color w:val="auto"/>
        </w:rPr>
      </w:pPr>
      <w:r>
        <w:rPr>
          <w:rFonts w:ascii="Arial" w:cs="Arial" w:eastAsia="Arial" w:hAnsi="Arial"/>
          <w:sz w:val="12"/>
          <w:szCs w:val="12"/>
          <w:b w:val="1"/>
          <w:bCs w:val="1"/>
          <w:color w:val="auto"/>
        </w:rPr>
        <w:t>Prospectus dated October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353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835342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6"/>
          </w:tcPr>
          <w:p>
            <w:pPr>
              <w:ind w:left="18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2"/>
        </w:trPr>
        <w:tc>
          <w:tcPr>
            <w:tcW w:w="6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02"/>
        </w:trPr>
        <w:tc>
          <w:tcPr>
            <w:tcW w:w="158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Basis of Presentation</w:t>
              </w:r>
            </w:hyperlink>
          </w:p>
        </w:tc>
        <w:tc>
          <w:tcPr>
            <w:tcW w:w="6300" w:type="dxa"/>
            <w:vAlign w:val="bottom"/>
            <w:tcBorders>
              <w:left w:val="single" w:sz="8" w:color="CCEEFF"/>
            </w:tcBorders>
            <w:gridSpan w:val="12"/>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2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03"/>
        </w:trPr>
        <w:tc>
          <w:tcPr>
            <w:tcW w:w="1580" w:type="dxa"/>
            <w:vAlign w:val="bottom"/>
            <w:gridSpan w:val="6"/>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Trademarks</w:t>
              </w:r>
            </w:hyperlink>
          </w:p>
        </w:tc>
        <w:tc>
          <w:tcPr>
            <w:tcW w:w="630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gridSpan w:val="2"/>
          </w:tcPr>
          <w:p>
            <w:pPr>
              <w:jc w:val="right"/>
              <w:ind w:right="20"/>
              <w:spacing w:after="0"/>
              <w:rPr>
                <w:rFonts w:ascii="Arial" w:cs="Arial" w:eastAsia="Arial" w:hAnsi="Arial"/>
                <w:sz w:val="17"/>
                <w:szCs w:val="17"/>
                <w:color w:val="0000EE"/>
                <w:w w:val="70"/>
              </w:rPr>
            </w:pPr>
            <w:hyperlink w:anchor="page4">
              <w:r>
                <w:rPr>
                  <w:rFonts w:ascii="Arial" w:cs="Arial" w:eastAsia="Arial" w:hAnsi="Arial"/>
                  <w:sz w:val="17"/>
                  <w:szCs w:val="17"/>
                  <w:color w:val="0000EE"/>
                  <w:w w:val="70"/>
                </w:rPr>
                <w:t>iii</w:t>
              </w:r>
            </w:hyperlink>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94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Market and Industry Data</w:t>
              </w:r>
            </w:hyperlink>
          </w:p>
        </w:tc>
        <w:tc>
          <w:tcPr>
            <w:tcW w:w="5940" w:type="dxa"/>
            <w:vAlign w:val="bottom"/>
            <w:tcBorders>
              <w:bottom w:val="single" w:sz="8" w:color="CCEEFF"/>
            </w:tcBorders>
            <w:gridSpan w:val="9"/>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5"/>
                <w:szCs w:val="15"/>
                <w:color w:val="0000EE"/>
                <w:w w:val="73"/>
              </w:rPr>
            </w:pPr>
            <w:hyperlink w:anchor="page5">
              <w:r>
                <w:rPr>
                  <w:rFonts w:ascii="Arial" w:cs="Arial" w:eastAsia="Arial" w:hAnsi="Arial"/>
                  <w:sz w:val="15"/>
                  <w:szCs w:val="15"/>
                  <w:color w:val="0000EE"/>
                  <w:w w:val="73"/>
                </w:rPr>
                <w:t>iv</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16"/>
        </w:trPr>
        <w:tc>
          <w:tcPr>
            <w:tcW w:w="78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30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580" w:type="dxa"/>
            <w:vAlign w:val="bottom"/>
            <w:gridSpan w:val="6"/>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300" w:type="dxa"/>
            <w:vAlign w:val="bottom"/>
            <w:tcBorders>
              <w:left w:val="single" w:sz="8" w:color="CCEEFF"/>
            </w:tcBorders>
            <w:gridSpan w:val="12"/>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25</w:t>
              </w:r>
            </w:hyperlink>
          </w:p>
        </w:tc>
        <w:tc>
          <w:tcPr>
            <w:tcW w:w="20" w:type="dxa"/>
            <w:vAlign w:val="bottom"/>
            <w:shd w:val="clear" w:color="auto" w:fill="CCEEFF"/>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2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16"/>
        </w:trPr>
        <w:tc>
          <w:tcPr>
            <w:tcW w:w="4340" w:type="dxa"/>
            <w:vAlign w:val="bottom"/>
            <w:gridSpan w:val="15"/>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Cautionary Note Regarding Forward-Looking Statements</w:t>
              </w:r>
            </w:hyperlink>
          </w:p>
        </w:tc>
        <w:tc>
          <w:tcPr>
            <w:tcW w:w="3540" w:type="dxa"/>
            <w:vAlign w:val="bottom"/>
            <w:gridSpan w:val="3"/>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c>
          <w:tcPr>
            <w:tcW w:w="20" w:type="dxa"/>
            <w:vAlign w:val="bottom"/>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200" w:type="dxa"/>
            <w:vAlign w:val="bottom"/>
            <w:tcBorders>
              <w:right w:val="single" w:sz="8" w:color="CCEEFF"/>
            </w:tcBorders>
            <w:gridSpan w:val="10"/>
            <w:shd w:val="clear" w:color="auto" w:fill="CCEEFF"/>
          </w:tcPr>
          <w:p>
            <w:pPr>
              <w:spacing w:after="0"/>
              <w:rPr>
                <w:rFonts w:ascii="Arial" w:cs="Arial" w:eastAsia="Arial" w:hAnsi="Arial"/>
                <w:sz w:val="18"/>
                <w:szCs w:val="18"/>
                <w:color w:val="0000EE"/>
                <w:w w:val="94"/>
              </w:rPr>
            </w:pPr>
            <w:hyperlink w:anchor="page73">
              <w:r>
                <w:rPr>
                  <w:rFonts w:ascii="Arial" w:cs="Arial" w:eastAsia="Arial" w:hAnsi="Arial"/>
                  <w:sz w:val="18"/>
                  <w:szCs w:val="18"/>
                  <w:color w:val="0000EE"/>
                  <w:w w:val="94"/>
                </w:rPr>
                <w:t>Our Organizational Structure</w:t>
              </w:r>
            </w:hyperlink>
          </w:p>
        </w:tc>
        <w:tc>
          <w:tcPr>
            <w:tcW w:w="2140" w:type="dxa"/>
            <w:vAlign w:val="bottom"/>
            <w:gridSpan w:val="5"/>
            <w:shd w:val="clear" w:color="auto" w:fill="CCEEFF"/>
          </w:tcPr>
          <w:p>
            <w:pPr>
              <w:spacing w:after="0"/>
              <w:rPr>
                <w:sz w:val="18"/>
                <w:szCs w:val="18"/>
                <w:color w:val="auto"/>
              </w:rPr>
            </w:pPr>
          </w:p>
        </w:tc>
        <w:tc>
          <w:tcPr>
            <w:tcW w:w="3540" w:type="dxa"/>
            <w:vAlign w:val="bottom"/>
            <w:tcBorders>
              <w:left w:val="single" w:sz="8" w:color="CCEEFF"/>
            </w:tcBorders>
            <w:gridSpan w:val="3"/>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c>
          <w:tcPr>
            <w:tcW w:w="20" w:type="dxa"/>
            <w:vAlign w:val="bottom"/>
            <w:shd w:val="clear" w:color="auto" w:fill="CCEEFF"/>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2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16"/>
        </w:trPr>
        <w:tc>
          <w:tcPr>
            <w:tcW w:w="1220" w:type="dxa"/>
            <w:vAlign w:val="bottom"/>
            <w:gridSpan w:val="5"/>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Use of Proceeds</w:t>
              </w:r>
            </w:hyperlink>
          </w:p>
        </w:tc>
        <w:tc>
          <w:tcPr>
            <w:tcW w:w="980" w:type="dxa"/>
            <w:vAlign w:val="bottom"/>
            <w:gridSpan w:val="5"/>
          </w:tcPr>
          <w:p>
            <w:pPr>
              <w:spacing w:after="0"/>
              <w:rPr>
                <w:sz w:val="18"/>
                <w:szCs w:val="18"/>
                <w:color w:val="auto"/>
              </w:rPr>
            </w:pPr>
          </w:p>
        </w:tc>
        <w:tc>
          <w:tcPr>
            <w:tcW w:w="5680" w:type="dxa"/>
            <w:vAlign w:val="bottom"/>
            <w:gridSpan w:val="8"/>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72</w:t>
              </w:r>
            </w:hyperlink>
          </w:p>
        </w:tc>
        <w:tc>
          <w:tcPr>
            <w:tcW w:w="20" w:type="dxa"/>
            <w:vAlign w:val="bottom"/>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060" w:type="dxa"/>
            <w:vAlign w:val="bottom"/>
            <w:tcBorders>
              <w:right w:val="single" w:sz="8" w:color="CCEEFF"/>
            </w:tcBorders>
            <w:gridSpan w:val="4"/>
            <w:shd w:val="clear" w:color="auto" w:fill="CCEEFF"/>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Capitalization</w:t>
              </w:r>
            </w:hyperlink>
          </w:p>
        </w:tc>
        <w:tc>
          <w:tcPr>
            <w:tcW w:w="160" w:type="dxa"/>
            <w:vAlign w:val="bottom"/>
            <w:shd w:val="clear" w:color="auto" w:fill="CCEEFF"/>
          </w:tcPr>
          <w:p>
            <w:pPr>
              <w:spacing w:after="0"/>
              <w:rPr>
                <w:sz w:val="18"/>
                <w:szCs w:val="18"/>
                <w:color w:val="auto"/>
              </w:rPr>
            </w:pPr>
          </w:p>
        </w:tc>
        <w:tc>
          <w:tcPr>
            <w:tcW w:w="6660" w:type="dxa"/>
            <w:vAlign w:val="bottom"/>
            <w:gridSpan w:val="13"/>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c>
          <w:tcPr>
            <w:tcW w:w="20" w:type="dxa"/>
            <w:vAlign w:val="bottom"/>
            <w:shd w:val="clear" w:color="auto" w:fill="CCEEFF"/>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2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16"/>
        </w:trPr>
        <w:tc>
          <w:tcPr>
            <w:tcW w:w="7880" w:type="dxa"/>
            <w:vAlign w:val="bottom"/>
            <w:gridSpan w:val="1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Dividend Policy</w:t>
              </w:r>
            </w:hyperlink>
          </w:p>
        </w:tc>
        <w:tc>
          <w:tcPr>
            <w:tcW w:w="30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74</w:t>
              </w:r>
            </w:hyperlink>
          </w:p>
        </w:tc>
        <w:tc>
          <w:tcPr>
            <w:tcW w:w="20" w:type="dxa"/>
            <w:vAlign w:val="bottom"/>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220" w:type="dxa"/>
            <w:vAlign w:val="bottom"/>
            <w:gridSpan w:val="5"/>
            <w:shd w:val="clear" w:color="auto" w:fill="CCEEFF"/>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Dilution</w:t>
              </w:r>
            </w:hyperlink>
          </w:p>
        </w:tc>
        <w:tc>
          <w:tcPr>
            <w:tcW w:w="6660" w:type="dxa"/>
            <w:vAlign w:val="bottom"/>
            <w:gridSpan w:val="13"/>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75</w:t>
              </w:r>
            </w:hyperlink>
          </w:p>
        </w:tc>
        <w:tc>
          <w:tcPr>
            <w:tcW w:w="20" w:type="dxa"/>
            <w:vAlign w:val="bottom"/>
            <w:shd w:val="clear" w:color="auto" w:fill="CCEEFF"/>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2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16"/>
        </w:trPr>
        <w:tc>
          <w:tcPr>
            <w:tcW w:w="788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Unaudited Pro Forma Consolidated Financial Information</w:t>
              </w:r>
            </w:hyperlink>
          </w:p>
        </w:tc>
        <w:tc>
          <w:tcPr>
            <w:tcW w:w="300" w:type="dxa"/>
            <w:vAlign w:val="bottom"/>
            <w:gridSpan w:val="3"/>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77</w:t>
              </w:r>
            </w:hyperlink>
          </w:p>
        </w:tc>
        <w:tc>
          <w:tcPr>
            <w:tcW w:w="20" w:type="dxa"/>
            <w:vAlign w:val="bottom"/>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420" w:type="dxa"/>
            <w:vAlign w:val="bottom"/>
            <w:tcBorders>
              <w:left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760" w:type="dxa"/>
            <w:vAlign w:val="bottom"/>
            <w:gridSpan w:val="16"/>
            <w:shd w:val="clear" w:color="auto" w:fill="CCEEFF"/>
          </w:tcPr>
          <w:p>
            <w:pPr>
              <w:spacing w:after="0"/>
              <w:rPr>
                <w:rFonts w:ascii="Arial" w:cs="Arial" w:eastAsia="Arial" w:hAnsi="Arial"/>
                <w:sz w:val="18"/>
                <w:szCs w:val="18"/>
                <w:color w:val="0000EE"/>
                <w:w w:val="95"/>
              </w:rPr>
            </w:pPr>
            <w:hyperlink w:anchor="page90">
              <w:r>
                <w:rPr>
                  <w:rFonts w:ascii="Arial" w:cs="Arial" w:eastAsia="Arial" w:hAnsi="Arial"/>
                  <w:sz w:val="18"/>
                  <w:szCs w:val="18"/>
                  <w:color w:val="0000EE"/>
                  <w:w w:val="95"/>
                </w:rPr>
                <w:t>Management’s Discussion and Analysis of Financial Condition and Results of Operations</w:t>
              </w:r>
            </w:hyperlink>
          </w:p>
        </w:tc>
        <w:tc>
          <w:tcPr>
            <w:tcW w:w="1120" w:type="dxa"/>
            <w:vAlign w:val="bottom"/>
            <w:gridSpan w:val="2"/>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85</w:t>
              </w:r>
            </w:hyperlink>
          </w:p>
        </w:tc>
        <w:tc>
          <w:tcPr>
            <w:tcW w:w="20" w:type="dxa"/>
            <w:vAlign w:val="bottom"/>
            <w:shd w:val="clear" w:color="auto" w:fill="CCEEFF"/>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420" w:type="dxa"/>
            <w:vAlign w:val="bottom"/>
            <w:tcBorders>
              <w:left w:val="single" w:sz="8" w:color="0000EE"/>
            </w:tcBorders>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16"/>
        </w:trPr>
        <w:tc>
          <w:tcPr>
            <w:tcW w:w="6760" w:type="dxa"/>
            <w:vAlign w:val="bottom"/>
            <w:gridSpan w:val="1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Business</w:t>
              </w:r>
            </w:hyperlink>
          </w:p>
        </w:tc>
        <w:tc>
          <w:tcPr>
            <w:tcW w:w="112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112</w:t>
              </w:r>
            </w:hyperlink>
          </w:p>
        </w:tc>
        <w:tc>
          <w:tcPr>
            <w:tcW w:w="20" w:type="dxa"/>
            <w:vAlign w:val="bottom"/>
          </w:tcPr>
          <w:p>
            <w:pPr>
              <w:spacing w:after="0"/>
              <w:rPr>
                <w:sz w:val="18"/>
                <w:szCs w:val="18"/>
                <w:color w:val="auto"/>
              </w:rPr>
            </w:pPr>
          </w:p>
        </w:tc>
      </w:tr>
      <w:tr>
        <w:trPr>
          <w:trHeight w:val="27"/>
        </w:trPr>
        <w:tc>
          <w:tcPr>
            <w:tcW w:w="660" w:type="dxa"/>
            <w:vAlign w:val="bottom"/>
            <w:tcBorders>
              <w:righ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Borders>
              <w:right w:val="single" w:sz="8" w:color="0000EE"/>
            </w:tcBorders>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8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1"/>
              </w:rPr>
            </w:pPr>
            <w:hyperlink w:anchor="page134">
              <w:r>
                <w:rPr>
                  <w:rFonts w:ascii="Arial" w:cs="Arial" w:eastAsia="Arial" w:hAnsi="Arial"/>
                  <w:sz w:val="18"/>
                  <w:szCs w:val="18"/>
                  <w:color w:val="0000EE"/>
                  <w:w w:val="91"/>
                </w:rPr>
                <w:t>Management</w:t>
              </w:r>
            </w:hyperlink>
          </w:p>
        </w:tc>
        <w:tc>
          <w:tcPr>
            <w:tcW w:w="6900" w:type="dxa"/>
            <w:vAlign w:val="bottom"/>
            <w:tcBorders>
              <w:bottom w:val="single" w:sz="8" w:color="CCEEFF"/>
            </w:tcBorders>
            <w:gridSpan w:val="15"/>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129</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23"/>
        </w:trPr>
        <w:tc>
          <w:tcPr>
            <w:tcW w:w="18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Executive Compensation</w:t>
              </w:r>
            </w:hyperlink>
          </w:p>
        </w:tc>
        <w:tc>
          <w:tcPr>
            <w:tcW w:w="6000" w:type="dxa"/>
            <w:vAlign w:val="bottom"/>
            <w:gridSpan w:val="10"/>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138</w:t>
              </w:r>
            </w:hyperlink>
          </w:p>
        </w:tc>
        <w:tc>
          <w:tcPr>
            <w:tcW w:w="20" w:type="dxa"/>
            <w:vAlign w:val="bottom"/>
          </w:tcPr>
          <w:p>
            <w:pPr>
              <w:spacing w:after="0"/>
              <w:rPr>
                <w:sz w:val="19"/>
                <w:szCs w:val="19"/>
                <w:color w:val="auto"/>
              </w:rPr>
            </w:pPr>
          </w:p>
        </w:tc>
      </w:tr>
      <w:tr>
        <w:trPr>
          <w:trHeight w:val="223"/>
        </w:trPr>
        <w:tc>
          <w:tcPr>
            <w:tcW w:w="402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3"/>
              </w:rPr>
            </w:pPr>
            <w:hyperlink w:anchor="page156">
              <w:r>
                <w:rPr>
                  <w:rFonts w:ascii="Arial" w:cs="Arial" w:eastAsia="Arial" w:hAnsi="Arial"/>
                  <w:sz w:val="18"/>
                  <w:szCs w:val="18"/>
                  <w:color w:val="0000EE"/>
                  <w:w w:val="93"/>
                </w:rPr>
                <w:t>Certain Relationships and Related Party Transactions</w:t>
              </w:r>
            </w:hyperlink>
          </w:p>
        </w:tc>
        <w:tc>
          <w:tcPr>
            <w:tcW w:w="3860" w:type="dxa"/>
            <w:vAlign w:val="bottom"/>
            <w:tcBorders>
              <w:bottom w:val="single" w:sz="8" w:color="CCEEFF"/>
            </w:tcBorders>
            <w:gridSpan w:val="4"/>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151</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23"/>
        </w:trPr>
        <w:tc>
          <w:tcPr>
            <w:tcW w:w="17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71">
              <w:r>
                <w:rPr>
                  <w:rFonts w:ascii="Arial" w:cs="Arial" w:eastAsia="Arial" w:hAnsi="Arial"/>
                  <w:sz w:val="18"/>
                  <w:szCs w:val="18"/>
                  <w:color w:val="0000EE"/>
                  <w:w w:val="95"/>
                </w:rPr>
                <w:t>Principal Stockholders</w:t>
              </w:r>
            </w:hyperlink>
          </w:p>
        </w:tc>
        <w:tc>
          <w:tcPr>
            <w:tcW w:w="6160" w:type="dxa"/>
            <w:vAlign w:val="bottom"/>
            <w:gridSpan w:val="11"/>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1">
              <w:r>
                <w:rPr>
                  <w:rFonts w:ascii="Arial" w:cs="Arial" w:eastAsia="Arial" w:hAnsi="Arial"/>
                  <w:sz w:val="18"/>
                  <w:szCs w:val="18"/>
                  <w:color w:val="0000EE"/>
                  <w:w w:val="79"/>
                </w:rPr>
                <w:t>166</w:t>
              </w:r>
            </w:hyperlink>
          </w:p>
        </w:tc>
        <w:tc>
          <w:tcPr>
            <w:tcW w:w="20" w:type="dxa"/>
            <w:vAlign w:val="bottom"/>
          </w:tcPr>
          <w:p>
            <w:pPr>
              <w:spacing w:after="0"/>
              <w:rPr>
                <w:sz w:val="19"/>
                <w:szCs w:val="19"/>
                <w:color w:val="auto"/>
              </w:rPr>
            </w:pPr>
          </w:p>
        </w:tc>
      </w:tr>
      <w:tr>
        <w:trPr>
          <w:trHeight w:val="223"/>
        </w:trPr>
        <w:tc>
          <w:tcPr>
            <w:tcW w:w="2200" w:type="dxa"/>
            <w:vAlign w:val="bottom"/>
            <w:tcBorders>
              <w:bottom w:val="single" w:sz="8" w:color="0000EE"/>
              <w:right w:val="single" w:sz="8" w:color="CCEEFF"/>
            </w:tcBorders>
            <w:gridSpan w:val="10"/>
            <w:shd w:val="clear" w:color="auto" w:fill="CCEEFF"/>
          </w:tcPr>
          <w:p>
            <w:pPr>
              <w:spacing w:after="0"/>
              <w:rPr>
                <w:rFonts w:ascii="Arial" w:cs="Arial" w:eastAsia="Arial" w:hAnsi="Arial"/>
                <w:sz w:val="18"/>
                <w:szCs w:val="18"/>
                <w:color w:val="0000EE"/>
                <w:w w:val="97"/>
              </w:rPr>
            </w:pPr>
            <w:hyperlink w:anchor="page173">
              <w:r>
                <w:rPr>
                  <w:rFonts w:ascii="Arial" w:cs="Arial" w:eastAsia="Arial" w:hAnsi="Arial"/>
                  <w:sz w:val="18"/>
                  <w:szCs w:val="18"/>
                  <w:color w:val="0000EE"/>
                  <w:w w:val="97"/>
                </w:rPr>
                <w:t>Description of Capital Stock</w:t>
              </w:r>
            </w:hyperlink>
          </w:p>
        </w:tc>
        <w:tc>
          <w:tcPr>
            <w:tcW w:w="5680" w:type="dxa"/>
            <w:vAlign w:val="bottom"/>
            <w:tcBorders>
              <w:bottom w:val="single" w:sz="8" w:color="CCEEFF"/>
            </w:tcBorders>
            <w:gridSpan w:val="8"/>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168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23"/>
        </w:trPr>
        <w:tc>
          <w:tcPr>
            <w:tcW w:w="23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79">
              <w:r>
                <w:rPr>
                  <w:rFonts w:ascii="Arial" w:cs="Arial" w:eastAsia="Arial" w:hAnsi="Arial"/>
                  <w:sz w:val="18"/>
                  <w:szCs w:val="18"/>
                  <w:color w:val="0000EE"/>
                  <w:w w:val="95"/>
                </w:rPr>
                <w:t>Shares Eligible for Future Sale</w:t>
              </w:r>
            </w:hyperlink>
          </w:p>
        </w:tc>
        <w:tc>
          <w:tcPr>
            <w:tcW w:w="5540" w:type="dxa"/>
            <w:vAlign w:val="bottom"/>
            <w:gridSpan w:val="7"/>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9">
              <w:r>
                <w:rPr>
                  <w:rFonts w:ascii="Arial" w:cs="Arial" w:eastAsia="Arial" w:hAnsi="Arial"/>
                  <w:sz w:val="18"/>
                  <w:szCs w:val="18"/>
                  <w:color w:val="0000EE"/>
                  <w:w w:val="79"/>
                </w:rPr>
                <w:t>174</w:t>
              </w:r>
            </w:hyperlink>
          </w:p>
        </w:tc>
        <w:tc>
          <w:tcPr>
            <w:tcW w:w="20" w:type="dxa"/>
            <w:vAlign w:val="bottom"/>
          </w:tcPr>
          <w:p>
            <w:pPr>
              <w:spacing w:after="0"/>
              <w:rPr>
                <w:sz w:val="19"/>
                <w:szCs w:val="19"/>
                <w:color w:val="auto"/>
              </w:rPr>
            </w:pPr>
          </w:p>
        </w:tc>
      </w:tr>
      <w:tr>
        <w:trPr>
          <w:trHeight w:val="223"/>
        </w:trPr>
        <w:tc>
          <w:tcPr>
            <w:tcW w:w="7880" w:type="dxa"/>
            <w:vAlign w:val="bottom"/>
            <w:gridSpan w:val="18"/>
            <w:shd w:val="clear" w:color="auto" w:fill="CCEEFF"/>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Material U.S. Federal Income Tax Consequences to Non-U.S. Holders of Class A Common Stock</w:t>
              </w:r>
            </w:hyperlink>
          </w:p>
        </w:tc>
        <w:tc>
          <w:tcPr>
            <w:tcW w:w="300" w:type="dxa"/>
            <w:vAlign w:val="bottom"/>
            <w:gridSpan w:val="3"/>
            <w:shd w:val="clear" w:color="auto" w:fill="CCEEFF"/>
          </w:tcPr>
          <w:p>
            <w:pPr>
              <w:jc w:val="right"/>
              <w:spacing w:after="0"/>
              <w:rPr>
                <w:rFonts w:ascii="Arial" w:cs="Arial" w:eastAsia="Arial" w:hAnsi="Arial"/>
                <w:sz w:val="18"/>
                <w:szCs w:val="18"/>
                <w:color w:val="0000EE"/>
                <w:w w:val="93"/>
              </w:rPr>
            </w:pPr>
            <w:hyperlink w:anchor="page182">
              <w:r>
                <w:rPr>
                  <w:rFonts w:ascii="Arial" w:cs="Arial" w:eastAsia="Arial" w:hAnsi="Arial"/>
                  <w:sz w:val="18"/>
                  <w:szCs w:val="18"/>
                  <w:color w:val="0000EE"/>
                  <w:w w:val="93"/>
                </w:rPr>
                <w:t>177</w:t>
              </w:r>
            </w:hyperlink>
          </w:p>
        </w:tc>
        <w:tc>
          <w:tcPr>
            <w:tcW w:w="20" w:type="dxa"/>
            <w:vAlign w:val="bottom"/>
            <w:shd w:val="clear" w:color="auto" w:fill="CCEEFF"/>
          </w:tcPr>
          <w:p>
            <w:pPr>
              <w:spacing w:after="0"/>
              <w:rPr>
                <w:sz w:val="19"/>
                <w:szCs w:val="19"/>
                <w:color w:val="auto"/>
              </w:rPr>
            </w:pPr>
          </w:p>
        </w:tc>
      </w:tr>
      <w:tr>
        <w:trPr>
          <w:trHeight w:val="223"/>
        </w:trPr>
        <w:tc>
          <w:tcPr>
            <w:tcW w:w="1060" w:type="dxa"/>
            <w:vAlign w:val="bottom"/>
            <w:tcBorders>
              <w:top w:val="single" w:sz="8" w:color="0000EE"/>
              <w:bottom w:val="single" w:sz="8" w:color="0000EE"/>
            </w:tcBorders>
            <w:gridSpan w:val="4"/>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Underwriting</w:t>
              </w:r>
            </w:hyperlink>
          </w:p>
        </w:tc>
        <w:tc>
          <w:tcPr>
            <w:tcW w:w="6280" w:type="dxa"/>
            <w:vAlign w:val="bottom"/>
            <w:tcBorders>
              <w:top w:val="single" w:sz="8" w:color="0000EE"/>
            </w:tcBorders>
            <w:gridSpan w:val="13"/>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86">
              <w:r>
                <w:rPr>
                  <w:rFonts w:ascii="Arial" w:cs="Arial" w:eastAsia="Arial" w:hAnsi="Arial"/>
                  <w:sz w:val="18"/>
                  <w:szCs w:val="18"/>
                  <w:color w:val="0000EE"/>
                  <w:w w:val="79"/>
                </w:rPr>
                <w:t>181</w:t>
              </w:r>
            </w:hyperlink>
          </w:p>
        </w:tc>
        <w:tc>
          <w:tcPr>
            <w:tcW w:w="20" w:type="dxa"/>
            <w:vAlign w:val="bottom"/>
            <w:tcBorders>
              <w:top w:val="single" w:sz="8" w:color="CCEEFF"/>
            </w:tcBorders>
          </w:tcPr>
          <w:p>
            <w:pPr>
              <w:spacing w:after="0"/>
              <w:rPr>
                <w:sz w:val="19"/>
                <w:szCs w:val="19"/>
                <w:color w:val="auto"/>
              </w:rPr>
            </w:pPr>
          </w:p>
        </w:tc>
      </w:tr>
      <w:tr>
        <w:trPr>
          <w:trHeight w:val="223"/>
        </w:trPr>
        <w:tc>
          <w:tcPr>
            <w:tcW w:w="1060" w:type="dxa"/>
            <w:vAlign w:val="bottom"/>
            <w:tcBorders>
              <w:bottom w:val="single" w:sz="8" w:color="0000EE"/>
              <w:right w:val="single" w:sz="8" w:color="CCEEFF"/>
            </w:tcBorders>
            <w:gridSpan w:val="4"/>
            <w:shd w:val="clear" w:color="auto" w:fill="CCEEFF"/>
          </w:tcPr>
          <w:p>
            <w:pPr>
              <w:spacing w:after="0"/>
              <w:rPr>
                <w:rFonts w:ascii="Arial" w:cs="Arial" w:eastAsia="Arial" w:hAnsi="Arial"/>
                <w:sz w:val="18"/>
                <w:szCs w:val="18"/>
                <w:color w:val="0000EE"/>
                <w:w w:val="93"/>
              </w:rPr>
            </w:pPr>
            <w:hyperlink w:anchor="page195">
              <w:r>
                <w:rPr>
                  <w:rFonts w:ascii="Arial" w:cs="Arial" w:eastAsia="Arial" w:hAnsi="Arial"/>
                  <w:sz w:val="18"/>
                  <w:szCs w:val="18"/>
                  <w:color w:val="0000EE"/>
                  <w:w w:val="93"/>
                </w:rPr>
                <w:t>Legal Matters</w:t>
              </w:r>
            </w:hyperlink>
          </w:p>
        </w:tc>
        <w:tc>
          <w:tcPr>
            <w:tcW w:w="6820" w:type="dxa"/>
            <w:vAlign w:val="bottom"/>
            <w:tcBorders>
              <w:bottom w:val="single" w:sz="8" w:color="CCEEFF"/>
            </w:tcBorders>
            <w:gridSpan w:val="14"/>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95">
              <w:r>
                <w:rPr>
                  <w:rFonts w:ascii="Arial" w:cs="Arial" w:eastAsia="Arial" w:hAnsi="Arial"/>
                  <w:sz w:val="18"/>
                  <w:szCs w:val="18"/>
                  <w:color w:val="0000EE"/>
                  <w:w w:val="79"/>
                </w:rPr>
                <w:t>190</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23"/>
        </w:trPr>
        <w:tc>
          <w:tcPr>
            <w:tcW w:w="660" w:type="dxa"/>
            <w:vAlign w:val="bottom"/>
            <w:tcBorders>
              <w:bottom w:val="single" w:sz="8" w:color="0000EE"/>
            </w:tcBorders>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Experts</w:t>
              </w:r>
            </w:hyperlink>
          </w:p>
        </w:tc>
        <w:tc>
          <w:tcPr>
            <w:tcW w:w="7220" w:type="dxa"/>
            <w:vAlign w:val="bottom"/>
            <w:gridSpan w:val="17"/>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5">
              <w:r>
                <w:rPr>
                  <w:rFonts w:ascii="Arial" w:cs="Arial" w:eastAsia="Arial" w:hAnsi="Arial"/>
                  <w:sz w:val="18"/>
                  <w:szCs w:val="18"/>
                  <w:color w:val="0000EE"/>
                  <w:w w:val="79"/>
                </w:rPr>
                <w:t>190</w:t>
              </w:r>
            </w:hyperlink>
          </w:p>
        </w:tc>
        <w:tc>
          <w:tcPr>
            <w:tcW w:w="20" w:type="dxa"/>
            <w:vAlign w:val="bottom"/>
          </w:tcPr>
          <w:p>
            <w:pPr>
              <w:spacing w:after="0"/>
              <w:rPr>
                <w:sz w:val="19"/>
                <w:szCs w:val="19"/>
                <w:color w:val="auto"/>
              </w:rPr>
            </w:pPr>
          </w:p>
        </w:tc>
      </w:tr>
      <w:tr>
        <w:trPr>
          <w:trHeight w:val="223"/>
        </w:trPr>
        <w:tc>
          <w:tcPr>
            <w:tcW w:w="300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6"/>
              </w:rPr>
            </w:pPr>
            <w:hyperlink w:anchor="page195">
              <w:r>
                <w:rPr>
                  <w:rFonts w:ascii="Arial" w:cs="Arial" w:eastAsia="Arial" w:hAnsi="Arial"/>
                  <w:sz w:val="18"/>
                  <w:szCs w:val="18"/>
                  <w:color w:val="0000EE"/>
                  <w:w w:val="96"/>
                </w:rPr>
                <w:t>Where You Can Find More Information</w:t>
              </w:r>
            </w:hyperlink>
          </w:p>
        </w:tc>
        <w:tc>
          <w:tcPr>
            <w:tcW w:w="4880" w:type="dxa"/>
            <w:vAlign w:val="bottom"/>
            <w:tcBorders>
              <w:bottom w:val="single" w:sz="8" w:color="CCEEFF"/>
            </w:tcBorders>
            <w:gridSpan w:val="6"/>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95">
              <w:r>
                <w:rPr>
                  <w:rFonts w:ascii="Arial" w:cs="Arial" w:eastAsia="Arial" w:hAnsi="Arial"/>
                  <w:sz w:val="18"/>
                  <w:szCs w:val="18"/>
                  <w:color w:val="0000EE"/>
                  <w:w w:val="79"/>
                </w:rPr>
                <w:t>190</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16"/>
        </w:trPr>
        <w:tc>
          <w:tcPr>
            <w:tcW w:w="7880" w:type="dxa"/>
            <w:vAlign w:val="bottom"/>
            <w:gridSpan w:val="18"/>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Index to Consolidated Financial Statements</w:t>
              </w:r>
            </w:hyperlink>
          </w:p>
        </w:tc>
        <w:tc>
          <w:tcPr>
            <w:tcW w:w="40" w:type="dxa"/>
            <w:vAlign w:val="bottom"/>
          </w:tcPr>
          <w:p>
            <w:pPr>
              <w:spacing w:after="0"/>
              <w:rPr>
                <w:sz w:val="18"/>
                <w:szCs w:val="18"/>
                <w:color w:val="auto"/>
              </w:rPr>
            </w:pPr>
          </w:p>
        </w:tc>
        <w:tc>
          <w:tcPr>
            <w:tcW w:w="280" w:type="dxa"/>
            <w:vAlign w:val="bottom"/>
            <w:gridSpan w:val="3"/>
          </w:tcPr>
          <w:p>
            <w:pPr>
              <w:jc w:val="right"/>
              <w:ind w:right="20"/>
              <w:spacing w:after="0"/>
              <w:rPr>
                <w:rFonts w:ascii="Arial" w:cs="Arial" w:eastAsia="Arial" w:hAnsi="Arial"/>
                <w:sz w:val="18"/>
                <w:szCs w:val="18"/>
                <w:color w:val="0000EE"/>
                <w:w w:val="88"/>
              </w:rPr>
            </w:pPr>
            <w:hyperlink w:anchor="page196">
              <w:r>
                <w:rPr>
                  <w:rFonts w:ascii="Arial" w:cs="Arial" w:eastAsia="Arial" w:hAnsi="Arial"/>
                  <w:sz w:val="18"/>
                  <w:szCs w:val="18"/>
                  <w:color w:val="0000EE"/>
                  <w:w w:val="88"/>
                </w:rPr>
                <w:t>F-1</w:t>
              </w:r>
            </w:hyperlink>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-3994150</wp:posOffset>
            </wp:positionV>
            <wp:extent cx="4997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70" w:lineRule="exact"/>
        <w:rPr>
          <w:sz w:val="20"/>
          <w:szCs w:val="20"/>
          <w:color w:val="auto"/>
        </w:rPr>
      </w:pPr>
    </w:p>
    <w:p>
      <w:pPr>
        <w:ind w:left="1260" w:right="419" w:firstLine="360"/>
        <w:spacing w:after="0" w:line="264" w:lineRule="auto"/>
        <w:rPr>
          <w:sz w:val="20"/>
          <w:szCs w:val="20"/>
          <w:color w:val="auto"/>
        </w:rPr>
      </w:pPr>
      <w:r>
        <w:rPr>
          <w:rFonts w:ascii="Arial" w:cs="Arial" w:eastAsia="Arial" w:hAnsi="Arial"/>
          <w:sz w:val="17"/>
          <w:szCs w:val="17"/>
          <w:b w:val="1"/>
          <w:bCs w:val="1"/>
          <w:color w:val="auto"/>
        </w:rPr>
        <w:t>Through and including November 21,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75"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You should rely only on the information contained in this prospectus and any free writing prospectus prepared by or on behalf of us or to which we have referred you. No dealer, salesperson or other person is authorized to give any information or to represent anything not contained in this prospectus or in any free writing prospectus that we file with the Securities and Exchange Commission. We and the underwriters have not authorized anyone to provide any information or to make any representations other than those contained in this prospectus or in any related free writing prospectuses. We and the underwriters take no responsibility for, and can provide no assurance as to the reliability of, any other information that others may give you.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10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w:t>
      </w:r>
    </w:p>
    <w:p>
      <w:pPr>
        <w:spacing w:after="0" w:line="14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connection with the closing of this offering, we will undertake certain organizational transactions to reorganize our corporate structure. Unless otherwise stated or the context otherwise requires, all information in this prospectus reflects the consummation of the organizational transactions described in the section titled “Our Organizational Structure” and this offering, and the application of the proceeds therefrom, which we refer to collectively as the “Transactions.”</w:t>
      </w:r>
    </w:p>
    <w:p>
      <w:pPr>
        <w:spacing w:after="0" w:line="122"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See “Our Organizational Structure” for a diagram depicting our organizational structure after giving effect to the Transactions, including this offering.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Definitions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17" w:lineRule="exact"/>
        <w:rPr>
          <w:sz w:val="20"/>
          <w:szCs w:val="20"/>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AES</w:t>
      </w:r>
      <w:r>
        <w:rPr>
          <w:rFonts w:ascii="Arial" w:cs="Arial" w:eastAsia="Arial" w:hAnsi="Arial"/>
          <w:sz w:val="18"/>
          <w:szCs w:val="18"/>
          <w:color w:val="auto"/>
        </w:rPr>
        <w:t>” refers to The AES Corporation, a Delaware corporation, and its subsidiaries and affiliates.</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AES Grid Stability</w:t>
      </w:r>
      <w:r>
        <w:rPr>
          <w:rFonts w:ascii="Arial" w:cs="Arial" w:eastAsia="Arial" w:hAnsi="Arial"/>
          <w:sz w:val="18"/>
          <w:szCs w:val="18"/>
          <w:color w:val="auto"/>
        </w:rPr>
        <w:t>” refers to AES Grid Stability, LLC, a Delaware limited liability company and indirect subsidiary of AES.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Company</w:t>
      </w:r>
      <w:r>
        <w:rPr>
          <w:rFonts w:ascii="Arial" w:cs="Arial" w:eastAsia="Arial" w:hAnsi="Arial"/>
          <w:sz w:val="18"/>
          <w:szCs w:val="18"/>
          <w:color w:val="auto"/>
        </w:rPr>
        <w:t>” refers to QFH, which is an owner of LLC Interests in Fluence Energy, LLC prior to the Transactions and is taxable as a corporation for U.S. federal income tax purposes.</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Mergers</w:t>
      </w:r>
      <w:r>
        <w:rPr>
          <w:rFonts w:ascii="Arial" w:cs="Arial" w:eastAsia="Arial" w:hAnsi="Arial"/>
          <w:sz w:val="18"/>
          <w:szCs w:val="18"/>
          <w:color w:val="auto"/>
        </w:rPr>
        <w:t>” refers to one or more mergers in connection with the consummation of the Transactions, whereby the Blocker Shareholder will exchange their interests in the Blocker Company for shares of our Class A common stock.</w:t>
      </w:r>
    </w:p>
    <w:p>
      <w:pPr>
        <w:spacing w:after="0" w:line="75"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Shareholder</w:t>
      </w:r>
      <w:r>
        <w:rPr>
          <w:rFonts w:ascii="Arial" w:cs="Arial" w:eastAsia="Arial" w:hAnsi="Arial"/>
          <w:sz w:val="18"/>
          <w:szCs w:val="18"/>
          <w:color w:val="auto"/>
        </w:rPr>
        <w:t>” refers to Qatar Holding LLC, which is the owner of the Blocker Company prior to the Transactions and will exchange their interests in the Blocker Company for shares of our Class A common stock pursuant to one or more mergers in connection with the consummation of the Transactions.</w:t>
      </w:r>
    </w:p>
    <w:p>
      <w:pPr>
        <w:spacing w:after="0" w:line="78" w:lineRule="exact"/>
        <w:rPr>
          <w:rFonts w:ascii="Arial" w:cs="Arial" w:eastAsia="Arial" w:hAnsi="Arial"/>
          <w:sz w:val="18"/>
          <w:szCs w:val="18"/>
          <w:color w:val="auto"/>
        </w:rPr>
      </w:pPr>
    </w:p>
    <w:p>
      <w:pPr>
        <w:ind w:left="1800" w:right="619" w:hanging="180"/>
        <w:spacing w:after="0" w:line="279"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 Equity Owners”</w:t>
      </w:r>
      <w:r>
        <w:rPr>
          <w:rFonts w:ascii="Arial" w:cs="Arial" w:eastAsia="Arial" w:hAnsi="Arial"/>
          <w:sz w:val="17"/>
          <w:szCs w:val="17"/>
          <w:color w:val="auto"/>
        </w:rPr>
        <w:t xml:space="preserve"> refers collectively to AES Grid Stability, Siemens Industry, and the Blocker Shareholder and their respective subsidiaries, who will after this offering collectively own all of our Class B-1 common stock and 18,493,275 shares of our Class A common stock, representing a substantial majority of the voting power of our outstanding common stock.</w:t>
      </w:r>
    </w:p>
    <w:p>
      <w:pPr>
        <w:spacing w:after="0" w:line="63" w:lineRule="exact"/>
        <w:rPr>
          <w:rFonts w:ascii="Arial" w:cs="Arial" w:eastAsia="Arial" w:hAnsi="Arial"/>
          <w:sz w:val="17"/>
          <w:szCs w:val="17"/>
          <w:color w:val="auto"/>
        </w:rPr>
      </w:pPr>
    </w:p>
    <w:p>
      <w:pPr>
        <w:ind w:left="1800" w:right="459" w:hanging="180"/>
        <w:spacing w:after="0" w:line="25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Contracted Backlog</w:t>
      </w:r>
      <w:r>
        <w:rPr>
          <w:rFonts w:ascii="Arial" w:cs="Arial" w:eastAsia="Arial" w:hAnsi="Arial"/>
          <w:sz w:val="18"/>
          <w:szCs w:val="18"/>
          <w:color w:val="auto"/>
        </w:rPr>
        <w:t>” means signed purchase orders or contractual minimum purchase commitments with take-or pay provisions. For our energy storage product contracts, contracted backlog includes signed customer orders or contracts under execution prior to when substantial completion is achieved. For service contracts, contracted backlog includes signed service agreement associated with our storage product projects that have not been completed.</w:t>
      </w:r>
    </w:p>
    <w:p>
      <w:pPr>
        <w:spacing w:after="0" w:line="79"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Founders</w:t>
      </w:r>
      <w:r>
        <w:rPr>
          <w:rFonts w:ascii="Arial" w:cs="Arial" w:eastAsia="Arial" w:hAnsi="Arial"/>
          <w:sz w:val="18"/>
          <w:szCs w:val="18"/>
          <w:color w:val="auto"/>
        </w:rPr>
        <w:t>” refers collectively to holders of LLC Interests (other than us) and our Class B-1 common stock immediately following consummation of the Transactions, including AES Grid Stability, Siemens Industry, and their respective subsidiaries, who may, following the consummation of this offering, at each of their respective options, in whole or in part from time to time, require Fluence Energy, LLC to redeem their LLC Interests (along with an equal number of shares of Class B-1 common stock or Class B-2 common stock, as the case may be (and such shares shall be immediately cancelled)) for, at our election (determined solely by our independent directors (within the meaning of the rules of the Nasdaq) who are disinterested), cash or newly-issued shares of our Class A common stock as described in “Certain Relationships and Related Party Transactions—Fluence Energy LLC Agreement.”</w:t>
      </w:r>
    </w:p>
    <w:p>
      <w:pPr>
        <w:spacing w:after="0" w:line="86"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“Fluence Energy LLC Agreement” </w:t>
      </w:r>
      <w:r>
        <w:rPr>
          <w:rFonts w:ascii="Arial" w:cs="Arial" w:eastAsia="Arial" w:hAnsi="Arial"/>
          <w:sz w:val="18"/>
          <w:szCs w:val="18"/>
          <w:color w:val="auto"/>
        </w:rPr>
        <w:t>refers to Fluence Energy, LLC’s third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agreement, which will become effective prior to the consummation of this offering.</w:t>
      </w:r>
    </w:p>
    <w:p>
      <w:pPr>
        <w:spacing w:after="0" w:line="75"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refers to the common units of Fluence Energy, LLC, including those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with the net proceeds from this offering.</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“Original LLC Owners” </w:t>
      </w:r>
      <w:r>
        <w:rPr>
          <w:rFonts w:ascii="Arial" w:cs="Arial" w:eastAsia="Arial" w:hAnsi="Arial"/>
          <w:sz w:val="18"/>
          <w:szCs w:val="18"/>
          <w:color w:val="auto"/>
        </w:rPr>
        <w:t>refers to the owners of LLC Interests in Fluence Energy, LLC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Transactions, collectively, which include AES Grid Stability, Siemens Industry, and QFH.</w:t>
      </w:r>
    </w:p>
    <w:p>
      <w:pPr>
        <w:spacing w:after="0" w:line="75" w:lineRule="exact"/>
        <w:rPr>
          <w:rFonts w:ascii="Arial" w:cs="Arial" w:eastAsia="Arial" w:hAnsi="Arial"/>
          <w:sz w:val="18"/>
          <w:szCs w:val="18"/>
          <w:color w:val="auto"/>
        </w:rPr>
      </w:pPr>
    </w:p>
    <w:p>
      <w:pPr>
        <w:ind w:left="1800" w:right="87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Promissory Notes</w:t>
      </w:r>
      <w:r>
        <w:rPr>
          <w:rFonts w:ascii="Arial" w:cs="Arial" w:eastAsia="Arial" w:hAnsi="Arial"/>
          <w:sz w:val="18"/>
          <w:szCs w:val="18"/>
          <w:color w:val="auto"/>
        </w:rPr>
        <w:t>” refers to the two promissory notes entered into by Fluence Energy, LLC on August 11, 2021 with each of Siemens Industry and AES Grid Stability, under which Fluence Energy, LLC received a bridge financing of an aggregate of $50.0 million.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QFH</w:t>
      </w:r>
      <w:r>
        <w:rPr>
          <w:rFonts w:ascii="Arial" w:cs="Arial" w:eastAsia="Arial" w:hAnsi="Arial"/>
          <w:sz w:val="18"/>
          <w:szCs w:val="18"/>
          <w:color w:val="auto"/>
        </w:rPr>
        <w:t>” refers to QIA Florence Holdings LLC, an affiliate of QIA.</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QIA</w:t>
      </w:r>
      <w:r>
        <w:rPr>
          <w:rFonts w:ascii="Arial" w:cs="Arial" w:eastAsia="Arial" w:hAnsi="Arial"/>
          <w:sz w:val="18"/>
          <w:szCs w:val="18"/>
          <w:color w:val="auto"/>
        </w:rPr>
        <w:t>” refers to Qatar Investment Authority, the sovereign wealth fund of Qatar, and its subsidiaries and affiliates.</w:t>
      </w:r>
    </w:p>
    <w:p>
      <w:pPr>
        <w:spacing w:after="0" w:line="6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Siemens</w:t>
      </w:r>
      <w:r>
        <w:rPr>
          <w:rFonts w:ascii="Arial" w:cs="Arial" w:eastAsia="Arial" w:hAnsi="Arial"/>
          <w:sz w:val="18"/>
          <w:szCs w:val="18"/>
          <w:color w:val="auto"/>
        </w:rPr>
        <w:t>” refers to Siemens AG, a company incorporated under the laws of Germany, and its subsidiaries and affiliates.</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Siemens Industry</w:t>
      </w:r>
      <w:r>
        <w:rPr>
          <w:rFonts w:ascii="Arial" w:cs="Arial" w:eastAsia="Arial" w:hAnsi="Arial"/>
          <w:sz w:val="18"/>
          <w:szCs w:val="18"/>
          <w:color w:val="auto"/>
        </w:rPr>
        <w:t>” refers to Siemens Industry, Inc., a Delaware corporation and indirect subsidiary of Siemens.</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refers to the organizational transactions and this offering, and the application of the net proceeds therefrom.</w:t>
      </w:r>
    </w:p>
    <w:p>
      <w:pPr>
        <w:spacing w:after="0" w:line="89"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Fluence Energy, Inc. will be a holding company and the sole managing member of Fluence Energy, LLC, and upon consummation of the Transactions, its principal asset will consist of LLC Interests.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62"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Fluence Energy, LLC is the accounting predecessor of Fluence Energy, Inc. for financial reporting purposes. Fluence Energy, Inc. will be the audited financial reporting entity following this offering. Accordingly, this prospectus contains the following historical financial statements:</w:t>
      </w:r>
    </w:p>
    <w:p>
      <w:pPr>
        <w:spacing w:after="0" w:line="76" w:lineRule="exact"/>
        <w:rPr>
          <w:sz w:val="20"/>
          <w:szCs w:val="20"/>
          <w:color w:val="auto"/>
        </w:rPr>
      </w:pPr>
    </w:p>
    <w:p>
      <w:pPr>
        <w:ind w:left="1800" w:right="499" w:hanging="180"/>
        <w:spacing w:after="0" w:line="259"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Fluence Energy, Inc. </w:t>
      </w:r>
      <w:r>
        <w:rPr>
          <w:rFonts w:ascii="Arial" w:cs="Arial" w:eastAsia="Arial" w:hAnsi="Arial"/>
          <w:sz w:val="18"/>
          <w:szCs w:val="18"/>
          <w:color w:val="auto"/>
        </w:rPr>
        <w:t>Other than the inception balance sheet, dated as of June 30,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financial information of Fluence Energy, Inc. has not been included in this prospectus as it is a newly incorporated entity, has no business transactions or activities to date and had no assets or liabilities during the periods presented in this prospectus.</w:t>
      </w:r>
    </w:p>
    <w:p>
      <w:pPr>
        <w:spacing w:after="0" w:line="78" w:lineRule="exact"/>
        <w:rPr>
          <w:rFonts w:ascii="Arial" w:cs="Arial" w:eastAsia="Arial" w:hAnsi="Arial"/>
          <w:sz w:val="18"/>
          <w:szCs w:val="18"/>
          <w:color w:val="auto"/>
        </w:rPr>
      </w:pPr>
    </w:p>
    <w:p>
      <w:pPr>
        <w:ind w:left="1800" w:right="679" w:hanging="180"/>
        <w:spacing w:after="0" w:line="286"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Fluence Energy, LLC. </w:t>
      </w:r>
      <w:r>
        <w:rPr>
          <w:rFonts w:ascii="Arial" w:cs="Arial" w:eastAsia="Arial" w:hAnsi="Arial"/>
          <w:sz w:val="17"/>
          <w:szCs w:val="17"/>
          <w:color w:val="auto"/>
        </w:rPr>
        <w:t>Because Fluence Energy, Inc. will have no interest in any operations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those of Fluence Energy, LLC and its subsidiaries, the historical consolidated financial information included in this prospectus is that of Fluence Energy, LLC and its subsidiaries.</w:t>
      </w:r>
    </w:p>
    <w:p>
      <w:pPr>
        <w:spacing w:after="0" w:line="9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TRADEMARKS</w:t>
      </w:r>
    </w:p>
    <w:p>
      <w:pPr>
        <w:spacing w:after="0" w:line="14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 xml:space="preserve">This prospectus includes our trademarks and trade names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MARKET AND INDUSTRY DATA</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519" w:firstLine="360"/>
        <w:spacing w:after="0" w:line="238"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It does not contain all of the information that may be important to you and your investment decision. Before investing in our Class A common stock, you should carefully read this entire prospectus, including the matters set forth under the sections of this prospectus captioned “Risk Factors” and “Management’s Discussion and Analysis of Financial Condition and Results of Operations” and our consolidated financial statements and related notes included elsewhere in this prospectus. In addition, certain statements in this prospectus include forward-looking information that is subject to risks and uncertainties. See “Cautionary Note Regarding Forward-Looking Statements.”</w:t>
      </w:r>
    </w:p>
    <w:p>
      <w:pPr>
        <w:spacing w:after="0" w:line="126" w:lineRule="exact"/>
        <w:rPr>
          <w:sz w:val="20"/>
          <w:szCs w:val="20"/>
          <w:color w:val="auto"/>
        </w:rPr>
      </w:pPr>
    </w:p>
    <w:p>
      <w:pPr>
        <w:ind w:left="1280" w:right="399" w:firstLine="360"/>
        <w:spacing w:after="0" w:line="239" w:lineRule="auto"/>
        <w:rPr>
          <w:sz w:val="20"/>
          <w:szCs w:val="20"/>
          <w:color w:val="auto"/>
        </w:rPr>
      </w:pPr>
      <w:r>
        <w:rPr>
          <w:rFonts w:ascii="Arial" w:cs="Arial" w:eastAsia="Arial" w:hAnsi="Arial"/>
          <w:sz w:val="18"/>
          <w:szCs w:val="18"/>
          <w:i w:val="1"/>
          <w:iCs w:val="1"/>
          <w:color w:val="auto"/>
        </w:rPr>
        <w:t>Unless otherwise indicated or the context otherwise requires, all references in this prospectus to the “Company,” “we,” “us,” “our,” “Fluence” and similar terms refer, following the consummation of the Transactions (including this offering), to Fluence Energy, Inc., and all of its direct and indirect subsidiaries, including Fluence Energy, LLC, and prior to the consummation of the Transactions (including this offering), Fluence Energy, LLC and all of its direct and indirect subsidiaries, and, in each case, unless otherwise stated or the context otherwise requires, to our predecessor companies. See “—Creation of Our Company” below for additional information.</w:t>
      </w:r>
    </w:p>
    <w:p>
      <w:pPr>
        <w:spacing w:after="0" w:line="110" w:lineRule="exact"/>
        <w:rPr>
          <w:sz w:val="20"/>
          <w:szCs w:val="20"/>
          <w:color w:val="auto"/>
        </w:rPr>
      </w:pPr>
    </w:p>
    <w:p>
      <w:pPr>
        <w:ind w:left="1280" w:right="659" w:firstLine="360"/>
        <w:spacing w:after="0" w:line="261" w:lineRule="auto"/>
        <w:rPr>
          <w:sz w:val="20"/>
          <w:szCs w:val="20"/>
          <w:color w:val="auto"/>
        </w:rPr>
      </w:pPr>
      <w:r>
        <w:rPr>
          <w:rFonts w:ascii="Arial" w:cs="Arial" w:eastAsia="Arial" w:hAnsi="Arial"/>
          <w:sz w:val="18"/>
          <w:szCs w:val="18"/>
          <w:i w:val="1"/>
          <w:iCs w:val="1"/>
          <w:color w:val="auto"/>
        </w:rPr>
        <w:t>Our fiscal year ends on September 30. All references to fiscal 2019 and 2020 refer to the year ended September 30, 2019 and 2020, respectively.</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Mission</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mission is to transform the way we power our world for a more sustainable future.</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7"/>
          <w:szCs w:val="17"/>
          <w:color w:val="auto"/>
        </w:rPr>
        <w:t>We are enabling the global clean energy transition with market-leading energy storage products and services and digital applications for renewables and storage. We believe battery energy storage technology (“energy storage”) is at the center of this transition and is becoming even more important as more renewables are added to the grid and the transportation sector moves towards electrification. We are driving change by delivering configurable energy storage product, service, and digital application packages, as well as our AI-enabled Fluence IQ Platform to optimize renewable and third-party storage assets. Our offerings help major utilities, developers, and commercial and industrial (“C&amp;I”) customers around the world deliver a more sustainable, reliable, and resilient electric grid in a repeatable, scalable way.</w:t>
      </w:r>
    </w:p>
    <w:p>
      <w:pPr>
        <w:spacing w:after="0" w:line="100" w:lineRule="exact"/>
        <w:rPr>
          <w:sz w:val="20"/>
          <w:szCs w:val="20"/>
          <w:color w:val="auto"/>
        </w:rPr>
      </w:pPr>
    </w:p>
    <w:p>
      <w:pPr>
        <w:ind w:left="1280" w:right="499" w:firstLine="360"/>
        <w:spacing w:after="0" w:line="238" w:lineRule="auto"/>
        <w:rPr>
          <w:sz w:val="20"/>
          <w:szCs w:val="20"/>
          <w:color w:val="auto"/>
        </w:rPr>
      </w:pPr>
      <w:r>
        <w:rPr>
          <w:rFonts w:ascii="Arial" w:cs="Arial" w:eastAsia="Arial" w:hAnsi="Arial"/>
          <w:sz w:val="18"/>
          <w:szCs w:val="18"/>
          <w:color w:val="auto"/>
        </w:rPr>
        <w:t>Energy storage is a key solution to the challenges facing electricity markets and transmission grids, including: electricity load variability and quality issues from increased participation of renewable energy generation; growing consumer and industrial demand for smart grid services; and localized capacity constraints on transmission networks, particularly around periods of peak demand. Energy storage is a uniquely flexible, asset that can provide multiple critical grid services, including energy shifting, peaking capacity, ancillary services, and transmission and distribution infrastructure functions. Our team has helped the industry move from a few deployments of single- function systems under 10 megawatts (“MW”), to multiple deployments of systems over 100 MW with broad functionality optimized by advanced software and digital intelligence.</w:t>
      </w:r>
    </w:p>
    <w:p>
      <w:pPr>
        <w:spacing w:after="0" w:line="124"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7"/>
          <w:szCs w:val="17"/>
          <w:color w:val="auto"/>
        </w:rPr>
        <w:t>Fluence is a leading pure-play provider of energy storage technology globally, and our AI-enabled Fluence IQ helps customers maximize the value and performance of single assets or entire portfolios of clean energy assets. Although we were established in January 2018 as a joint venture between Siemens and AES, members of our board of directors and leadership team were part of the founding team at AES Energy Storage that conceived and tested the world’s first lithium-ion energy storage system on an electric grid starting in 2007. Fluence has built on AES’ industry-defining work in clean energy and storage operations and Siemens’ energy technology leadership and global sales presence. The result is an agile company with a global presence solely focused on enabling the clean energy transition.</w:t>
      </w:r>
    </w:p>
    <w:p>
      <w:pPr>
        <w:spacing w:after="0" w:line="113" w:lineRule="exact"/>
        <w:rPr>
          <w:sz w:val="20"/>
          <w:szCs w:val="20"/>
          <w:color w:val="auto"/>
        </w:rPr>
      </w:pPr>
    </w:p>
    <w:p>
      <w:pPr>
        <w:ind w:left="1280" w:right="439" w:firstLine="360"/>
        <w:spacing w:after="0" w:line="262" w:lineRule="auto"/>
        <w:rPr>
          <w:sz w:val="20"/>
          <w:szCs w:val="20"/>
          <w:color w:val="auto"/>
        </w:rPr>
      </w:pPr>
      <w:r>
        <w:rPr>
          <w:rFonts w:ascii="Arial" w:cs="Arial" w:eastAsia="Arial" w:hAnsi="Arial"/>
          <w:sz w:val="17"/>
          <w:szCs w:val="17"/>
          <w:color w:val="auto"/>
        </w:rPr>
        <w:t>We believe our customer- and market-centric approach differentiates us from our peers and best positions us to deploy our high-value and high-margin services and digital recurring revenue offerings across a large, global installed base, building upon our 13 years of deep energy storage experience and data-driven insights. Furthermore, our advanced digital applications delivered to non-Fluence customers can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54" w:lineRule="auto"/>
        <w:rPr>
          <w:sz w:val="20"/>
          <w:szCs w:val="20"/>
          <w:color w:val="auto"/>
        </w:rPr>
      </w:pPr>
      <w:r>
        <w:rPr>
          <w:rFonts w:ascii="Arial" w:cs="Arial" w:eastAsia="Arial" w:hAnsi="Arial"/>
          <w:sz w:val="17"/>
          <w:szCs w:val="17"/>
          <w:color w:val="auto"/>
        </w:rPr>
        <w:t>enable cross-sales of Fluence energy storage products. Last year, we unveiled our sixth-generation technology stack (“Tech Stack”), which is the foundation of our energy storage products. The Tech Stack is comprised of our modular, factory-built hardware (“Fluence Cube”), proprietary operating system (“Fluence OS”), and AI-enabled digital platform (“Fluence IQ”). In addition to energy storage products, our offerings include delivery services and recurring operational services, as well as financing structuring services, such as energy-storage-as-a-service (“ESaaS”). Our Fluence IQ Digital Platform includes the Fluence Bidding Application, which delivers AI-powered market bidding optimization for solar, wind, and energy storage assets, including non-Fluence energy storage systems.</w:t>
      </w:r>
    </w:p>
    <w:p>
      <w:pPr>
        <w:spacing w:after="0" w:line="100" w:lineRule="exact"/>
        <w:rPr>
          <w:sz w:val="20"/>
          <w:szCs w:val="20"/>
          <w:color w:val="auto"/>
        </w:rPr>
      </w:pPr>
    </w:p>
    <w:p>
      <w:pPr>
        <w:ind w:left="1280" w:right="459" w:firstLine="360"/>
        <w:spacing w:after="0" w:line="238" w:lineRule="auto"/>
        <w:rPr>
          <w:sz w:val="20"/>
          <w:szCs w:val="20"/>
          <w:color w:val="auto"/>
        </w:rPr>
      </w:pPr>
      <w:r>
        <w:rPr>
          <w:rFonts w:ascii="Arial" w:cs="Arial" w:eastAsia="Arial" w:hAnsi="Arial"/>
          <w:sz w:val="18"/>
          <w:szCs w:val="18"/>
          <w:color w:val="auto"/>
        </w:rPr>
        <w:t>Guidehouse Consulting has ranked us as the leading energy storage provider since our inception, based on factors including vision, go-to-market strategy, product performance, technology, and execution. We were also ranked the leading global energy storage systems integrator by Navigant in 2018 and the largest global energy storage system integrator in a 2021 report by Clean Horizon. We won Best Commercial Technology of the Year at the 2020 S&amp;P Global Platts Global Energy Awards for our sixth- generation Tech Stack and were named to Fast Company’s Most Innovative Companies, Energy list in 2019 and 2021. Previous generations of our technology have won the Edison Electric Institute’s annual Edison Awards (2016, 2019, and 2021).</w:t>
      </w:r>
    </w:p>
    <w:p>
      <w:pPr>
        <w:spacing w:after="0" w:line="12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As of September 30, 2021, we had 1.0 gigawatts (“GW”) of energy storage assets deployed and</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2.7 GW of contracted backlog across 29 markets with a gross global pipeline of 14.2 GW. As of September</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30, 2021, our global operational and maintenance (“O&amp;M”) services team was providing services for</w:t>
      </w:r>
    </w:p>
    <w:p>
      <w:pPr>
        <w:ind w:left="1280" w:right="399"/>
        <w:spacing w:after="0" w:line="237" w:lineRule="auto"/>
        <w:rPr>
          <w:sz w:val="20"/>
          <w:szCs w:val="20"/>
          <w:color w:val="auto"/>
        </w:rPr>
      </w:pPr>
      <w:r>
        <w:rPr>
          <w:rFonts w:ascii="Arial" w:cs="Arial" w:eastAsia="Arial" w:hAnsi="Arial"/>
          <w:sz w:val="18"/>
          <w:szCs w:val="18"/>
          <w:color w:val="auto"/>
        </w:rPr>
        <w:t>0.8 GW of energy storage assets, with a further 1.9 GW of contracted backlog, which have provided Fluence with over 290 terabytes of data on energy storage operation and performance as of June 30, 2021. As of June 30, 2021, we had $885 million of contracted backlog related to energy storage products, representing a 14% increase related to the same date last year and as of September 30, 2021 we estimated that we had between approximately $1,344 million and $1,393 million of contracted backlog related to energy storage products.</w:t>
      </w:r>
    </w:p>
    <w:p>
      <w:pPr>
        <w:spacing w:after="0" w:line="121" w:lineRule="exact"/>
        <w:rPr>
          <w:sz w:val="20"/>
          <w:szCs w:val="20"/>
          <w:color w:val="auto"/>
        </w:rPr>
      </w:pPr>
    </w:p>
    <w:p>
      <w:pPr>
        <w:ind w:left="1280" w:right="419" w:firstLine="360"/>
        <w:spacing w:after="0" w:line="238" w:lineRule="auto"/>
        <w:rPr>
          <w:sz w:val="20"/>
          <w:szCs w:val="20"/>
          <w:color w:val="auto"/>
        </w:rPr>
      </w:pPr>
      <w:r>
        <w:rPr>
          <w:rFonts w:ascii="Arial" w:cs="Arial" w:eastAsia="Arial" w:hAnsi="Arial"/>
          <w:sz w:val="18"/>
          <w:szCs w:val="18"/>
          <w:color w:val="auto"/>
        </w:rPr>
        <w:t>In 2020, we entered into an agreement with QFH for a $125 million investment to accelerate our growth and the global deployment of our offerings, which has included the acquisition of the software and digital intelligence platform of Advanced Microgrid Solutions (“AMS”), a leading artificial intelligence-enabled optimized bidding software for utility-scale storage and renewable generation assets, which became the Fluence Bidding Application. As of September 30, 2021, we had an aggregate of 3.1 GW of renewable energy assets using the Fluence Bidding Application and 1.6 GW of contracted backlog related to renewable and energy storage assets. We expect our services and Fluence IQ digital applications, including the Fluence Bidding Application, to expand meaningfully over the next five years and contribute increasingly to our bottom-line growth.</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Industry and Market Opportunity</w:t>
      </w:r>
    </w:p>
    <w:p>
      <w:pPr>
        <w:spacing w:after="0" w:line="148" w:lineRule="exact"/>
        <w:rPr>
          <w:sz w:val="20"/>
          <w:szCs w:val="20"/>
          <w:color w:val="auto"/>
        </w:rPr>
      </w:pPr>
    </w:p>
    <w:p>
      <w:pPr>
        <w:ind w:left="1280" w:right="539" w:firstLine="360"/>
        <w:spacing w:after="0" w:line="255" w:lineRule="auto"/>
        <w:rPr>
          <w:sz w:val="20"/>
          <w:szCs w:val="20"/>
          <w:color w:val="auto"/>
        </w:rPr>
      </w:pPr>
      <w:r>
        <w:rPr>
          <w:rFonts w:ascii="Arial" w:cs="Arial" w:eastAsia="Arial" w:hAnsi="Arial"/>
          <w:sz w:val="17"/>
          <w:szCs w:val="17"/>
          <w:color w:val="auto"/>
        </w:rPr>
        <w:t>Climate change is an existential threat. Severe weather events and broader awareness of the financial implications of climate change are driving a systemic global transition away from fossil fuels towards sustainable energy systems. However, renewable generation, unlike fossil fuel generation, has no inherent storage capacity and can only be used in favorable wind and solar conditions. Energy storage is therefore a critical enabler of large-scale adoption of 24/7 renewable energy. Furthermore, accelerating electrification of industries such as transportation is driving demand for more generation. Energy storage can help both serve and smooth additional peak demand, improving grid reliability and managing energy requirements.</w:t>
      </w:r>
    </w:p>
    <w:p>
      <w:pPr>
        <w:spacing w:after="0" w:line="112" w:lineRule="exact"/>
        <w:rPr>
          <w:sz w:val="20"/>
          <w:szCs w:val="20"/>
          <w:color w:val="auto"/>
        </w:rPr>
      </w:pPr>
    </w:p>
    <w:p>
      <w:pPr>
        <w:ind w:left="1280" w:right="419" w:firstLine="360"/>
        <w:spacing w:after="0" w:line="257" w:lineRule="auto"/>
        <w:rPr>
          <w:sz w:val="20"/>
          <w:szCs w:val="20"/>
          <w:color w:val="auto"/>
        </w:rPr>
      </w:pPr>
      <w:r>
        <w:rPr>
          <w:rFonts w:ascii="Arial" w:cs="Arial" w:eastAsia="Arial" w:hAnsi="Arial"/>
          <w:sz w:val="17"/>
          <w:szCs w:val="17"/>
          <w:color w:val="auto"/>
        </w:rPr>
        <w:t>As the first truly digital asset on the electric grid, energy storage is also a uniquely flexible tool for grid planners, operators, and power providers. We believe energy storage sits at the epicenter of the global clean energy transition and represents the backbone of a massive change in our energy market infrastructure driven by three key trends: Grid modernization, decarbonization, and digitalization. The energy transformation will require $100 trillion of investment through 2050 based on the midpoint of Bloomberg New Energy Finance’s (“BloombergNEF”) NEO 2020 clean electricity and green hydrogen pathway.</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energy storage market is comprised of three components:</w:t>
      </w:r>
    </w:p>
    <w:p>
      <w:pPr>
        <w:spacing w:after="0" w:line="100" w:lineRule="exact"/>
        <w:rPr>
          <w:sz w:val="20"/>
          <w:szCs w:val="20"/>
          <w:color w:val="auto"/>
        </w:rPr>
      </w:pPr>
    </w:p>
    <w:p>
      <w:pPr>
        <w:ind w:left="1820" w:right="459" w:hanging="182"/>
        <w:spacing w:after="0" w:line="312"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Energy storage products—</w:t>
      </w:r>
      <w:r>
        <w:rPr>
          <w:rFonts w:ascii="Arial" w:cs="Arial" w:eastAsia="Arial" w:hAnsi="Arial"/>
          <w:sz w:val="17"/>
          <w:szCs w:val="17"/>
          <w:color w:val="auto"/>
        </w:rPr>
        <w:t>the components (including batteries), professional services, and labor</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manufacture, assemble, and install products. According to BloombergNEF, global annual</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39"/>
        <w:spacing w:after="0" w:line="259" w:lineRule="auto"/>
        <w:rPr>
          <w:sz w:val="20"/>
          <w:szCs w:val="20"/>
          <w:color w:val="auto"/>
        </w:rPr>
      </w:pPr>
      <w:r>
        <w:rPr>
          <w:rFonts w:ascii="Arial" w:cs="Arial" w:eastAsia="Arial" w:hAnsi="Arial"/>
          <w:sz w:val="17"/>
          <w:szCs w:val="17"/>
          <w:color w:val="auto"/>
        </w:rPr>
        <w:t>energy storage capacity installations, excluding the residential market, grew from 0.6 GW a year in 2015 to 3.8 GW a year in 2020, and are expected to grow to 34.2 GW a year by 2030. We believe most forecasts for the energy storage sector, including BloombergNEF, understate the size and market opportunity as forecasts generally only account for spend associated with the physical energy storage asset and do not account for the associated service and digital spend.</w:t>
      </w:r>
    </w:p>
    <w:p>
      <w:pPr>
        <w:spacing w:after="0" w:line="62" w:lineRule="exact"/>
        <w:rPr>
          <w:sz w:val="20"/>
          <w:szCs w:val="20"/>
          <w:color w:val="auto"/>
        </w:rPr>
      </w:pPr>
    </w:p>
    <w:p>
      <w:pPr>
        <w:ind w:left="1820" w:right="419" w:hanging="182"/>
        <w:spacing w:after="0" w:line="255"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Services—</w:t>
      </w:r>
      <w:r>
        <w:rPr>
          <w:rFonts w:ascii="Arial" w:cs="Arial" w:eastAsia="Arial" w:hAnsi="Arial"/>
          <w:sz w:val="18"/>
          <w:szCs w:val="18"/>
          <w:color w:val="auto"/>
        </w:rPr>
        <w:t>recurring operational and maintenance services that energy storage products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services that are provided by third parties when asset owners outsource the operations of their systems, and the provision of ESaaS. According to BloombergNEF, global installed energy storage capacity, excluding the residential market, grew 57% per annum between 2015 and 2020, and the installed base is expected to grow at a 31% annual growth rate through 2030. BloombergNEF forecasts that global installed energy storage capacity will reach 193.7 GW by 2030, excluding the residential market.</w:t>
      </w:r>
    </w:p>
    <w:p>
      <w:pPr>
        <w:spacing w:after="0" w:line="67" w:lineRule="exact"/>
        <w:rPr>
          <w:rFonts w:ascii="Arial" w:cs="Arial" w:eastAsia="Arial" w:hAnsi="Arial"/>
          <w:sz w:val="18"/>
          <w:szCs w:val="18"/>
          <w:color w:val="auto"/>
        </w:rPr>
      </w:pPr>
    </w:p>
    <w:p>
      <w:pPr>
        <w:ind w:left="1820" w:right="419" w:hanging="182"/>
        <w:spacing w:after="0" w:line="274"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Digital applications and solutions—</w:t>
      </w:r>
      <w:r>
        <w:rPr>
          <w:rFonts w:ascii="Arial" w:cs="Arial" w:eastAsia="Arial" w:hAnsi="Arial"/>
          <w:sz w:val="17"/>
          <w:szCs w:val="17"/>
          <w:color w:val="auto"/>
        </w:rPr>
        <w:t>operating systems, applications, such as trading platforms that</w:t>
      </w:r>
      <w:r>
        <w:rPr>
          <w:rFonts w:ascii="Arial" w:cs="Arial" w:eastAsia="Arial" w:hAnsi="Arial"/>
          <w:sz w:val="17"/>
          <w:szCs w:val="17"/>
          <w:b w:val="1"/>
          <w:bCs w:val="1"/>
          <w:color w:val="auto"/>
        </w:rPr>
        <w:t xml:space="preserve"> </w:t>
      </w:r>
      <w:r>
        <w:rPr>
          <w:rFonts w:ascii="Arial" w:cs="Arial" w:eastAsia="Arial" w:hAnsi="Arial"/>
          <w:sz w:val="17"/>
          <w:szCs w:val="17"/>
          <w:color w:val="auto"/>
        </w:rPr>
        <w:t>allow system owners to manage their grid participation, and dynamic capacity services, such as virtual power plants. We believe there is an opportunity to not only deploy digital applications and solutions on individual assets but also across entire energy storage fleets and portfolios of generation assets to improve their collective performance and economic output, and to reduce the overall carbon footprint of the electric grid by optimizing the interactions between different asset types.</w:t>
      </w:r>
    </w:p>
    <w:p>
      <w:pPr>
        <w:spacing w:after="0" w:line="11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We believe there are multiple factors driving continued growth in the energy storage sector, including:</w:t>
      </w:r>
    </w:p>
    <w:p>
      <w:pPr>
        <w:spacing w:after="0" w:line="129" w:lineRule="exact"/>
        <w:rPr>
          <w:sz w:val="20"/>
          <w:szCs w:val="20"/>
          <w:color w:val="auto"/>
        </w:rPr>
      </w:pPr>
    </w:p>
    <w:p>
      <w:pPr>
        <w:ind w:left="1820" w:right="439" w:hanging="182"/>
        <w:spacing w:after="0" w:line="25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accelerating transition from fossil to renewable generation is expected to require significant increases in energy storage capacity to both offset potential grid instability caused by intermittent renewable resources and enable the use of power from renewable generation assets at times when the natural resource is unavailable.</w:t>
      </w:r>
    </w:p>
    <w:p>
      <w:pPr>
        <w:spacing w:after="0" w:line="65" w:lineRule="exact"/>
        <w:rPr>
          <w:rFonts w:ascii="Arial" w:cs="Arial" w:eastAsia="Arial" w:hAnsi="Arial"/>
          <w:sz w:val="18"/>
          <w:szCs w:val="18"/>
          <w:color w:val="auto"/>
        </w:rPr>
      </w:pPr>
    </w:p>
    <w:p>
      <w:pPr>
        <w:ind w:left="1820" w:right="619" w:hanging="182"/>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capacity constraints on existing power grids that were not designed to support distributed and renewable generation infrastructure or technologies such as electric vehicles are positioning energy storage assets as a key solution.</w:t>
      </w:r>
    </w:p>
    <w:p>
      <w:pPr>
        <w:spacing w:after="0" w:line="75" w:lineRule="exact"/>
        <w:rPr>
          <w:rFonts w:ascii="Arial" w:cs="Arial" w:eastAsia="Arial" w:hAnsi="Arial"/>
          <w:sz w:val="18"/>
          <w:szCs w:val="18"/>
          <w:color w:val="auto"/>
        </w:rPr>
      </w:pPr>
    </w:p>
    <w:p>
      <w:pPr>
        <w:ind w:left="1820" w:right="459" w:hanging="182"/>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forecasted reduction in the battery cost, estimated by BloombergNEF to be approximately 8% annually from 2020 to 2030, is expected to improve the economics of energy storage and support the development of larger energy storage systems.</w:t>
      </w:r>
    </w:p>
    <w:p>
      <w:pPr>
        <w:spacing w:after="0" w:line="75" w:lineRule="exact"/>
        <w:rPr>
          <w:rFonts w:ascii="Arial" w:cs="Arial" w:eastAsia="Arial" w:hAnsi="Arial"/>
          <w:sz w:val="18"/>
          <w:szCs w:val="18"/>
          <w:color w:val="auto"/>
        </w:rPr>
      </w:pPr>
    </w:p>
    <w:p>
      <w:pPr>
        <w:ind w:left="1820" w:right="459" w:hanging="182"/>
        <w:spacing w:after="0" w:line="25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levelized cost of storage (LCOS) of battery storage has decreased from an estimated $324/MWh in 2018 to an estimated $192/MWh in 2020, according to the Lazard Levelized Cost of Storage Analysis. This reduction in cost makes battery storage economically competitive with the gas peakers which are estimated in 2020 to have a levelized cost of energy (LCOE) range of $151/MWh to $198/MWh, according to the Lazard Levelized Cost of Energy Analysis.</w:t>
      </w:r>
    </w:p>
    <w:p>
      <w:pPr>
        <w:spacing w:after="0" w:line="79" w:lineRule="exact"/>
        <w:rPr>
          <w:rFonts w:ascii="Arial" w:cs="Arial" w:eastAsia="Arial" w:hAnsi="Arial"/>
          <w:sz w:val="18"/>
          <w:szCs w:val="18"/>
          <w:color w:val="auto"/>
        </w:rPr>
      </w:pPr>
    </w:p>
    <w:p>
      <w:pPr>
        <w:ind w:left="1820" w:right="519" w:hanging="182"/>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responsibility has become a priority for major companies and investors, with over 300 major companies having pledged to source 100% of their energy from renewables as part of the RE100, a global corporate renewable energy initiative.</w:t>
      </w:r>
    </w:p>
    <w:p>
      <w:pPr>
        <w:spacing w:after="0" w:line="75" w:lineRule="exact"/>
        <w:rPr>
          <w:rFonts w:ascii="Arial" w:cs="Arial" w:eastAsia="Arial" w:hAnsi="Arial"/>
          <w:sz w:val="18"/>
          <w:szCs w:val="18"/>
          <w:color w:val="auto"/>
        </w:rPr>
      </w:pPr>
    </w:p>
    <w:p>
      <w:pPr>
        <w:ind w:left="1820" w:right="55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Governments across the globe have announced policies to support the transition from fossil fuels to low-carbon forms of energy.</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Products and Services</w:t>
      </w:r>
    </w:p>
    <w:p>
      <w:pPr>
        <w:spacing w:after="0" w:line="148" w:lineRule="exact"/>
        <w:rPr>
          <w:sz w:val="20"/>
          <w:szCs w:val="20"/>
          <w:color w:val="auto"/>
        </w:rPr>
      </w:pPr>
    </w:p>
    <w:p>
      <w:pPr>
        <w:ind w:left="1280" w:right="419" w:firstLine="360"/>
        <w:spacing w:after="0" w:line="241" w:lineRule="auto"/>
        <w:rPr>
          <w:sz w:val="20"/>
          <w:szCs w:val="20"/>
          <w:color w:val="auto"/>
        </w:rPr>
      </w:pPr>
      <w:r>
        <w:rPr>
          <w:rFonts w:ascii="Arial" w:cs="Arial" w:eastAsia="Arial" w:hAnsi="Arial"/>
          <w:sz w:val="18"/>
          <w:szCs w:val="18"/>
          <w:color w:val="auto"/>
        </w:rPr>
        <w:t>Our offerings include energy storage products and delivery services, recurring operational services, and digital solutions and applications for energy storage and other power assets. We have repeatedly pioneered new use cases for grid -scale energy storage. Some of the uses we have supported include frequency regulation, generation enhancement, capacity peak power, energy cost control, microgrids/islands, renewable integration, virtual dams, T&amp;D enhancement, and critical power.</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Energy Storage Products</w:t>
      </w:r>
    </w:p>
    <w:p>
      <w:pPr>
        <w:spacing w:after="0" w:line="158" w:lineRule="exact"/>
        <w:rPr>
          <w:sz w:val="20"/>
          <w:szCs w:val="20"/>
          <w:color w:val="auto"/>
        </w:rPr>
      </w:pPr>
    </w:p>
    <w:p>
      <w:pPr>
        <w:ind w:left="1280" w:right="739" w:firstLine="360"/>
        <w:spacing w:after="0" w:line="291" w:lineRule="auto"/>
        <w:rPr>
          <w:sz w:val="20"/>
          <w:szCs w:val="20"/>
          <w:color w:val="auto"/>
        </w:rPr>
      </w:pPr>
      <w:r>
        <w:rPr>
          <w:rFonts w:ascii="Arial" w:cs="Arial" w:eastAsia="Arial" w:hAnsi="Arial"/>
          <w:sz w:val="17"/>
          <w:szCs w:val="17"/>
          <w:color w:val="auto"/>
        </w:rPr>
        <w:t>We sell highly configurable energy storage products with integrated hardware, software, and digital intelligence. Unlike other energy storage providers, we take a customer- and market-centric approach,</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19"/>
        <w:spacing w:after="0" w:line="269" w:lineRule="auto"/>
        <w:rPr>
          <w:sz w:val="20"/>
          <w:szCs w:val="20"/>
          <w:color w:val="auto"/>
        </w:rPr>
      </w:pPr>
      <w:r>
        <w:rPr>
          <w:rFonts w:ascii="Arial" w:cs="Arial" w:eastAsia="Arial" w:hAnsi="Arial"/>
          <w:sz w:val="17"/>
          <w:szCs w:val="17"/>
          <w:color w:val="auto"/>
        </w:rPr>
        <w:t xml:space="preserve">building products and technology based on customer needs and economic feasibility. We offer three energy storage products built on our sixth-generation Tech Stack foundation, which are optimized for common customer use cases but can be configured for specific use cases: </w:t>
      </w:r>
      <w:r>
        <w:rPr>
          <w:rFonts w:ascii="Arial" w:cs="Arial" w:eastAsia="Arial" w:hAnsi="Arial"/>
          <w:sz w:val="17"/>
          <w:szCs w:val="17"/>
          <w:i w:val="1"/>
          <w:iCs w:val="1"/>
          <w:color w:val="auto"/>
        </w:rPr>
        <w:t>Gridstack™</w:t>
      </w:r>
      <w:r>
        <w:rPr>
          <w:rFonts w:ascii="Arial" w:cs="Arial" w:eastAsia="Arial" w:hAnsi="Arial"/>
          <w:sz w:val="17"/>
          <w:szCs w:val="17"/>
          <w:color w:val="auto"/>
        </w:rPr>
        <w:t xml:space="preserve">, a grid-scale, industrial-strength energy storage product designed for demanding market applications with industry-leading reliability, scalability, and safety; </w:t>
      </w:r>
      <w:r>
        <w:rPr>
          <w:rFonts w:ascii="Arial" w:cs="Arial" w:eastAsia="Arial" w:hAnsi="Arial"/>
          <w:sz w:val="17"/>
          <w:szCs w:val="17"/>
          <w:i w:val="1"/>
          <w:iCs w:val="1"/>
          <w:color w:val="auto"/>
        </w:rPr>
        <w:t>Sunstack™</w:t>
      </w:r>
      <w:r>
        <w:rPr>
          <w:rFonts w:ascii="Arial" w:cs="Arial" w:eastAsia="Arial" w:hAnsi="Arial"/>
          <w:sz w:val="17"/>
          <w:szCs w:val="17"/>
          <w:color w:val="auto"/>
        </w:rPr>
        <w:t xml:space="preserve">: designed to optimize solar capture and delivery; and </w:t>
      </w:r>
      <w:r>
        <w:rPr>
          <w:rFonts w:ascii="Arial" w:cs="Arial" w:eastAsia="Arial" w:hAnsi="Arial"/>
          <w:sz w:val="17"/>
          <w:szCs w:val="17"/>
          <w:i w:val="1"/>
          <w:iCs w:val="1"/>
          <w:color w:val="auto"/>
        </w:rPr>
        <w:t>Edgestack™</w:t>
      </w:r>
      <w:r>
        <w:rPr>
          <w:rFonts w:ascii="Arial" w:cs="Arial" w:eastAsia="Arial" w:hAnsi="Arial"/>
          <w:sz w:val="17"/>
          <w:szCs w:val="17"/>
          <w:color w:val="auto"/>
        </w:rPr>
        <w:t>: commercial energy storage product that discharges when needed to flatten a facility’s energy</w:t>
      </w:r>
      <w:r>
        <w:rPr>
          <w:rFonts w:ascii="Arial" w:cs="Arial" w:eastAsia="Arial" w:hAnsi="Arial"/>
          <w:sz w:val="17"/>
          <w:szCs w:val="17"/>
          <w:i w:val="1"/>
          <w:iCs w:val="1"/>
          <w:color w:val="auto"/>
        </w:rPr>
        <w:t xml:space="preserve"> </w:t>
      </w:r>
      <w:r>
        <w:rPr>
          <w:rFonts w:ascii="Arial" w:cs="Arial" w:eastAsia="Arial" w:hAnsi="Arial"/>
          <w:sz w:val="17"/>
          <w:szCs w:val="17"/>
          <w:color w:val="auto"/>
        </w:rPr>
        <w:t>load profile, resulting in significantly reduced demand charges. The fully integrated product is available in smaller-size building blocks that can be easily configured to meet the needs of individual facilities and aggregated across fleets or locations without time-consuming redesigns. We also offer comprehensive engineering and delivery services to support the deployment of our storage products. Customers can select from a range of delivery service, from project design to full-wrap turnkey installation.</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Sixth-Generation Technology Stack</w:t>
      </w:r>
    </w:p>
    <w:p>
      <w:pPr>
        <w:spacing w:after="0" w:line="144" w:lineRule="exact"/>
        <w:rPr>
          <w:sz w:val="20"/>
          <w:szCs w:val="20"/>
          <w:color w:val="auto"/>
        </w:rPr>
      </w:pPr>
    </w:p>
    <w:p>
      <w:pPr>
        <w:ind w:left="1280" w:right="419" w:firstLine="360"/>
        <w:spacing w:after="0" w:line="271" w:lineRule="auto"/>
        <w:rPr>
          <w:sz w:val="20"/>
          <w:szCs w:val="20"/>
          <w:color w:val="auto"/>
        </w:rPr>
      </w:pPr>
      <w:r>
        <w:rPr>
          <w:rFonts w:ascii="Arial" w:cs="Arial" w:eastAsia="Arial" w:hAnsi="Arial"/>
          <w:sz w:val="17"/>
          <w:szCs w:val="17"/>
          <w:color w:val="auto"/>
        </w:rPr>
        <w:t>The Tech Stack, which is comprised of our Fluence Cube, Fluence OS, and Fluence IQ, builds upon 13 years of development in prior generations, reflecting ongoing safety and design improvements. The Fluence Cube is a modular, factory-built, approximately 8’x8’x8’ building block that delivers safe, scalable, cost-effective products. Our battery and supplier-agnostic system architecture allows us to deliver optimized solutions for our customers on a global scale while incorporating the latest technology components. Fluence OS is a fully integrated edge controls platform with comprehensive control, asset management and system visibility across single sites or entire fleets. The Fluence IQ Digital Platform supports applications to improve revenue generation, system decision-making, asset performance, and operations.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Operational &amp; Maintenance Services</w:t>
      </w:r>
    </w:p>
    <w:p>
      <w:pPr>
        <w:spacing w:after="0" w:line="158" w:lineRule="exact"/>
        <w:rPr>
          <w:sz w:val="20"/>
          <w:szCs w:val="20"/>
          <w:color w:val="auto"/>
        </w:rPr>
      </w:pPr>
    </w:p>
    <w:p>
      <w:pPr>
        <w:ind w:left="1280" w:right="419" w:firstLine="360"/>
        <w:spacing w:after="0" w:line="272" w:lineRule="auto"/>
        <w:rPr>
          <w:sz w:val="20"/>
          <w:szCs w:val="20"/>
          <w:color w:val="auto"/>
        </w:rPr>
      </w:pPr>
      <w:r>
        <w:rPr>
          <w:rFonts w:ascii="Arial" w:cs="Arial" w:eastAsia="Arial" w:hAnsi="Arial"/>
          <w:sz w:val="17"/>
          <w:szCs w:val="17"/>
          <w:color w:val="auto"/>
        </w:rPr>
        <w:t>In addition to energy storage products, our offerings include delivery services and recurring operational services. Our recurring O&amp;M services are designed around customer business needs, in-house capabilities, performance requirements, and risk profiles. We offer four operational services packages: Guided Services, Shared Services, Complete Services, and Asset Management. These packages provide varying levels of training, maintenance, guarantees, warranties, and support to address our customers’ desired level of active system management. These service levels range from providing comprehensive training for customers to performing full asset operation and management on behalf of the customer.</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Energy Storage-as-a-Service</w:t>
      </w:r>
    </w:p>
    <w:p>
      <w:pPr>
        <w:spacing w:after="0" w:line="158" w:lineRule="exact"/>
        <w:rPr>
          <w:sz w:val="20"/>
          <w:szCs w:val="20"/>
          <w:color w:val="auto"/>
        </w:rPr>
      </w:pPr>
    </w:p>
    <w:p>
      <w:pPr>
        <w:ind w:left="1280" w:right="479" w:firstLine="360"/>
        <w:spacing w:after="0" w:line="263" w:lineRule="auto"/>
        <w:rPr>
          <w:sz w:val="20"/>
          <w:szCs w:val="20"/>
          <w:color w:val="auto"/>
        </w:rPr>
      </w:pPr>
      <w:r>
        <w:rPr>
          <w:rFonts w:ascii="Arial" w:cs="Arial" w:eastAsia="Arial" w:hAnsi="Arial"/>
          <w:sz w:val="18"/>
          <w:szCs w:val="18"/>
          <w:color w:val="auto"/>
        </w:rPr>
        <w:t>Fluence, working with third-party financial partners, including Siemens Financial Services, offers financing structuring services to customers. For instance, ESaaS enables customers to access the benefits of energy storage without upfront investment or technical expertise.</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Digital Applications and Solutions</w:t>
      </w:r>
    </w:p>
    <w:p>
      <w:pPr>
        <w:spacing w:after="0" w:line="144" w:lineRule="exact"/>
        <w:rPr>
          <w:sz w:val="20"/>
          <w:szCs w:val="20"/>
          <w:color w:val="auto"/>
        </w:rPr>
      </w:pPr>
    </w:p>
    <w:p>
      <w:pPr>
        <w:ind w:left="1280" w:right="539" w:firstLine="360"/>
        <w:spacing w:after="0" w:line="263" w:lineRule="auto"/>
        <w:rPr>
          <w:sz w:val="20"/>
          <w:szCs w:val="20"/>
          <w:color w:val="auto"/>
        </w:rPr>
      </w:pPr>
      <w:r>
        <w:rPr>
          <w:rFonts w:ascii="Arial" w:cs="Arial" w:eastAsia="Arial" w:hAnsi="Arial"/>
          <w:sz w:val="18"/>
          <w:szCs w:val="18"/>
          <w:color w:val="auto"/>
        </w:rPr>
        <w:t>Our team is continuously expanding the digital applications we offer to customers. Those applications may include internally developed applications as well as third-party applications offered through the Fluence IQ digital applications platform.</w:t>
      </w:r>
    </w:p>
    <w:p>
      <w:pPr>
        <w:spacing w:after="0" w:line="116" w:lineRule="exact"/>
        <w:rPr>
          <w:sz w:val="20"/>
          <w:szCs w:val="20"/>
          <w:color w:val="auto"/>
        </w:rPr>
      </w:pPr>
    </w:p>
    <w:p>
      <w:pPr>
        <w:ind w:left="1280" w:right="499" w:firstLine="360"/>
        <w:spacing w:after="0" w:line="269" w:lineRule="auto"/>
        <w:rPr>
          <w:sz w:val="20"/>
          <w:szCs w:val="20"/>
          <w:color w:val="auto"/>
        </w:rPr>
      </w:pPr>
      <w:r>
        <w:rPr>
          <w:rFonts w:ascii="Arial" w:cs="Arial" w:eastAsia="Arial" w:hAnsi="Arial"/>
          <w:sz w:val="17"/>
          <w:szCs w:val="17"/>
          <w:color w:val="auto"/>
        </w:rPr>
        <w:t>Our proprietary operations platform, Fluence OS, enables asset owners to manage storage product operations according to pre-set modes and access real-time information through cloud-based data. It is an integral part of all our energy storage product sales. Fluence OS controls software enables Fluence energy storage products to deliver critical grid services such as primary frequency regulation, secondary frequency response, fast frequency response, peak shaving, voltage regulation, power factor regulation, non-spinning reserves, capacity peak power, solar energy time-shifting, firm solar export, energy arbitrage, and more. Fluence also delivers stacking of grid services, allowing storage assets to perform multiple services simultaneously and increase revenue-generating opportunities. In addition to Fluence OS, we offer the Fluence IQ Digital Platform with specialized digital applications that encompasses proprietary artificial intelligence and data science technologies, such as the Fluence Bidding Application.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399" w:firstLine="360"/>
        <w:spacing w:after="0" w:line="271" w:lineRule="auto"/>
        <w:rPr>
          <w:sz w:val="20"/>
          <w:szCs w:val="20"/>
          <w:color w:val="auto"/>
        </w:rPr>
      </w:pPr>
      <w:r>
        <w:rPr>
          <w:rFonts w:ascii="Arial" w:cs="Arial" w:eastAsia="Arial" w:hAnsi="Arial"/>
          <w:sz w:val="17"/>
          <w:szCs w:val="17"/>
          <w:color w:val="auto"/>
        </w:rPr>
        <w:t>The Bidding Application is a leading artificial intelligence-enabled bidding software for utility-scale storage and renewable and conventional generation assets, enabling customers to optimize asset trading in wholesale electricity markets. That leadership is demonstrated by the fact that it has been selected by one customer for deployment in the California market to optimize a product acquired from a Fluence competitor. In addition, it is currently used to optimize approximately 20% of all the utility-scale wind and solar assets bidding into Australia’s National Electricity Market, including one of the largest solar farms in the country. One of the goals of the AMS acquisition is to combine Fluence’s insights from deep experience operating energy storage products globally with the Bidding Application’s optimized market participation capabilities.</w:t>
      </w:r>
    </w:p>
    <w:p>
      <w:pPr>
        <w:spacing w:after="0" w:line="97" w:lineRule="exact"/>
        <w:rPr>
          <w:sz w:val="20"/>
          <w:szCs w:val="20"/>
          <w:color w:val="auto"/>
        </w:rPr>
      </w:pPr>
    </w:p>
    <w:p>
      <w:pPr>
        <w:ind w:left="1280" w:right="419" w:firstLine="360"/>
        <w:spacing w:after="0" w:line="273" w:lineRule="auto"/>
        <w:rPr>
          <w:sz w:val="20"/>
          <w:szCs w:val="20"/>
          <w:color w:val="auto"/>
        </w:rPr>
      </w:pPr>
      <w:r>
        <w:rPr>
          <w:rFonts w:ascii="Arial" w:cs="Arial" w:eastAsia="Arial" w:hAnsi="Arial"/>
          <w:sz w:val="17"/>
          <w:szCs w:val="17"/>
          <w:color w:val="auto"/>
        </w:rPr>
        <w:t>Our Bidding Application is technology-agnostic (it can be applied to wind and solar assets as well as energy storage assets) and vendor-agnostic (it is available to optimize non-Fluence storage products), and it is delivered using cloud-based software-as-a-service, avoiding requirements for onsite hardware or software installations. Our pricing strategy is based on a volume-based subscription fee with the ability to start with a smaller scale and increase the number of assets covered by the software as customers build out their fleets, along with the potential for performance-based revenue-sharing structures.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1280" w:right="439" w:firstLine="360"/>
        <w:spacing w:after="0" w:line="263" w:lineRule="auto"/>
        <w:rPr>
          <w:sz w:val="20"/>
          <w:szCs w:val="20"/>
          <w:color w:val="auto"/>
        </w:rPr>
      </w:pPr>
      <w:r>
        <w:rPr>
          <w:rFonts w:ascii="Arial" w:cs="Arial" w:eastAsia="Arial" w:hAnsi="Arial"/>
          <w:sz w:val="18"/>
          <w:szCs w:val="18"/>
          <w:color w:val="auto"/>
        </w:rPr>
        <w:t>We believe the following key strengths have enabled us to become a leading provider of energy storage products, services, and digital applications, positioning us to continue to capture future market opportunities:</w:t>
      </w:r>
    </w:p>
    <w:p>
      <w:pPr>
        <w:spacing w:after="0" w:line="76" w:lineRule="exact"/>
        <w:rPr>
          <w:sz w:val="20"/>
          <w:szCs w:val="20"/>
          <w:color w:val="auto"/>
        </w:rPr>
      </w:pPr>
    </w:p>
    <w:p>
      <w:pPr>
        <w:ind w:left="1820" w:right="439" w:hanging="182"/>
        <w:spacing w:after="0" w:line="269"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Incumbent position with global track record of success. </w:t>
      </w:r>
      <w:r>
        <w:rPr>
          <w:rFonts w:ascii="Arial" w:cs="Arial" w:eastAsia="Arial" w:hAnsi="Arial"/>
          <w:sz w:val="17"/>
          <w:szCs w:val="17"/>
          <w:color w:val="auto"/>
        </w:rPr>
        <w:t>We are one of the largest providers of energy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storage products globally, with 1.0 GW of energy storage assets deployed and 2.7 GW of contracted backlog as of September 30, 2021, and a track record of 13 years of experience from our predecessor companies. Additionally, as of September 30, 2021, we had an aggregate of 3.1 GW of renewable energy assets using the Fluence Bidding Application and 1.6 GW of contracted backlog related to renewables and energy storage assets. Moreover, through Fluence OS, we have access to hundreds of thousands of hours of cumulative energy storage product operating history, with over 290 terabytes of data on operation and performance as of June 30, 2021. This data enables us to optimize our asset base, dispatching them to maximize economics, reduce operational costs, extend useful lives, and deliver critical grid services when needed.</w:t>
      </w:r>
    </w:p>
    <w:p>
      <w:pPr>
        <w:spacing w:after="0" w:line="77" w:lineRule="exact"/>
        <w:rPr>
          <w:rFonts w:ascii="Arial" w:cs="Arial" w:eastAsia="Arial" w:hAnsi="Arial"/>
          <w:sz w:val="17"/>
          <w:szCs w:val="17"/>
          <w:color w:val="auto"/>
        </w:rPr>
      </w:pPr>
    </w:p>
    <w:p>
      <w:pPr>
        <w:ind w:left="1820" w:right="479" w:hanging="182"/>
        <w:spacing w:after="0" w:line="255"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Disruptive digital and software products. </w:t>
      </w:r>
      <w:r>
        <w:rPr>
          <w:rFonts w:ascii="Arial" w:cs="Arial" w:eastAsia="Arial" w:hAnsi="Arial"/>
          <w:sz w:val="18"/>
          <w:szCs w:val="18"/>
          <w:color w:val="auto"/>
        </w:rPr>
        <w:t>We use multi-layered design of edge and cloud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Fluence OS and Fluence IQ, to transform hardware into digital assets that provide extensive market and grid services, such as the Fluence Bidding Application. Our dedicated Fluence Digital team is focused on developing and commercializing additional cloud-based applications using optimization, AI-driven predictive analytics, and software to address the challenges customers face when participating in complex energy markets.</w:t>
      </w:r>
    </w:p>
    <w:p>
      <w:pPr>
        <w:spacing w:after="0" w:line="84" w:lineRule="exact"/>
        <w:rPr>
          <w:rFonts w:ascii="Arial" w:cs="Arial" w:eastAsia="Arial" w:hAnsi="Arial"/>
          <w:sz w:val="18"/>
          <w:szCs w:val="18"/>
          <w:color w:val="auto"/>
        </w:rPr>
      </w:pPr>
    </w:p>
    <w:p>
      <w:pPr>
        <w:ind w:left="1820" w:right="479" w:hanging="182"/>
        <w:spacing w:after="0" w:line="270"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 installed base enables cross-selling and incremental revenue streams. </w:t>
      </w:r>
      <w:r>
        <w:rPr>
          <w:rFonts w:ascii="Arial" w:cs="Arial" w:eastAsia="Arial" w:hAnsi="Arial"/>
          <w:sz w:val="17"/>
          <w:szCs w:val="17"/>
          <w:color w:val="auto"/>
        </w:rPr>
        <w:t>Our installed base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captive market for repeat customers and high-margin follow-on service and digital opportunities, as we are best positioned to provide tailored, value-maximizing solutions for our own products. The majority of our customers adopt energy storage as a new asset class and return for subsequent products purchases. We believe our substantial base of customers and data enables cross-selling of our service and digital offerings. Conversely, digital applications sold to non-Fluence energy storage product customers can enable energy storage product cross-sales. By deploying learnings from our digital application customers to develop offerings that meet their business needs, we believe we can create opportunities to convert them into product owners.</w:t>
      </w:r>
    </w:p>
    <w:p>
      <w:pPr>
        <w:spacing w:after="0" w:line="72" w:lineRule="exact"/>
        <w:rPr>
          <w:rFonts w:ascii="Arial" w:cs="Arial" w:eastAsia="Arial" w:hAnsi="Arial"/>
          <w:sz w:val="17"/>
          <w:szCs w:val="17"/>
          <w:color w:val="auto"/>
        </w:rPr>
      </w:pPr>
    </w:p>
    <w:p>
      <w:pPr>
        <w:ind w:left="1820" w:right="499" w:hanging="182"/>
        <w:spacing w:after="0" w:line="271"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supply chain and technology partnerships. </w:t>
      </w:r>
      <w:r>
        <w:rPr>
          <w:rFonts w:ascii="Arial" w:cs="Arial" w:eastAsia="Arial" w:hAnsi="Arial"/>
          <w:sz w:val="17"/>
          <w:szCs w:val="17"/>
          <w:color w:val="auto"/>
        </w:rPr>
        <w:t>We have developed a global supply chain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evolving regionally focused operational model with the objective of assembling products in proximity to major markets and partnering with innovative suppliers. For example, we recently signed a technology co-development and supply agreement with Northvolt that expands our battery supply chain into Europe and allows us to develop, manufacture, and commercialize an optimized battery subsystem that is significantly more energy dense than today’s standard solutions. The agreement also enables us to deploy a battery management system that we can integrate with other vendors to extend our value chain, develop battery competencies, and lower total cost of ownership.</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93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19" w:hanging="182"/>
        <w:spacing w:after="0" w:line="25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Battery technology-agnostic. </w:t>
      </w:r>
      <w:r>
        <w:rPr>
          <w:rFonts w:ascii="Arial" w:cs="Arial" w:eastAsia="Arial" w:hAnsi="Arial"/>
          <w:sz w:val="18"/>
          <w:szCs w:val="18"/>
          <w:color w:val="auto"/>
        </w:rPr>
        <w:t>Our energy storage products are designed to work with many types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batteries, and we have established partnerships with the leading battery manufacturers around the world, with approximately 20 GWh of contracted battery supply through 2024. As a result, we do not believe we are exposed to significant risk from changes in battery technology or shifts in market share between different manufacturers.</w:t>
      </w:r>
    </w:p>
    <w:p>
      <w:pPr>
        <w:spacing w:after="0" w:line="79" w:lineRule="exact"/>
        <w:rPr>
          <w:rFonts w:ascii="Arial" w:cs="Arial" w:eastAsia="Arial" w:hAnsi="Arial"/>
          <w:sz w:val="18"/>
          <w:szCs w:val="18"/>
          <w:color w:val="auto"/>
        </w:rPr>
      </w:pPr>
    </w:p>
    <w:p>
      <w:pPr>
        <w:ind w:left="1820" w:right="679" w:hanging="182"/>
        <w:spacing w:after="0" w:line="273"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management team with extensive energy storage experience. </w:t>
      </w:r>
      <w:r>
        <w:rPr>
          <w:rFonts w:ascii="Arial" w:cs="Arial" w:eastAsia="Arial" w:hAnsi="Arial"/>
          <w:sz w:val="17"/>
          <w:szCs w:val="17"/>
          <w:color w:val="auto"/>
        </w:rPr>
        <w:t>We believe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assembled one of the most experienced management teams in the energy storage sector, with over 200 years of aggregate industry experience and a proven track-record of managing high-growth, international operations for global industrial and technology companies. Members of our management and Board were on the team that conceived and tested the first ever grid-connected lithium-ion energy storage system and sold the world’s first commercial system.</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ind w:left="1280" w:right="799" w:firstLine="360"/>
        <w:spacing w:after="0" w:line="263" w:lineRule="auto"/>
        <w:rPr>
          <w:sz w:val="20"/>
          <w:szCs w:val="20"/>
          <w:color w:val="auto"/>
        </w:rPr>
      </w:pPr>
      <w:r>
        <w:rPr>
          <w:rFonts w:ascii="Arial" w:cs="Arial" w:eastAsia="Arial" w:hAnsi="Arial"/>
          <w:sz w:val="18"/>
          <w:szCs w:val="18"/>
          <w:color w:val="auto"/>
        </w:rPr>
        <w:t>We intend to leverage our global scale, technology leadership and market share position to help transform the way we power our world for a more sustainable future. Some key elements of our growth strategy include:</w:t>
      </w:r>
    </w:p>
    <w:p>
      <w:pPr>
        <w:spacing w:after="0" w:line="76" w:lineRule="exact"/>
        <w:rPr>
          <w:sz w:val="20"/>
          <w:szCs w:val="20"/>
          <w:color w:val="auto"/>
        </w:rPr>
      </w:pPr>
    </w:p>
    <w:p>
      <w:pPr>
        <w:ind w:left="1820" w:right="699" w:hanging="182"/>
        <w:spacing w:after="0" w:line="275"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energy products, services, and digital applications packaged into solutions that solve customers’ energy challenges. </w:t>
      </w:r>
      <w:r>
        <w:rPr>
          <w:rFonts w:ascii="Arial" w:cs="Arial" w:eastAsia="Arial" w:hAnsi="Arial"/>
          <w:sz w:val="17"/>
          <w:szCs w:val="17"/>
          <w:color w:val="auto"/>
        </w:rPr>
        <w:t>Our close relationships with customers and our market intimacy informs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hardware and software product development and service offerings and enables us to continually expand use cases for energy storage on the grid—pushing the edge of innovation for grid modernization and decarbonization as our customers’ business models evolve.</w:t>
      </w:r>
    </w:p>
    <w:p>
      <w:pPr>
        <w:spacing w:after="0" w:line="68" w:lineRule="exact"/>
        <w:rPr>
          <w:rFonts w:ascii="Arial" w:cs="Arial" w:eastAsia="Arial" w:hAnsi="Arial"/>
          <w:sz w:val="17"/>
          <w:szCs w:val="17"/>
          <w:color w:val="auto"/>
        </w:rPr>
      </w:pPr>
    </w:p>
    <w:p>
      <w:pPr>
        <w:ind w:left="1820" w:right="639" w:hanging="182"/>
        <w:spacing w:after="0" w:line="25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competitive advantage of productization and manufacturing. </w:t>
      </w:r>
      <w:r>
        <w:rPr>
          <w:rFonts w:ascii="Arial" w:cs="Arial" w:eastAsia="Arial" w:hAnsi="Arial"/>
          <w:sz w:val="18"/>
          <w:szCs w:val="18"/>
          <w:color w:val="auto"/>
        </w:rPr>
        <w:t>We aim to create an optimized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organization, develop mass manufacturing facilities globally, and continue to secure partnerships with key battery suppliers. We believe that enhancing our product-focused model and supply chain leverage will support our global growth objectives and result in superior unit economics.</w:t>
      </w:r>
    </w:p>
    <w:p>
      <w:pPr>
        <w:spacing w:after="0" w:line="79" w:lineRule="exact"/>
        <w:rPr>
          <w:rFonts w:ascii="Arial" w:cs="Arial" w:eastAsia="Arial" w:hAnsi="Arial"/>
          <w:sz w:val="18"/>
          <w:szCs w:val="18"/>
          <w:color w:val="auto"/>
        </w:rPr>
      </w:pPr>
    </w:p>
    <w:p>
      <w:pPr>
        <w:ind w:left="1820" w:right="659" w:hanging="182"/>
        <w:spacing w:after="0" w:line="255"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 sales channels and market segmentation with a regionalized model. </w:t>
      </w:r>
      <w:r>
        <w:rPr>
          <w:rFonts w:ascii="Arial" w:cs="Arial" w:eastAsia="Arial" w:hAnsi="Arial"/>
          <w:sz w:val="18"/>
          <w:szCs w:val="18"/>
          <w:color w:val="auto"/>
        </w:rPr>
        <w:t>We are focused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standardized offerings that are optimized for each of our sales channels, allowing us to streamline product procurement for our customers, improve our sales cycle, enhance our ability to scale and support our margin expansion. We are also moving to a more localized, regional organizational structure to better support customers and sales channels, improve logistics, and enhance market focus.</w:t>
      </w:r>
    </w:p>
    <w:p>
      <w:pPr>
        <w:spacing w:after="0" w:line="97" w:lineRule="exact"/>
        <w:rPr>
          <w:rFonts w:ascii="Arial" w:cs="Arial" w:eastAsia="Arial" w:hAnsi="Arial"/>
          <w:sz w:val="18"/>
          <w:szCs w:val="18"/>
          <w:color w:val="auto"/>
        </w:rPr>
      </w:pPr>
    </w:p>
    <w:p>
      <w:pPr>
        <w:ind w:left="1820" w:right="439" w:hanging="182"/>
        <w:spacing w:after="0" w:line="279"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sponsor relationships to accelerate global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partnerships with AES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Siemens provide built-in and growing customer bases and an international sales channel. In addition, in 2021, QIA became a strategic sponsor with its investment through QFH that may help position us to form relationships with additional technology partners, customers, and suppliers.</w:t>
      </w:r>
    </w:p>
    <w:p>
      <w:pPr>
        <w:spacing w:after="0" w:line="63" w:lineRule="exact"/>
        <w:rPr>
          <w:rFonts w:ascii="Arial" w:cs="Arial" w:eastAsia="Arial" w:hAnsi="Arial"/>
          <w:sz w:val="17"/>
          <w:szCs w:val="17"/>
          <w:color w:val="auto"/>
        </w:rPr>
      </w:pPr>
    </w:p>
    <w:p>
      <w:pPr>
        <w:ind w:left="1820" w:right="439" w:hanging="182"/>
        <w:spacing w:after="0" w:line="25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services with additional value-add offerings. </w:t>
      </w:r>
      <w:r>
        <w:rPr>
          <w:rFonts w:ascii="Arial" w:cs="Arial" w:eastAsia="Arial" w:hAnsi="Arial"/>
          <w:sz w:val="18"/>
          <w:szCs w:val="18"/>
          <w:color w:val="auto"/>
        </w:rPr>
        <w:t>Our delivery and operational service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the diverse needs of our customers in different markets around the world. We intend to build and expand our portfolio of service offerings, including product upgrades, analysis, performance assurance, risk management products, and software support, using data-driven insights generated from our large installed base of energy storage products.</w:t>
      </w:r>
    </w:p>
    <w:p>
      <w:pPr>
        <w:spacing w:after="0" w:line="79" w:lineRule="exact"/>
        <w:rPr>
          <w:rFonts w:ascii="Arial" w:cs="Arial" w:eastAsia="Arial" w:hAnsi="Arial"/>
          <w:sz w:val="18"/>
          <w:szCs w:val="18"/>
          <w:color w:val="auto"/>
        </w:rPr>
      </w:pPr>
    </w:p>
    <w:p>
      <w:pPr>
        <w:ind w:left="1820" w:right="399" w:hanging="182"/>
        <w:spacing w:after="0" w:line="273"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Accelerate the deployment of the Fluence Bidding Application and develop new Fluence IQ digital applications. </w:t>
      </w:r>
      <w:r>
        <w:rPr>
          <w:rFonts w:ascii="Arial" w:cs="Arial" w:eastAsia="Arial" w:hAnsi="Arial"/>
          <w:sz w:val="17"/>
          <w:szCs w:val="17"/>
          <w:color w:val="auto"/>
        </w:rPr>
        <w:t>Our digital offerings enable renewable and energy storage asset owners to solve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complexities of power system dispatch on a grid that remains dependent on out-of-date infrastructure and inefficient tools. We are focused on making the Fluence Bidding Application available in more markets while expanding our breadth of Fluence IQ digital application offerings, including integrated solutions for specific customer segments and new asset classes.</w:t>
      </w:r>
    </w:p>
    <w:p>
      <w:pPr>
        <w:spacing w:after="0" w:line="83" w:lineRule="exact"/>
        <w:rPr>
          <w:rFonts w:ascii="Arial" w:cs="Arial" w:eastAsia="Arial" w:hAnsi="Arial"/>
          <w:sz w:val="17"/>
          <w:szCs w:val="17"/>
          <w:color w:val="auto"/>
        </w:rPr>
      </w:pPr>
    </w:p>
    <w:p>
      <w:pPr>
        <w:ind w:left="1820" w:right="419" w:hanging="182"/>
        <w:spacing w:after="0" w:line="259"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Incubate innovative business models. </w:t>
      </w:r>
      <w:r>
        <w:rPr>
          <w:rFonts w:ascii="Arial" w:cs="Arial" w:eastAsia="Arial" w:hAnsi="Arial"/>
          <w:sz w:val="18"/>
          <w:szCs w:val="18"/>
          <w:color w:val="auto"/>
        </w:rPr>
        <w:t>We continue to explore disruptive digitally-driven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models, including ESaaS, wide-ranging dynamic capacity, virtual storage, asset- and revenue-sharing models, and other offerings that will reinforce our position as a leading provider of comprehensive solutions to support the clean energy transition.</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19" w:hanging="182"/>
        <w:spacing w:after="0" w:line="275" w:lineRule="auto"/>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acquire and successfully integrate companies. </w:t>
      </w:r>
      <w:r>
        <w:rPr>
          <w:rFonts w:ascii="Arial" w:cs="Arial" w:eastAsia="Arial" w:hAnsi="Arial"/>
          <w:sz w:val="17"/>
          <w:szCs w:val="17"/>
          <w:color w:val="auto"/>
        </w:rPr>
        <w:t>We have a demonstrated track record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successfully acquiring and integrating companies, and believe we have the operational structure in place to achieve synergies and capture cross-selling opportunities. For example, within eight months of acquiring AMS, we had fully integrated the team and technology into Fluence and grown adoption of the Fluence Bidding Application software by 1.7 GW.</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Environmental, Social, and Governance</w:t>
      </w:r>
    </w:p>
    <w:p>
      <w:pPr>
        <w:spacing w:after="0" w:line="148" w:lineRule="exact"/>
        <w:rPr>
          <w:sz w:val="20"/>
          <w:szCs w:val="20"/>
          <w:color w:val="auto"/>
        </w:rPr>
      </w:pPr>
    </w:p>
    <w:p>
      <w:pPr>
        <w:ind w:left="1280" w:right="499" w:firstLine="360"/>
        <w:spacing w:after="0" w:line="272" w:lineRule="auto"/>
        <w:rPr>
          <w:sz w:val="20"/>
          <w:szCs w:val="20"/>
          <w:color w:val="auto"/>
        </w:rPr>
      </w:pPr>
      <w:r>
        <w:rPr>
          <w:rFonts w:ascii="Arial" w:cs="Arial" w:eastAsia="Arial" w:hAnsi="Arial"/>
          <w:sz w:val="17"/>
          <w:szCs w:val="17"/>
          <w:color w:val="auto"/>
        </w:rPr>
        <w:t>We are a purpose-built, purpose-driven company on a mission to transform the way we power our world for a more sustainable future. We support the clean energy transition by enabling greater adoption of renewable energy and decarbonized technologies such as electric vehicles and reduced use of thermal generation resources. Our offerings enable more sustainable, reliable, and resilient electric grids in a repeatable, scalable way. On an annualized basis, based on MW deployed as of May 2021, we estimate that Fluence energy storage products have eliminated 145,000 metric tons of carbon per year that would have otherwise been produced—the equivalent of taking more than 30,000 cars off the road each year.</w:t>
      </w:r>
    </w:p>
    <w:p>
      <w:pPr>
        <w:spacing w:after="0" w:line="110" w:lineRule="exact"/>
        <w:rPr>
          <w:sz w:val="20"/>
          <w:szCs w:val="20"/>
          <w:color w:val="auto"/>
        </w:rPr>
      </w:pPr>
    </w:p>
    <w:p>
      <w:pPr>
        <w:ind w:left="1280" w:right="439" w:firstLine="360"/>
        <w:spacing w:after="0" w:line="271" w:lineRule="auto"/>
        <w:rPr>
          <w:sz w:val="20"/>
          <w:szCs w:val="20"/>
          <w:color w:val="auto"/>
        </w:rPr>
      </w:pPr>
      <w:r>
        <w:rPr>
          <w:rFonts w:ascii="Arial" w:cs="Arial" w:eastAsia="Arial" w:hAnsi="Arial"/>
          <w:sz w:val="17"/>
          <w:szCs w:val="17"/>
          <w:color w:val="auto"/>
        </w:rPr>
        <w:t>We endeavor to go beyond the inherent environmental aspects of our technology and implement sustainable and ethical processes throughout our organization. Our supplier code of conduct is at the core of our compliance expectations, and addresses environmental protection, child labor, conflict minerals, and anti-corruption, among other areas. In addition, we only purchase raw materials and minerals from trusted suppliers. In sourcing cobalt for example, we request that suppliers provide an official cobalt statement disclosing its origin, and we only buy cobalt battery chemistry from suppliers who are part of a sustainable cobalt sourcing initiative. In 2021, our supply chain sustainability coordinator engaged the Carbon Disclosure Project to conduct an audit of our supply chain’s carbon footprint.</w:t>
      </w:r>
    </w:p>
    <w:p>
      <w:pPr>
        <w:spacing w:after="0" w:line="111" w:lineRule="exact"/>
        <w:rPr>
          <w:sz w:val="20"/>
          <w:szCs w:val="20"/>
          <w:color w:val="auto"/>
        </w:rPr>
      </w:pPr>
    </w:p>
    <w:p>
      <w:pPr>
        <w:ind w:left="1280" w:right="439" w:firstLine="360"/>
        <w:spacing w:after="0" w:line="255" w:lineRule="auto"/>
        <w:rPr>
          <w:sz w:val="20"/>
          <w:szCs w:val="20"/>
          <w:color w:val="auto"/>
        </w:rPr>
      </w:pPr>
      <w:r>
        <w:rPr>
          <w:rFonts w:ascii="Arial" w:cs="Arial" w:eastAsia="Arial" w:hAnsi="Arial"/>
          <w:sz w:val="18"/>
          <w:szCs w:val="18"/>
          <w:color w:val="auto"/>
        </w:rPr>
        <w:t>We are committed to implementing responsible environmental and ethical practices in our corporate offices as well as our supply chain. Our offices are internationally certified to ISO 14001, which requires an organization to implement and demonstrate compliance with an effective environmental management system to identify and control the environmental impact of its activities, products, and services; continually improve environmental performance; and implement a systematic approach to setting environmental objectives and targets.</w:t>
      </w:r>
    </w:p>
    <w:p>
      <w:pPr>
        <w:spacing w:after="0" w:line="111" w:lineRule="exact"/>
        <w:rPr>
          <w:sz w:val="20"/>
          <w:szCs w:val="20"/>
          <w:color w:val="auto"/>
        </w:rPr>
      </w:pPr>
    </w:p>
    <w:p>
      <w:pPr>
        <w:ind w:left="1280" w:right="479" w:firstLine="360"/>
        <w:spacing w:after="0" w:line="257" w:lineRule="auto"/>
        <w:rPr>
          <w:sz w:val="20"/>
          <w:szCs w:val="20"/>
          <w:color w:val="auto"/>
        </w:rPr>
      </w:pPr>
      <w:r>
        <w:rPr>
          <w:rFonts w:ascii="Arial" w:cs="Arial" w:eastAsia="Arial" w:hAnsi="Arial"/>
          <w:sz w:val="18"/>
          <w:szCs w:val="18"/>
          <w:color w:val="auto"/>
        </w:rPr>
        <w:t>We plan to report how we oversee and manage environmental, social, and governance (“ESG”) factors material to our business under the sector-specific ESG standards recommended by the Sustainability Accounting Standards Board (the “SASB”), including an annual sustainability report. As part of our plan to provide ESG disclosures pursuant to SASB standards, we will evaluate aligning our internal sustainability goals with certain United Nations Sustainable Development Goals.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Creation of Our Company</w:t>
      </w:r>
    </w:p>
    <w:p>
      <w:pPr>
        <w:spacing w:after="0" w:line="162"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8"/>
          <w:szCs w:val="18"/>
          <w:color w:val="auto"/>
        </w:rPr>
        <w:t>We were created from the union of AES’ Energy Storage division and Siemens’ battery-based energy storage solutions group. The founding team at AES Energy Storage—several of whom are on Fluence’s leadership team and Board—tested the first ever lithium-ion battery energy storage system on the grid in 2007, sold the world’s first commercial grid-scale energy storage system in Chile in 2009, and subsequently amassed deep expertise in utility-scale storage solutions for flexible peaking capacity, ancillary services such as frequency regulation, transmission and distribution reliability, and renewable integration applications. Siemens’ battery-based energy storage solutions group was established in 2011, building on the company’s knowledge of customer power needs as a leading global original equipment manufacturer and developing experience in microgrid and islanding applications, renewable hybrid technology, and consumer peak shaving.</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the Transactions</w:t>
      </w:r>
    </w:p>
    <w:p>
      <w:pPr>
        <w:spacing w:after="0" w:line="162" w:lineRule="exact"/>
        <w:rPr>
          <w:sz w:val="20"/>
          <w:szCs w:val="20"/>
          <w:color w:val="auto"/>
        </w:rPr>
      </w:pPr>
    </w:p>
    <w:p>
      <w:pPr>
        <w:ind w:left="1280" w:right="519" w:firstLine="360"/>
        <w:spacing w:after="0" w:line="275" w:lineRule="auto"/>
        <w:rPr>
          <w:sz w:val="20"/>
          <w:szCs w:val="20"/>
          <w:color w:val="auto"/>
        </w:rPr>
      </w:pPr>
      <w:r>
        <w:rPr>
          <w:rFonts w:ascii="Arial" w:cs="Arial" w:eastAsia="Arial" w:hAnsi="Arial"/>
          <w:sz w:val="17"/>
          <w:szCs w:val="17"/>
          <w:color w:val="auto"/>
        </w:rPr>
        <w:t>Fluence Energy, Inc., a Delaware corporation, was formed on June 21, 2021 and is the issuer of the Class A common stock offered by this prospectus. Prior to this offering, all of our business operations have been conducted through Fluence Energy, LLC and its direct and indirect subsidiaries. Prior to the Transactions, we expect there will initially be one holder of common stock of Fluence Energy, Inc. We will consummate the following organizational transactions in connection with this offering:</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81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818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59" w:hanging="182"/>
        <w:spacing w:after="0" w:line="274"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will amend and restate the existing limited liability company agreement of Fluence Energy, LLC, which will become effective prior to the consummation of this offering, to, among other things,</w:t>
      </w:r>
    </w:p>
    <w:p>
      <w:pPr>
        <w:ind w:left="1820" w:right="459"/>
        <w:spacing w:after="0" w:line="255" w:lineRule="auto"/>
        <w:rPr>
          <w:rFonts w:ascii="Arial" w:cs="Arial" w:eastAsia="Arial" w:hAnsi="Arial"/>
          <w:sz w:val="17"/>
          <w:szCs w:val="17"/>
          <w:color w:val="auto"/>
        </w:rPr>
      </w:pPr>
      <w:r>
        <w:rPr>
          <w:rFonts w:ascii="Arial" w:cs="Arial" w:eastAsia="Arial" w:hAnsi="Arial"/>
          <w:sz w:val="18"/>
          <w:szCs w:val="18"/>
          <w:color w:val="auto"/>
        </w:rPr>
        <w:t>(1) recapitalize all existing ownership interests in Fluence Energy, LLC into 135,666,665 LLC Interests and (2) appoint Fluence Energy, Inc. as the sole managing member of Fluence Energy, LLC upon its acquisition of LLC Interests in connection with this offering;</w:t>
      </w:r>
    </w:p>
    <w:p>
      <w:pPr>
        <w:spacing w:after="0" w:line="81" w:lineRule="exact"/>
        <w:rPr>
          <w:rFonts w:ascii="Arial" w:cs="Arial" w:eastAsia="Arial" w:hAnsi="Arial"/>
          <w:sz w:val="17"/>
          <w:szCs w:val="17"/>
          <w:color w:val="auto"/>
        </w:rPr>
      </w:pPr>
    </w:p>
    <w:p>
      <w:pPr>
        <w:ind w:left="1820" w:right="439" w:hanging="182"/>
        <w:spacing w:after="0" w:line="254"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amend and restate Fluence Energy, Inc.’s certificate of incorporation to, among other things, provide (1) for Class A common stock, with each share of our Class A common stock entitling its holder to one vote per share on all matters presented to our stockholders generally, and (2) for Class B-1 common stock, with each share of our Class B-1 common stock entitling its holder to five votes per share on all matters presented to our stockholders generally, and that shares of our Class B-1 common stock may only be held by the Founders and their respective permitted transferees as described in “Description of Capital Stock—Common Stock—Class B-1 and Class B-2 Common Stock;”</w:t>
      </w:r>
    </w:p>
    <w:p>
      <w:pPr>
        <w:spacing w:after="0" w:line="83" w:lineRule="exact"/>
        <w:rPr>
          <w:rFonts w:ascii="Arial" w:cs="Arial" w:eastAsia="Arial" w:hAnsi="Arial"/>
          <w:sz w:val="18"/>
          <w:szCs w:val="18"/>
          <w:color w:val="auto"/>
        </w:rPr>
      </w:pPr>
    </w:p>
    <w:p>
      <w:pPr>
        <w:ind w:left="1820" w:right="439" w:hanging="182"/>
        <w:spacing w:after="0" w:line="263"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and will issue to the Blocker Shareholder 18,493,275 shares of our Class A common stock as consideration in the Blocker Mergers;</w:t>
      </w:r>
    </w:p>
    <w:p>
      <w:pPr>
        <w:spacing w:after="0" w:line="75" w:lineRule="exact"/>
        <w:rPr>
          <w:rFonts w:ascii="Arial" w:cs="Arial" w:eastAsia="Arial" w:hAnsi="Arial"/>
          <w:sz w:val="18"/>
          <w:szCs w:val="18"/>
          <w:color w:val="auto"/>
        </w:rPr>
      </w:pPr>
    </w:p>
    <w:p>
      <w:pPr>
        <w:ind w:left="1820" w:right="539" w:hanging="182"/>
        <w:spacing w:after="0" w:line="27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issue 117,173,390 shares of our Class B-1 common stock to the Founders, which is equal to the number of LLC Interests held by such Founders, for nominal consideration;</w:t>
      </w:r>
    </w:p>
    <w:p>
      <w:pPr>
        <w:spacing w:after="0" w:line="62" w:lineRule="exact"/>
        <w:rPr>
          <w:rFonts w:ascii="Arial" w:cs="Arial" w:eastAsia="Arial" w:hAnsi="Arial"/>
          <w:sz w:val="18"/>
          <w:szCs w:val="18"/>
          <w:color w:val="auto"/>
        </w:rPr>
      </w:pPr>
    </w:p>
    <w:p>
      <w:pPr>
        <w:ind w:left="1820" w:right="559" w:hanging="182"/>
        <w:spacing w:after="0" w:line="273"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will issue 31,000,000 shares of our Class A common stock to the purchasers in this offering (or 35,650,000 shares if the underwriters exercise in full their option to purchase additional shares of Class A common stock) in exchange for net proceeds of approximately $812.4 million (or approximately $935.8 million if the underwriters exercise in full their option to purchase additional shares of Class A common stock) based on the initial public offering price of $28.00 per share, less the underwriting discount and estimated offering expenses payable by us;</w:t>
      </w:r>
    </w:p>
    <w:p>
      <w:pPr>
        <w:spacing w:after="0" w:line="69" w:lineRule="exact"/>
        <w:rPr>
          <w:rFonts w:ascii="Arial" w:cs="Arial" w:eastAsia="Arial" w:hAnsi="Arial"/>
          <w:sz w:val="17"/>
          <w:szCs w:val="17"/>
          <w:color w:val="auto"/>
        </w:rPr>
      </w:pPr>
    </w:p>
    <w:p>
      <w:pPr>
        <w:jc w:val="both"/>
        <w:ind w:left="1820" w:right="499" w:hanging="182"/>
        <w:spacing w:after="0" w:line="25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use the net proceeds from this offering to purchase 31,000,000 newly issued LLC Interests (or 35,650,000 LLC Interests if the underwriters exercise in full their option to purchase additional shares of Class A common stock) directly from Fluence Energy, LLC at a price per unit equal to the initial public offering price per share of Class A common stock in this offering less the underwriting discount and estimated offering expenses payable by us;</w:t>
      </w:r>
    </w:p>
    <w:p>
      <w:pPr>
        <w:spacing w:after="0" w:line="93" w:lineRule="exact"/>
        <w:rPr>
          <w:rFonts w:ascii="Arial" w:cs="Arial" w:eastAsia="Arial" w:hAnsi="Arial"/>
          <w:sz w:val="18"/>
          <w:szCs w:val="18"/>
          <w:color w:val="auto"/>
        </w:rPr>
      </w:pPr>
    </w:p>
    <w:p>
      <w:pPr>
        <w:ind w:left="1820" w:right="679" w:hanging="182"/>
        <w:spacing w:after="0" w:line="259"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Fluence Energy, LLC intends to use the net proceeds from the sale of LLC Interests to Fluence Energy, Inc. to repay all outstanding borrowings under our existing Line of Credit and the Promissory Notes, and the remainder for working capital and other general corporate purposes, as described under “Use of Proceeds;” and</w:t>
      </w:r>
    </w:p>
    <w:p>
      <w:pPr>
        <w:spacing w:after="0" w:line="78" w:lineRule="exact"/>
        <w:rPr>
          <w:rFonts w:ascii="Arial" w:cs="Arial" w:eastAsia="Arial" w:hAnsi="Arial"/>
          <w:sz w:val="18"/>
          <w:szCs w:val="18"/>
          <w:color w:val="auto"/>
        </w:rPr>
      </w:pPr>
    </w:p>
    <w:p>
      <w:pPr>
        <w:ind w:left="1820" w:right="399" w:hanging="182"/>
        <w:spacing w:after="0" w:line="25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Fluence Energy, Inc. and the Continuing Equity Owners will enter into (1) the Stockholders Agreement and the (2) the Registration Rights Agreement, and Fluence Energy, Inc., Fluence Energy, LLC, and the Founders will enter into the Tax Receivable Agreement. For a description of the terms of the Stockholders Agreement, the Registration Rights Agreement and the Tax Receivable Agreement, see “Certain Relationships and Related Party Transactions.”</w:t>
      </w:r>
    </w:p>
    <w:p>
      <w:pPr>
        <w:spacing w:after="0" w:line="10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Immediately following the consummation of the Transactions (including this offering):</w:t>
      </w:r>
    </w:p>
    <w:p>
      <w:pPr>
        <w:spacing w:after="0" w:line="117" w:lineRule="exact"/>
        <w:rPr>
          <w:sz w:val="20"/>
          <w:szCs w:val="20"/>
          <w:color w:val="auto"/>
        </w:rPr>
      </w:pPr>
    </w:p>
    <w:p>
      <w:pPr>
        <w:ind w:left="1820" w:right="399" w:hanging="182"/>
        <w:spacing w:after="0" w:line="308" w:lineRule="auto"/>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Fluence Energy, Inc. will be a holding company and its principal asset will consist of LLC Interests it purchases directly from Fluence Energy, LLC and acquires indirectly from the Blocker Shareholder;</w:t>
      </w:r>
    </w:p>
    <w:p>
      <w:pPr>
        <w:spacing w:after="0" w:line="38" w:lineRule="exact"/>
        <w:rPr>
          <w:rFonts w:ascii="Arial" w:cs="Arial" w:eastAsia="Arial" w:hAnsi="Arial"/>
          <w:sz w:val="17"/>
          <w:szCs w:val="17"/>
          <w:color w:val="auto"/>
        </w:rPr>
      </w:pPr>
    </w:p>
    <w:p>
      <w:pPr>
        <w:ind w:left="1820" w:right="459" w:hanging="182"/>
        <w:spacing w:after="0" w:line="27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Fluence Energy, Inc. will be the sole managing member of Fluence Energy, LLC and will control the business and affairs of Fluence Energy, LLC and its direct and indirect subsidiaries;</w:t>
      </w:r>
    </w:p>
    <w:p>
      <w:pPr>
        <w:spacing w:after="0" w:line="62" w:lineRule="exact"/>
        <w:rPr>
          <w:rFonts w:ascii="Arial" w:cs="Arial" w:eastAsia="Arial" w:hAnsi="Arial"/>
          <w:sz w:val="18"/>
          <w:szCs w:val="18"/>
          <w:color w:val="auto"/>
        </w:rPr>
      </w:pPr>
    </w:p>
    <w:p>
      <w:pPr>
        <w:ind w:left="1820" w:right="479" w:hanging="182"/>
        <w:spacing w:after="0" w:line="25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Fluence Energy, Inc. will own, directly or indirectly, 49,493,275 LLC Interests of Fluence Energy, LLC, representing approximately 29.7% of the economic interest in Fluence Energy, LLC (or 54,143,275 LLC Interests, representing approximately 31.6% of the economic interest in Fluence Energy, LLC if the underwriters exercise in full their option to purchase additional shares of Class A common stock);</w:t>
      </w:r>
    </w:p>
    <w:p>
      <w:pPr>
        <w:spacing w:after="0" w:line="79" w:lineRule="exact"/>
        <w:rPr>
          <w:rFonts w:ascii="Arial" w:cs="Arial" w:eastAsia="Arial" w:hAnsi="Arial"/>
          <w:sz w:val="18"/>
          <w:szCs w:val="18"/>
          <w:color w:val="auto"/>
        </w:rPr>
      </w:pPr>
    </w:p>
    <w:p>
      <w:pPr>
        <w:ind w:left="1820" w:right="1059" w:hanging="182"/>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Founders will own (1) 117,173,390 LLC Interests of Fluence Energy, LLC, representing approximately 70.3% of the economic interest in Fluence Energy, LLC (or 117,173,390 LLC Interests,</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8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19"/>
        <w:spacing w:after="0" w:line="258" w:lineRule="auto"/>
        <w:rPr>
          <w:sz w:val="20"/>
          <w:szCs w:val="20"/>
          <w:color w:val="auto"/>
        </w:rPr>
      </w:pPr>
      <w:r>
        <w:rPr>
          <w:rFonts w:ascii="Arial" w:cs="Arial" w:eastAsia="Arial" w:hAnsi="Arial"/>
          <w:sz w:val="17"/>
          <w:szCs w:val="17"/>
          <w:color w:val="auto"/>
        </w:rPr>
        <w:t>representing approximately 68.4% of the economic interest in Fluence Energy, LLC if the underwriters exercise in full their option to purchase additional shares of Class A common stock) and</w:t>
      </w:r>
    </w:p>
    <w:p>
      <w:pPr>
        <w:spacing w:after="0" w:line="1" w:lineRule="exact"/>
        <w:rPr>
          <w:sz w:val="20"/>
          <w:szCs w:val="20"/>
          <w:color w:val="auto"/>
        </w:rPr>
      </w:pPr>
    </w:p>
    <w:p>
      <w:pPr>
        <w:ind w:left="1820" w:right="459"/>
        <w:spacing w:after="0" w:line="237" w:lineRule="auto"/>
        <w:rPr>
          <w:sz w:val="20"/>
          <w:szCs w:val="20"/>
          <w:color w:val="auto"/>
        </w:rPr>
      </w:pPr>
      <w:r>
        <w:rPr>
          <w:rFonts w:ascii="Arial" w:cs="Arial" w:eastAsia="Arial" w:hAnsi="Arial"/>
          <w:sz w:val="18"/>
          <w:szCs w:val="18"/>
          <w:color w:val="auto"/>
        </w:rPr>
        <w:t>(2) 117,173,390 shares of Class B-1 common stock of Fluence Energy, Inc., representing approximately 92.2% of the combined voting power of all of Fluence Energy, Inc.’s common stock (or 117,173,390 shares of Class B-1 common stock of Fluence Energy, Inc., representing approximately 91.5% if the underwriters exercise in full their option to purchase additional shares of Class A common stock);</w:t>
      </w:r>
    </w:p>
    <w:p>
      <w:pPr>
        <w:spacing w:after="0" w:line="69" w:lineRule="exact"/>
        <w:rPr>
          <w:sz w:val="20"/>
          <w:szCs w:val="20"/>
          <w:color w:val="auto"/>
        </w:rPr>
      </w:pPr>
    </w:p>
    <w:p>
      <w:pPr>
        <w:ind w:left="1820" w:right="579" w:hanging="182"/>
        <w:spacing w:after="0" w:line="269" w:lineRule="auto"/>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Blocker Shareholder will own (1) 18,493,275 shares of Class A common stock of Fluence Energy, Inc. (or 18,493,275 shares of Class A common stock of Fluence Energy, Inc. if the underwriters exercise in full their option to purchase additional shares of Class A common stock), representing approximately 2.9% of the combined voting power of all of Fluence Energy, Inc.’s common stock and approximately 37.4% of the economic interest in Fluence Energy, Inc. (or approximately 2.9% of the combined voting power and approximately 34.2% of the economic interest if the underwriters exercise in full their option to purchase additional shares of Class A common stock), (2) directly and indirectly through Fluence Energy, Inc.’s ownership of LLC Interests, approximately 11.1% of the economic interest in Fluence Energy, LLC (or approximately 10.8% of the economic interest in Fluence Energy, LLC if the underwriters exercise in full their option to purchase additional shares of Class A common stock);</w:t>
      </w:r>
    </w:p>
    <w:p>
      <w:pPr>
        <w:spacing w:after="0" w:line="73" w:lineRule="exact"/>
        <w:rPr>
          <w:rFonts w:ascii="Arial" w:cs="Arial" w:eastAsia="Arial" w:hAnsi="Arial"/>
          <w:sz w:val="17"/>
          <w:szCs w:val="17"/>
          <w:color w:val="auto"/>
        </w:rPr>
      </w:pPr>
    </w:p>
    <w:p>
      <w:pPr>
        <w:ind w:left="1820" w:right="399" w:hanging="182"/>
        <w:spacing w:after="0" w:line="253"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purchasers in this offering will own (1) 31,000,000 shares of Class A common stock of Fluence Energy, Inc. (or 35,650,000 shares of Class A common stock of Fluence Energy, Inc. if the underwriters exercise in full their option to purchase additional shares of Class A common stock), representing approximately 4.9% of the combined voting power of all of Fluence Energy, Inc.’s common stock and approximately 62.6% of the economic interest in Fluence Energy, Inc. (or approximately 5.6% of the combined voting power and approximately 65.8% of the economic interest if the underwriters exercise in full their option to purchase additional shares of Class A common stock), and (2) through Fluence Energy, Inc.’s ownership of LLC Interests, indirectly will hold approximately 18.6% of the economic interest in Fluence Energy, LLC (or approximately 20.8% of the economic interest in Fluence Energy, LLC if the underwriters exercise in full their option to purchase additional shares of Class A common stock); and</w:t>
      </w:r>
    </w:p>
    <w:p>
      <w:pPr>
        <w:spacing w:after="0" w:line="70" w:lineRule="exact"/>
        <w:rPr>
          <w:rFonts w:ascii="Arial" w:cs="Arial" w:eastAsia="Arial" w:hAnsi="Arial"/>
          <w:sz w:val="18"/>
          <w:szCs w:val="18"/>
          <w:color w:val="auto"/>
        </w:rPr>
      </w:pPr>
    </w:p>
    <w:p>
      <w:pPr>
        <w:ind w:left="1820" w:right="579" w:hanging="182"/>
        <w:spacing w:after="0" w:line="342" w:lineRule="auto"/>
        <w:tabs>
          <w:tab w:leader="none" w:pos="1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will have 23,988,372 shares of Class A common stock reserved for issuance pursuant to awards under our incentive compensation plans. See “Executive Compensation—Equity Compensation.”</w:t>
      </w:r>
    </w:p>
    <w:p>
      <w:pPr>
        <w:spacing w:after="0" w:line="56" w:lineRule="exact"/>
        <w:rPr>
          <w:sz w:val="20"/>
          <w:szCs w:val="20"/>
          <w:color w:val="auto"/>
        </w:rPr>
      </w:pPr>
    </w:p>
    <w:p>
      <w:pPr>
        <w:ind w:left="1280" w:right="399" w:firstLine="360"/>
        <w:spacing w:after="0" w:line="239" w:lineRule="auto"/>
        <w:rPr>
          <w:sz w:val="20"/>
          <w:szCs w:val="20"/>
          <w:color w:val="auto"/>
        </w:rPr>
      </w:pPr>
      <w:r>
        <w:rPr>
          <w:rFonts w:ascii="Arial" w:cs="Arial" w:eastAsia="Arial" w:hAnsi="Arial"/>
          <w:sz w:val="18"/>
          <w:szCs w:val="18"/>
          <w:color w:val="auto"/>
        </w:rPr>
        <w:t>As the sole managing member of Fluence Energy, LLC, we will operate and control all the business and affairs of Fluence Energy, LLC and, through Fluence Energy, LLC and its direct and indirect subsidiaries, conduct our business. Following the Transactions, including this offering, Fluence Energy, Inc. will control the management of Fluence Energy, LLC as its sole managing member. As a result, Fluence Energy, Inc. will consolidate Fluence Energy, LLC and record a significant non-controlling interest in a consolidated entity in Fluence Energy, Inc.’s consolidated financial statements for the economic interest in Fluence Energy, LLC held by the Founders.</w:t>
      </w:r>
    </w:p>
    <w:p>
      <w:pPr>
        <w:spacing w:after="0" w:line="11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For more information regarding the Transactions and our structure, see “Our Organizational Structure.”</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Revolving Credit Facility</w:t>
      </w:r>
    </w:p>
    <w:p>
      <w:pPr>
        <w:spacing w:after="0" w:line="162" w:lineRule="exact"/>
        <w:rPr>
          <w:sz w:val="20"/>
          <w:szCs w:val="20"/>
          <w:color w:val="auto"/>
        </w:rPr>
      </w:pPr>
    </w:p>
    <w:p>
      <w:pPr>
        <w:ind w:left="1280" w:right="459" w:firstLine="360"/>
        <w:spacing w:after="0" w:line="238" w:lineRule="auto"/>
        <w:rPr>
          <w:sz w:val="20"/>
          <w:szCs w:val="20"/>
          <w:color w:val="auto"/>
        </w:rPr>
      </w:pPr>
      <w:r>
        <w:rPr>
          <w:rFonts w:ascii="Arial" w:cs="Arial" w:eastAsia="Arial" w:hAnsi="Arial"/>
          <w:sz w:val="18"/>
          <w:szCs w:val="18"/>
          <w:color w:val="auto"/>
        </w:rPr>
        <w:t>In connection with this offering, we plan to enter into a $200.0 million secured revolving credit facility (the “Revolver”) dated on or about the date of the consummation of this offering, by and among Fluence Energy, LLC, as the borrower, Fluence Energy, Inc., as a parent guarantor, the subsidiary guarantors party thereto, the lenders party thereto and JP Morgan Chase Bank, N.A., as administrative agent and collateral agent. See “Management’s Discussion and Analysis of Financial Condition and Results of Operations— Liquidity and Capital Resources—Revolving Credit Facility.” The effectiveness of the Revolver is conditioned upon the consummation of this offering; however, this offering is not contingent upon the effectiveness of the Revolver.</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Ownership Structure</w:t>
      </w:r>
    </w:p>
    <w:p>
      <w:pPr>
        <w:spacing w:after="0" w:line="162" w:lineRule="exact"/>
        <w:rPr>
          <w:sz w:val="20"/>
          <w:szCs w:val="20"/>
          <w:color w:val="auto"/>
        </w:rPr>
      </w:pPr>
    </w:p>
    <w:p>
      <w:pPr>
        <w:ind w:left="1280" w:right="839" w:firstLine="360"/>
        <w:spacing w:after="0" w:line="248"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right="659" w:firstLine="360"/>
        <w:spacing w:after="0" w:line="246" w:lineRule="auto"/>
        <w:rPr>
          <w:sz w:val="20"/>
          <w:szCs w:val="20"/>
          <w:color w:val="auto"/>
        </w:rPr>
      </w:pPr>
      <w:r>
        <w:rPr>
          <w:rFonts w:ascii="Arial" w:cs="Arial" w:eastAsia="Arial" w:hAnsi="Arial"/>
          <w:sz w:val="18"/>
          <w:szCs w:val="18"/>
          <w:color w:val="auto"/>
        </w:rPr>
        <w:t>This chart does not include the 23,988,372 shares of Class A common stock issuable pursuant to our equity compensation plans.</w:t>
      </w:r>
    </w:p>
    <w:p>
      <w:pPr>
        <w:spacing w:after="0" w:line="102" w:lineRule="exact"/>
        <w:rPr>
          <w:sz w:val="20"/>
          <w:szCs w:val="20"/>
          <w:color w:val="auto"/>
        </w:rPr>
      </w:pPr>
    </w:p>
    <w:p>
      <w:pPr>
        <w:ind w:left="1280" w:right="539" w:firstLine="360"/>
        <w:spacing w:after="0" w:line="237" w:lineRule="auto"/>
        <w:rPr>
          <w:sz w:val="20"/>
          <w:szCs w:val="20"/>
          <w:color w:val="auto"/>
        </w:rPr>
      </w:pPr>
      <w:r>
        <w:rPr>
          <w:rFonts w:ascii="Arial" w:cs="Arial" w:eastAsia="Arial" w:hAnsi="Arial"/>
          <w:sz w:val="17"/>
          <w:szCs w:val="17"/>
          <w:color w:val="auto"/>
        </w:rPr>
        <w:t>After giving effect to the Transactions, including this offering, Fluence Energy, Inc. will be a holding company whose principal asset will consist of 29.7% of the outstanding LLC Interests of Fluence Energy, LLC (or 31.6% if the underwriters exercise in full their option to purchase additional shares of our Class A common stock). This offering is being conducted through what is commonly referred to as an “Up-C”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redeem their pass-through interests for shares of Class A common stock or cash from the sale of newly issued shares of Class A common stock.</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Recent Developments—Preliminary Fourth Quarter Results</w:t>
      </w:r>
    </w:p>
    <w:p>
      <w:pPr>
        <w:spacing w:after="0" w:line="144" w:lineRule="exact"/>
        <w:rPr>
          <w:sz w:val="20"/>
          <w:szCs w:val="20"/>
          <w:color w:val="auto"/>
        </w:rPr>
      </w:pPr>
    </w:p>
    <w:p>
      <w:pPr>
        <w:ind w:left="1280" w:right="499" w:firstLine="360"/>
        <w:spacing w:after="0" w:line="235" w:lineRule="auto"/>
        <w:rPr>
          <w:sz w:val="20"/>
          <w:szCs w:val="20"/>
          <w:color w:val="auto"/>
        </w:rPr>
      </w:pPr>
      <w:r>
        <w:rPr>
          <w:rFonts w:ascii="Arial" w:cs="Arial" w:eastAsia="Arial" w:hAnsi="Arial"/>
          <w:sz w:val="18"/>
          <w:szCs w:val="18"/>
          <w:color w:val="auto"/>
        </w:rPr>
        <w:t>While we have not yet completed our closing procedures as of and for the three months and fiscal year ended September 30, 2021, set forth below are selected, unaudited, preliminary estimated results for that period.</w:t>
      </w:r>
    </w:p>
    <w:p>
      <w:pPr>
        <w:spacing w:after="0" w:line="10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Based on our preliminary internal estimates, we estimate new energy storage product contracts</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executed during the fiscal year ended September 30, 2021 will represent total contracted power of</w:t>
      </w:r>
    </w:p>
    <w:p>
      <w:pPr>
        <w:ind w:left="1280"/>
        <w:spacing w:after="0" w:line="234" w:lineRule="auto"/>
        <w:rPr>
          <w:sz w:val="20"/>
          <w:szCs w:val="20"/>
          <w:color w:val="auto"/>
        </w:rPr>
      </w:pPr>
      <w:r>
        <w:rPr>
          <w:rFonts w:ascii="Arial" w:cs="Arial" w:eastAsia="Arial" w:hAnsi="Arial"/>
          <w:sz w:val="18"/>
          <w:szCs w:val="18"/>
          <w:color w:val="auto"/>
        </w:rPr>
        <w:t>approximately 1,311 MW, compared to 844 MW of total contracted power during the fiscal year ended</w:t>
      </w:r>
    </w:p>
    <w:p>
      <w:pPr>
        <w:ind w:left="1280"/>
        <w:spacing w:after="0" w:line="235" w:lineRule="auto"/>
        <w:rPr>
          <w:sz w:val="20"/>
          <w:szCs w:val="20"/>
          <w:color w:val="auto"/>
        </w:rPr>
      </w:pPr>
      <w:r>
        <w:rPr>
          <w:rFonts w:ascii="Arial" w:cs="Arial" w:eastAsia="Arial" w:hAnsi="Arial"/>
          <w:sz w:val="18"/>
          <w:szCs w:val="18"/>
          <w:color w:val="auto"/>
        </w:rPr>
        <w:t>September 30, 2020, and new energy storage products executed during the three months ended</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September 30, 2021 will represent total contracted power of approximately 821 MW, compared to 279 MW</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 total contracted power during the three months ended September 30, 2020.</w:t>
      </w:r>
    </w:p>
    <w:p>
      <w:pPr>
        <w:spacing w:after="0" w:line="128" w:lineRule="exact"/>
        <w:rPr>
          <w:sz w:val="20"/>
          <w:szCs w:val="20"/>
          <w:color w:val="auto"/>
        </w:rPr>
      </w:pPr>
    </w:p>
    <w:p>
      <w:pPr>
        <w:ind w:left="1280" w:right="679" w:firstLine="360"/>
        <w:spacing w:after="0" w:line="262" w:lineRule="auto"/>
        <w:rPr>
          <w:sz w:val="20"/>
          <w:szCs w:val="20"/>
          <w:color w:val="auto"/>
        </w:rPr>
      </w:pPr>
      <w:r>
        <w:rPr>
          <w:rFonts w:ascii="Arial" w:cs="Arial" w:eastAsia="Arial" w:hAnsi="Arial"/>
          <w:sz w:val="17"/>
          <w:szCs w:val="17"/>
          <w:color w:val="auto"/>
        </w:rPr>
        <w:t>Additionally, we estimate that for the fiscal year ended September 30, 2021, we had approximately 1,959 MW of contracted service contracts, compared to 232 MW for the fiscal year ended September 30, 2020, and for the three months ended September 30, 2021, we had approximately 749 MW of contracted service contracts, compared to 205 MW for the three months ended September 30, 2020.</w:t>
      </w:r>
    </w:p>
    <w:p>
      <w:pPr>
        <w:spacing w:after="0" w:line="91" w:lineRule="exact"/>
        <w:rPr>
          <w:sz w:val="20"/>
          <w:szCs w:val="20"/>
          <w:color w:val="auto"/>
        </w:rPr>
      </w:pPr>
    </w:p>
    <w:p>
      <w:pPr>
        <w:ind w:left="1280" w:right="639" w:firstLine="360"/>
        <w:spacing w:after="0" w:line="291" w:lineRule="auto"/>
        <w:rPr>
          <w:sz w:val="20"/>
          <w:szCs w:val="20"/>
          <w:color w:val="auto"/>
        </w:rPr>
      </w:pPr>
      <w:r>
        <w:rPr>
          <w:rFonts w:ascii="Arial" w:cs="Arial" w:eastAsia="Arial" w:hAnsi="Arial"/>
          <w:sz w:val="17"/>
          <w:szCs w:val="17"/>
          <w:color w:val="auto"/>
        </w:rPr>
        <w:t>For the fiscal year ended September 30, 2021, we estimate that we had approximately 2,744 MW of contracted digital contracts, compared to 0 MW for the fiscal year ended September 30, 2020, and for the</w:t>
      </w: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39"/>
        <w:spacing w:after="0" w:line="277" w:lineRule="auto"/>
        <w:rPr>
          <w:sz w:val="20"/>
          <w:szCs w:val="20"/>
          <w:color w:val="auto"/>
        </w:rPr>
      </w:pPr>
      <w:r>
        <w:rPr>
          <w:rFonts w:ascii="Arial" w:cs="Arial" w:eastAsia="Arial" w:hAnsi="Arial"/>
          <w:sz w:val="18"/>
          <w:szCs w:val="18"/>
          <w:color w:val="auto"/>
        </w:rPr>
        <w:t>three months ended September 30, 2021, we estimate that we had approximately 1,010 MW of contracted digital contracts, compared to 0 MW for the three months ended September 30, 2020.</w:t>
      </w:r>
    </w:p>
    <w:p>
      <w:pPr>
        <w:spacing w:after="0" w:line="89" w:lineRule="exact"/>
        <w:rPr>
          <w:sz w:val="20"/>
          <w:szCs w:val="20"/>
          <w:color w:val="auto"/>
        </w:rPr>
      </w:pPr>
    </w:p>
    <w:p>
      <w:pPr>
        <w:ind w:left="1280" w:right="399" w:firstLine="360"/>
        <w:spacing w:after="0" w:line="268" w:lineRule="auto"/>
        <w:rPr>
          <w:sz w:val="20"/>
          <w:szCs w:val="20"/>
          <w:color w:val="auto"/>
        </w:rPr>
      </w:pPr>
      <w:r>
        <w:rPr>
          <w:rFonts w:ascii="Arial" w:cs="Arial" w:eastAsia="Arial" w:hAnsi="Arial"/>
          <w:sz w:val="17"/>
          <w:szCs w:val="17"/>
          <w:color w:val="auto"/>
        </w:rPr>
        <w:t>We also estimate that our total revenue for the fiscal year ending September 30, 2021 will be between approximately $650 million and $699 million, compared to $561.3 million of total revenue for the fiscal year ended September 30, 2020, and our total revenue for the three months ending September 30, 2021 will be between approximately $158 million and $207 million, compared to $239.5 million of total revenue for the three months ended September 30, 2020, which is being driven primarily by sales of our energy storage products. Revenue for the three months and fiscal year ending September 30, 2021 has been negatively affected by impacts related to the COVID-19 global pandemic, such as delays in shipping out energy storage products and temporary closures of customer construction sites. Such delays may continue in fiscal year 2022. Please see “Risk Factors—Risks Related to our Business—We have experienced and may continue to experience delays, disruptions, or quality control problems in our manufacturing operations in part due to our third-party supplier and manufacturer concentration.” and “—We face risks related to actual or threatened health epidemics, such as the COVID-19 pandemic, and other outbreaks, which could significantly disrupt our suppliers’ manufacturing and our operations.”</w:t>
      </w:r>
    </w:p>
    <w:p>
      <w:pPr>
        <w:spacing w:after="0" w:line="119" w:lineRule="exact"/>
        <w:rPr>
          <w:sz w:val="20"/>
          <w:szCs w:val="20"/>
          <w:color w:val="auto"/>
        </w:rPr>
      </w:pPr>
    </w:p>
    <w:p>
      <w:pPr>
        <w:ind w:left="1280" w:right="399" w:firstLine="360"/>
        <w:spacing w:after="0" w:line="271" w:lineRule="auto"/>
        <w:rPr>
          <w:sz w:val="20"/>
          <w:szCs w:val="20"/>
          <w:color w:val="auto"/>
        </w:rPr>
      </w:pPr>
      <w:r>
        <w:rPr>
          <w:rFonts w:ascii="Arial" w:cs="Arial" w:eastAsia="Arial" w:hAnsi="Arial"/>
          <w:sz w:val="17"/>
          <w:szCs w:val="17"/>
          <w:color w:val="auto"/>
        </w:rPr>
        <w:t>As discussed elsewhere in this prospectus, we experience seasonality and typically see increased order intake in the third and fourth fiscal quarters (April to September), and we have seen that trend continue in our fiscal fourth quarter ended September 30, 2021. Please see “Management’s Discussion and Analysis of Financial Condition and Results of Operations—Key Factors and Trends—Seasonality” and “Risk Factors— Risks Related to Our Financial Condition and Liquidity—Our order intake and cash flows have been highly seasonal, which could make our future performance difficult to predict and could cause our results of operations for a particular period to fluctuate from quarter to quarter or fall below expectations, resulting in a decline in the price of our Class A common stock” for further discussion of our seasonality.</w:t>
      </w:r>
    </w:p>
    <w:p>
      <w:pPr>
        <w:spacing w:after="0" w:line="111" w:lineRule="exact"/>
        <w:rPr>
          <w:sz w:val="20"/>
          <w:szCs w:val="20"/>
          <w:color w:val="auto"/>
        </w:rPr>
      </w:pPr>
    </w:p>
    <w:p>
      <w:pPr>
        <w:ind w:left="1280" w:right="679" w:firstLine="360"/>
        <w:spacing w:after="0" w:line="291" w:lineRule="auto"/>
        <w:rPr>
          <w:sz w:val="20"/>
          <w:szCs w:val="20"/>
          <w:color w:val="auto"/>
        </w:rPr>
      </w:pPr>
      <w:r>
        <w:rPr>
          <w:rFonts w:ascii="Arial" w:cs="Arial" w:eastAsia="Arial" w:hAnsi="Arial"/>
          <w:sz w:val="16"/>
          <w:szCs w:val="16"/>
          <w:color w:val="auto"/>
        </w:rPr>
        <w:t>For the three months and fiscal year ended September 30, 2021, we expect that our financial results, specifically our gross profit and gross profit as a percentage of revenue, will be negatively impacted by</w:t>
      </w:r>
    </w:p>
    <w:p>
      <w:pPr>
        <w:ind w:left="1280" w:right="479" w:hanging="2"/>
        <w:spacing w:after="0" w:line="265" w:lineRule="auto"/>
        <w:tabs>
          <w:tab w:leader="none" w:pos="1539"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capacity constraints within the shipping industry and increased shipping costs, both of which we believe are caused primarily as a result of the COVID-19 pandemic, and (b) cost overruns and delays we are experiencing in some projects currently under construction. Some of those costs overruns and delays are occurring in the first Generation 6 product deliveries. As a result, we expect to recognize gross loss of approximately $64 million to $75 million for the fiscal year ended September 30, 2021 compared to a gross profit of $7.9 million for the fiscal year ended September 30, 2020, and a gross loss of approximately</w:t>
      </w:r>
    </w:p>
    <w:p>
      <w:pPr>
        <w:ind w:left="1280"/>
        <w:spacing w:after="0"/>
        <w:rPr>
          <w:rFonts w:ascii="Arial" w:cs="Arial" w:eastAsia="Arial" w:hAnsi="Arial"/>
          <w:sz w:val="17"/>
          <w:szCs w:val="17"/>
          <w:color w:val="auto"/>
        </w:rPr>
      </w:pPr>
      <w:r>
        <w:rPr>
          <w:rFonts w:ascii="Arial" w:cs="Arial" w:eastAsia="Arial" w:hAnsi="Arial"/>
          <w:sz w:val="17"/>
          <w:szCs w:val="17"/>
          <w:color w:val="auto"/>
        </w:rPr>
        <w:t>$54 million to $65 million for the three months ended September 30, 2021 compared to a gross profit of</w:t>
      </w:r>
    </w:p>
    <w:p>
      <w:pPr>
        <w:spacing w:after="0" w:line="20" w:lineRule="exact"/>
        <w:rPr>
          <w:rFonts w:ascii="Arial" w:cs="Arial" w:eastAsia="Arial" w:hAnsi="Arial"/>
          <w:sz w:val="17"/>
          <w:szCs w:val="17"/>
          <w:color w:val="auto"/>
        </w:rPr>
      </w:pPr>
    </w:p>
    <w:p>
      <w:pPr>
        <w:ind w:left="1280" w:right="439"/>
        <w:spacing w:after="0" w:line="252" w:lineRule="auto"/>
        <w:rPr>
          <w:rFonts w:ascii="Arial" w:cs="Arial" w:eastAsia="Arial" w:hAnsi="Arial"/>
          <w:sz w:val="17"/>
          <w:szCs w:val="17"/>
          <w:color w:val="auto"/>
        </w:rPr>
      </w:pPr>
      <w:r>
        <w:rPr>
          <w:rFonts w:ascii="Arial" w:cs="Arial" w:eastAsia="Arial" w:hAnsi="Arial"/>
          <w:sz w:val="18"/>
          <w:szCs w:val="18"/>
          <w:color w:val="auto"/>
        </w:rPr>
        <w:t>$12 million for the three months ended September 30, 2020. We also expect to report a lower gross profit as a percentage of revenue for the three months and fiscal year ended September 30, 2021 compared to the corresponding periods of fiscal 2020. See “Risk Factors—Risks Related to Our Business—Significant changes in the cost of raw materials or to logistic cost(s) could adversely affect our financial performance” and “Risk Factors - We have experienced and may continue to experience delays, disruptions, or quality control problems in our manufacturing operations in part due to our third-party supplier and manufacturer concentration.”</w:t>
      </w:r>
    </w:p>
    <w:p>
      <w:pPr>
        <w:spacing w:after="0" w:line="111" w:lineRule="exact"/>
        <w:rPr>
          <w:sz w:val="20"/>
          <w:szCs w:val="20"/>
          <w:color w:val="auto"/>
        </w:rPr>
      </w:pPr>
    </w:p>
    <w:p>
      <w:pPr>
        <w:ind w:left="1280" w:right="419" w:firstLine="360"/>
        <w:spacing w:after="0" w:line="257" w:lineRule="auto"/>
        <w:rPr>
          <w:sz w:val="20"/>
          <w:szCs w:val="20"/>
          <w:color w:val="auto"/>
        </w:rPr>
      </w:pPr>
      <w:r>
        <w:rPr>
          <w:rFonts w:ascii="Arial" w:cs="Arial" w:eastAsia="Arial" w:hAnsi="Arial"/>
          <w:sz w:val="18"/>
          <w:szCs w:val="18"/>
          <w:color w:val="auto"/>
        </w:rPr>
        <w:t>We expect that the negative impacts of the items discussed below will result in a net loss of approximately $158 million to $169 million for the fiscal year ended September 30, 2021, compared to a net loss of $46.7 million for the fiscal year ended September 30, 2020, and a net loss of approximately $84 million to $95 million for the three months ended September 30, 2021, compared to a net loss of $1.1 million for the three months ended September 30, 2020.</w:t>
      </w:r>
    </w:p>
    <w:p>
      <w:pPr>
        <w:spacing w:after="0" w:line="120" w:lineRule="exact"/>
        <w:rPr>
          <w:sz w:val="20"/>
          <w:szCs w:val="20"/>
          <w:color w:val="auto"/>
        </w:rPr>
      </w:pPr>
    </w:p>
    <w:p>
      <w:pPr>
        <w:ind w:left="1280" w:right="519" w:firstLine="360"/>
        <w:spacing w:after="0" w:line="272" w:lineRule="auto"/>
        <w:rPr>
          <w:sz w:val="20"/>
          <w:szCs w:val="20"/>
          <w:color w:val="auto"/>
        </w:rPr>
      </w:pPr>
      <w:r>
        <w:rPr>
          <w:rFonts w:ascii="Arial" w:cs="Arial" w:eastAsia="Arial" w:hAnsi="Arial"/>
          <w:sz w:val="17"/>
          <w:szCs w:val="17"/>
          <w:color w:val="auto"/>
        </w:rPr>
        <w:t>The increased investment into our business growth, the transition to a mass manufacturing business model, the delays from shipping, and temporary customer site closures is causing negative cash flow. We estimate that our cash flow from operations for the fiscal year ending September 30, 2021 will be between approximately $(254) million and $(264) million, compared to $(14) million of cash flow from operations for the fiscal year ended September 30, 2020, and our cash flow from operations for the three months ending September 30, 2021 will be between approximately $(115) million and $(125) million, compared to $61.8 million of cash flow from operations for the three months ended September 30, 2020.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firstLine="360"/>
        <w:spacing w:after="0" w:line="277" w:lineRule="auto"/>
        <w:rPr>
          <w:sz w:val="20"/>
          <w:szCs w:val="20"/>
          <w:color w:val="auto"/>
        </w:rPr>
      </w:pPr>
      <w:r>
        <w:rPr>
          <w:rFonts w:ascii="Arial" w:cs="Arial" w:eastAsia="Arial" w:hAnsi="Arial"/>
          <w:sz w:val="18"/>
          <w:szCs w:val="18"/>
          <w:color w:val="auto"/>
        </w:rPr>
        <w:t>As of September 30, 2021, we had $100 million of indebtedness outstanding under our existing Line of Credit and the Promissory Notes.</w:t>
      </w:r>
    </w:p>
    <w:p>
      <w:pPr>
        <w:spacing w:after="0" w:line="89" w:lineRule="exact"/>
        <w:rPr>
          <w:sz w:val="20"/>
          <w:szCs w:val="20"/>
          <w:color w:val="auto"/>
        </w:rPr>
      </w:pPr>
    </w:p>
    <w:p>
      <w:pPr>
        <w:ind w:left="1280" w:right="419" w:firstLine="360"/>
        <w:spacing w:after="0" w:line="268" w:lineRule="auto"/>
        <w:rPr>
          <w:sz w:val="20"/>
          <w:szCs w:val="20"/>
          <w:color w:val="auto"/>
        </w:rPr>
      </w:pPr>
      <w:r>
        <w:rPr>
          <w:rFonts w:ascii="Arial" w:cs="Arial" w:eastAsia="Arial" w:hAnsi="Arial"/>
          <w:sz w:val="17"/>
          <w:szCs w:val="17"/>
          <w:color w:val="auto"/>
        </w:rPr>
        <w:t>Our preliminary estimated results for the three months and fiscal year ending September 30, 2021 are based solely on information available to us as of the date of this prospectus and are inherently uncertain and subject to change due to a variety of business, economic and competitive risks and uncertainties, many of which are not within our control, and we undertake no obligation to update this information. Our estimates contained in this prospectus are forward looking statements. These estimates should not be viewed as a substitute for our full interim or annual financial statements prepared in accordance with GAAP. Accordingly, you should not place undue reliance on this preliminary data. Our actual results may differ materially from these estimates due to financial results for the remainder of the fiscal year, the completion of our year-end closing procedures, final adjustments and developments that may arise between now and the time our financial results for the three months and fiscal year ended September 30, 2021 are finalized. Our actual consolidated financial statements and related notes for the year ended September 30, 2021 are not expected to be filed with the SEC until after this offering is completed. During the course of the preparation of these actual consolidated financial statements and related notes, additional items that may require material adjustments to the preliminary estimated financial results presented above could be identified.</w:t>
      </w:r>
    </w:p>
    <w:p>
      <w:pPr>
        <w:spacing w:after="0" w:line="117" w:lineRule="exact"/>
        <w:rPr>
          <w:sz w:val="20"/>
          <w:szCs w:val="20"/>
          <w:color w:val="auto"/>
        </w:rPr>
      </w:pPr>
    </w:p>
    <w:p>
      <w:pPr>
        <w:ind w:left="1280" w:right="399" w:firstLine="360"/>
        <w:spacing w:after="0" w:line="255" w:lineRule="auto"/>
        <w:rPr>
          <w:sz w:val="20"/>
          <w:szCs w:val="20"/>
          <w:color w:val="auto"/>
        </w:rPr>
      </w:pPr>
      <w:r>
        <w:rPr>
          <w:rFonts w:ascii="Arial" w:cs="Arial" w:eastAsia="Arial" w:hAnsi="Arial"/>
          <w:sz w:val="18"/>
          <w:szCs w:val="18"/>
          <w:color w:val="auto"/>
        </w:rPr>
        <w:t>The preliminary financial data included in this prospectus have been prepared by and are the responsibility of our management. Ernst &amp; Young LLP has not compiled, reviewed, examined, performed any other assurance procedures, or expressed any form of assurance with respect to the preliminary financial data included in this Registration Statement. The report of Ernst &amp; Young LLP included in this Registration Statement relates to the Company’s historical audited financial statements and does not extend to the unaudited preliminary financial data and should not be read to do so.</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Additional Updates</w:t>
      </w:r>
    </w:p>
    <w:p>
      <w:pPr>
        <w:spacing w:after="0" w:line="162" w:lineRule="exact"/>
        <w:rPr>
          <w:sz w:val="20"/>
          <w:szCs w:val="20"/>
          <w:color w:val="auto"/>
        </w:rPr>
      </w:pPr>
    </w:p>
    <w:p>
      <w:pPr>
        <w:ind w:left="1280" w:right="419" w:firstLine="360"/>
        <w:spacing w:after="0" w:line="252" w:lineRule="auto"/>
        <w:rPr>
          <w:sz w:val="20"/>
          <w:szCs w:val="20"/>
          <w:color w:val="auto"/>
        </w:rPr>
      </w:pPr>
      <w:r>
        <w:rPr>
          <w:rFonts w:ascii="Arial" w:cs="Arial" w:eastAsia="Arial" w:hAnsi="Arial"/>
          <w:sz w:val="18"/>
          <w:szCs w:val="18"/>
          <w:color w:val="auto"/>
        </w:rPr>
        <w:t>As discussed in our condensed consolidated financial statements for the nine months ended June 30, 2021 contained within this prospectus, we were notified on April 28, 2021 of an emergency aboard a vessel carrying Fluence inventory. This incident resulted in damage to a portion of our cargo aboard the vessel. We recorded a gross inventory loss of $19.8 million during the nine months ended June 30, 2021 based on our best preliminary estimate of the net realizable value of the cargo. Subsequent to the issuance of our condensed consolidated financial statements for the nine months ended June 30, 2021, we have revised our estimate of gross inventory losses to $11.4 million based on further inspection and assessment of the damaged inventory. In addition to the inventory losses, we have incurred and expect to incur incremental expenses related to the incident, primarily consisting of inspection costs, project cost overruns due to logistical changes, legal fees and fees to dispose of the damaged cargo. The amount of these incremental expenses incurred during the fiscal year ended September 30, 2021 were approximately $9.4 million (subject to adjustment based on finalization of our financial results for fiscal year 2021), and we expect to incur at least an additional $2.9 million during the fiscal year ended September 30, 2022. We still expect insurance receivables of at least $10.0 million related to non-disputed claims that we believe are probable of collection.</w:t>
      </w:r>
    </w:p>
    <w:p>
      <w:pPr>
        <w:spacing w:after="0" w:line="115" w:lineRule="exact"/>
        <w:rPr>
          <w:sz w:val="20"/>
          <w:szCs w:val="20"/>
          <w:color w:val="auto"/>
        </w:rPr>
      </w:pPr>
    </w:p>
    <w:p>
      <w:pPr>
        <w:ind w:left="1280" w:right="539" w:firstLine="360"/>
        <w:spacing w:after="0" w:line="255" w:lineRule="auto"/>
        <w:rPr>
          <w:sz w:val="20"/>
          <w:szCs w:val="20"/>
          <w:color w:val="auto"/>
        </w:rPr>
      </w:pPr>
      <w:r>
        <w:rPr>
          <w:rFonts w:ascii="Arial" w:cs="Arial" w:eastAsia="Arial" w:hAnsi="Arial"/>
          <w:sz w:val="18"/>
          <w:szCs w:val="18"/>
          <w:color w:val="auto"/>
        </w:rPr>
        <w:t>On September 4, 2021, a 300 MW energy storage facility owned by one of our customers experienced an overheating event. Fluence served as the energy storage technology provider and installed the facility, which was completed earlier in fiscal year 2021. No injuries were reported from the incident. The facility has been taken offline as teams from Fluence, our customer, and the battery manufacturer investigate the incident. We are currently not able to estimate the impact, if any, that this incident may have on our reputation or financial results, or on market adoption of our products.</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Risk Factors</w:t>
      </w:r>
    </w:p>
    <w:p>
      <w:pPr>
        <w:spacing w:after="0" w:line="162"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8"/>
          <w:szCs w:val="18"/>
          <w:color w:val="auto"/>
        </w:rPr>
        <w:t>Participating in this offering involves substantial risk. Our ability to execute our strategy is also subject to certain risks. The risks described under the heading “Risk Factors” included elsewhere in this prospectus may cause us not to realize the full benefits of our strengths or may cause us to be unable to successfully execute all or part of our strategy. Some of the most significant challenges and risks we face include the following: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216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699" w:hanging="182"/>
        <w:spacing w:after="0" w:line="277"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limited operating and revenue history as an independent entity and our nascent industry make evaluating our business and future prospects difficult;</w:t>
      </w:r>
    </w:p>
    <w:p>
      <w:pPr>
        <w:spacing w:after="0" w:line="48" w:lineRule="exact"/>
        <w:rPr>
          <w:rFonts w:ascii="Arial" w:cs="Arial" w:eastAsia="Arial" w:hAnsi="Arial"/>
          <w:sz w:val="18"/>
          <w:szCs w:val="18"/>
          <w:color w:val="auto"/>
        </w:rPr>
      </w:pPr>
    </w:p>
    <w:p>
      <w:pPr>
        <w:ind w:left="1820" w:right="559" w:hanging="182"/>
        <w:spacing w:after="0" w:line="277"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attract new customers and retain existing customers, our revenue growth will be adversely affected;</w:t>
      </w:r>
    </w:p>
    <w:p>
      <w:pPr>
        <w:spacing w:after="0" w:line="48" w:lineRule="exact"/>
        <w:rPr>
          <w:rFonts w:ascii="Arial" w:cs="Arial" w:eastAsia="Arial" w:hAnsi="Arial"/>
          <w:sz w:val="18"/>
          <w:szCs w:val="18"/>
          <w:color w:val="auto"/>
        </w:rPr>
      </w:pPr>
    </w:p>
    <w:p>
      <w:pPr>
        <w:ind w:left="1820" w:right="41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delays, disruptions, or quality control problems in our manufacturing operations in part due to our third-party supplier and manufacturer concentration;</w:t>
      </w:r>
    </w:p>
    <w:p>
      <w:pPr>
        <w:spacing w:after="0" w:line="62" w:lineRule="exact"/>
        <w:rPr>
          <w:rFonts w:ascii="Arial" w:cs="Arial" w:eastAsia="Arial" w:hAnsi="Arial"/>
          <w:sz w:val="18"/>
          <w:szCs w:val="18"/>
          <w:color w:val="auto"/>
        </w:rPr>
      </w:pPr>
    </w:p>
    <w:p>
      <w:pPr>
        <w:ind w:left="1820" w:right="479" w:hanging="182"/>
        <w:spacing w:after="0" w:line="286" w:lineRule="auto"/>
        <w:tabs>
          <w:tab w:leader="none" w:pos="1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experienced and may continue to experience exposure to risks associated with construction, utility interconnection, cost overruns, and delays, including those related to obtaining government permits and other contingencies that may arise in the course of completing installations;</w:t>
      </w:r>
    </w:p>
    <w:p>
      <w:pPr>
        <w:spacing w:after="0" w:line="43" w:lineRule="exact"/>
        <w:rPr>
          <w:rFonts w:ascii="Arial" w:cs="Arial" w:eastAsia="Arial" w:hAnsi="Arial"/>
          <w:sz w:val="17"/>
          <w:szCs w:val="17"/>
          <w:color w:val="auto"/>
        </w:rPr>
      </w:pPr>
    </w:p>
    <w:p>
      <w:pPr>
        <w:ind w:left="1820" w:right="69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interruption of the flow of components and materials from international vendors could disrupt our supply chain, including as a result of the imposition of additional duties, tariffs, and other charges on imports and exports;</w:t>
      </w:r>
    </w:p>
    <w:p>
      <w:pPr>
        <w:spacing w:after="0" w:line="48" w:lineRule="exact"/>
        <w:rPr>
          <w:rFonts w:ascii="Arial" w:cs="Arial" w:eastAsia="Arial" w:hAnsi="Arial"/>
          <w:sz w:val="18"/>
          <w:szCs w:val="18"/>
          <w:color w:val="auto"/>
        </w:rPr>
      </w:pPr>
    </w:p>
    <w:p>
      <w:pPr>
        <w:ind w:left="1820" w:right="419" w:hanging="182"/>
        <w:spacing w:after="0" w:line="277"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changes in the cost of raw materials or to logistic cost could adversely affect our financial performance;</w:t>
      </w:r>
    </w:p>
    <w:p>
      <w:pPr>
        <w:spacing w:after="0" w:line="48" w:lineRule="exact"/>
        <w:rPr>
          <w:rFonts w:ascii="Arial" w:cs="Arial" w:eastAsia="Arial" w:hAnsi="Arial"/>
          <w:sz w:val="18"/>
          <w:szCs w:val="18"/>
          <w:color w:val="auto"/>
        </w:rPr>
      </w:pPr>
    </w:p>
    <w:p>
      <w:pPr>
        <w:ind w:left="1820" w:right="1079" w:hanging="182"/>
        <w:spacing w:after="0" w:line="277"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any energy storage products provided to our customers contain manufacturing defects, our business and financial results could be adversely affected;</w:t>
      </w:r>
    </w:p>
    <w:p>
      <w:pPr>
        <w:spacing w:after="0" w:line="48" w:lineRule="exact"/>
        <w:rPr>
          <w:rFonts w:ascii="Arial" w:cs="Arial" w:eastAsia="Arial" w:hAnsi="Arial"/>
          <w:sz w:val="18"/>
          <w:szCs w:val="18"/>
          <w:color w:val="auto"/>
        </w:rPr>
      </w:pPr>
    </w:p>
    <w:p>
      <w:pPr>
        <w:ind w:left="1820" w:right="47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62" w:lineRule="exact"/>
        <w:rPr>
          <w:rFonts w:ascii="Arial" w:cs="Arial" w:eastAsia="Arial" w:hAnsi="Arial"/>
          <w:sz w:val="18"/>
          <w:szCs w:val="18"/>
          <w:color w:val="auto"/>
        </w:rPr>
      </w:pPr>
    </w:p>
    <w:p>
      <w:pPr>
        <w:ind w:left="1820" w:right="91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manage our recent and future growth effectively, we may be unable to execute our business plan, maintain high levels of customer service, or adequately address competitive challenges;</w:t>
      </w:r>
    </w:p>
    <w:p>
      <w:pPr>
        <w:spacing w:after="0" w:line="62" w:lineRule="exact"/>
        <w:rPr>
          <w:rFonts w:ascii="Arial" w:cs="Arial" w:eastAsia="Arial" w:hAnsi="Arial"/>
          <w:sz w:val="18"/>
          <w:szCs w:val="18"/>
          <w:color w:val="auto"/>
        </w:rPr>
      </w:pPr>
    </w:p>
    <w:p>
      <w:pPr>
        <w:ind w:left="1820" w:right="51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depend on our senior management team and other key employees, and the loss of one or more of these employees or an inability to attract and retain other highly skilled employees could harm our business;</w:t>
      </w:r>
    </w:p>
    <w:p>
      <w:pPr>
        <w:spacing w:after="0" w:line="62" w:lineRule="exact"/>
        <w:rPr>
          <w:rFonts w:ascii="Arial" w:cs="Arial" w:eastAsia="Arial" w:hAnsi="Arial"/>
          <w:sz w:val="18"/>
          <w:szCs w:val="18"/>
          <w:color w:val="auto"/>
        </w:rPr>
      </w:pPr>
    </w:p>
    <w:p>
      <w:pPr>
        <w:ind w:left="1820" w:right="599" w:hanging="182"/>
        <w:spacing w:after="0" w:line="286" w:lineRule="auto"/>
        <w:tabs>
          <w:tab w:leader="none" w:pos="1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renewable energy technologies are not suitable for widespread adoption or sufficient demand for our hardware and software-enabled services does not develop or takes longer to develop than we anticipate, our sales may decline and we may be unable to achieve or sustain profitability;</w:t>
      </w:r>
    </w:p>
    <w:p>
      <w:pPr>
        <w:spacing w:after="0" w:line="43" w:lineRule="exact"/>
        <w:rPr>
          <w:rFonts w:ascii="Arial" w:cs="Arial" w:eastAsia="Arial" w:hAnsi="Arial"/>
          <w:sz w:val="17"/>
          <w:szCs w:val="17"/>
          <w:color w:val="auto"/>
        </w:rPr>
      </w:pPr>
    </w:p>
    <w:p>
      <w:pPr>
        <w:ind w:left="1820" w:right="519" w:hanging="182"/>
        <w:spacing w:after="0" w:line="259"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65" w:lineRule="exact"/>
        <w:rPr>
          <w:rFonts w:ascii="Arial" w:cs="Arial" w:eastAsia="Arial" w:hAnsi="Arial"/>
          <w:sz w:val="18"/>
          <w:szCs w:val="18"/>
          <w:color w:val="auto"/>
        </w:rPr>
      </w:pPr>
    </w:p>
    <w:p>
      <w:pPr>
        <w:ind w:left="1820" w:right="61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made and expect to continue to make acquisitions, and if we fail to successfully select, execute, or integrate our acquisitions, then our business and operating results could be harmed and our stock price could decline;</w:t>
      </w:r>
    </w:p>
    <w:p>
      <w:pPr>
        <w:spacing w:after="0" w:line="62"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controlled by the Continuing Equity Owners, whose interests may differ from those of our public stockholders;</w:t>
      </w:r>
    </w:p>
    <w:p>
      <w:pPr>
        <w:spacing w:after="0" w:line="35" w:lineRule="exact"/>
        <w:rPr>
          <w:rFonts w:ascii="Arial" w:cs="Arial" w:eastAsia="Arial" w:hAnsi="Arial"/>
          <w:sz w:val="18"/>
          <w:szCs w:val="18"/>
          <w:color w:val="auto"/>
        </w:rPr>
      </w:pPr>
    </w:p>
    <w:p>
      <w:pPr>
        <w:ind w:left="1820" w:right="499" w:hanging="182"/>
        <w:spacing w:after="0" w:line="263"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Tax Receivable Agreement we will enter into with the Founders requires us to make cash payments to them in respect of certain tax benefits to which we may become entitled, and we expect that such payments will be substantial; and</w:t>
      </w:r>
    </w:p>
    <w:p>
      <w:pPr>
        <w:spacing w:after="0" w:line="62" w:lineRule="exact"/>
        <w:rPr>
          <w:rFonts w:ascii="Arial" w:cs="Arial" w:eastAsia="Arial" w:hAnsi="Arial"/>
          <w:sz w:val="18"/>
          <w:szCs w:val="18"/>
          <w:color w:val="auto"/>
        </w:rPr>
      </w:pPr>
    </w:p>
    <w:p>
      <w:pPr>
        <w:jc w:val="both"/>
        <w:ind w:left="1820" w:right="579" w:hanging="182"/>
        <w:spacing w:after="0" w:line="342" w:lineRule="auto"/>
        <w:tabs>
          <w:tab w:leader="none" w:pos="1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services that we receive from the Founders may not be sufficient for us to operate our business, and we would likely incur significant incremental costs if we lost access to our Founders’ services.</w:t>
      </w:r>
    </w:p>
    <w:p>
      <w:pPr>
        <w:spacing w:after="0" w:line="56" w:lineRule="exact"/>
        <w:rPr>
          <w:sz w:val="20"/>
          <w:szCs w:val="20"/>
          <w:color w:val="auto"/>
        </w:rPr>
      </w:pPr>
    </w:p>
    <w:p>
      <w:pPr>
        <w:ind w:left="1280" w:right="639" w:firstLine="360"/>
        <w:spacing w:after="0" w:line="261" w:lineRule="auto"/>
        <w:rPr>
          <w:sz w:val="20"/>
          <w:szCs w:val="20"/>
          <w:color w:val="auto"/>
        </w:rPr>
      </w:pPr>
      <w:r>
        <w:rPr>
          <w:rFonts w:ascii="Arial" w:cs="Arial" w:eastAsia="Arial" w:hAnsi="Arial"/>
          <w:sz w:val="18"/>
          <w:szCs w:val="18"/>
          <w:color w:val="auto"/>
        </w:rPr>
        <w:t>Before you invest in our Class A common stock, you should carefully consider all the information in this prospectus, including as set forth in the section titled “Risk Factors.”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Corporate Information</w:t>
      </w:r>
    </w:p>
    <w:p>
      <w:pPr>
        <w:spacing w:after="0" w:line="148" w:lineRule="exact"/>
        <w:rPr>
          <w:sz w:val="20"/>
          <w:szCs w:val="20"/>
          <w:color w:val="auto"/>
        </w:rPr>
      </w:pPr>
    </w:p>
    <w:p>
      <w:pPr>
        <w:ind w:left="1280" w:right="439" w:firstLine="360"/>
        <w:spacing w:after="0" w:line="248" w:lineRule="auto"/>
        <w:rPr>
          <w:sz w:val="20"/>
          <w:szCs w:val="20"/>
          <w:color w:val="auto"/>
        </w:rPr>
      </w:pPr>
      <w:r>
        <w:rPr>
          <w:rFonts w:ascii="Arial" w:cs="Arial" w:eastAsia="Arial" w:hAnsi="Arial"/>
          <w:sz w:val="18"/>
          <w:szCs w:val="18"/>
          <w:color w:val="auto"/>
        </w:rPr>
        <w:t>Fluence Energy, Inc., the issuer of the Class A common stock in this offering, was incorporated as a Delaware corporation on June 21, 2021. Our corporate headquarters are located at 4601 Fairfax Drive, Suite 600, Arlington, Virginia 22203. Our telephone number is (833) 358-3623.</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399" w:firstLine="360"/>
        <w:spacing w:after="0" w:line="259" w:lineRule="auto"/>
        <w:rPr>
          <w:sz w:val="20"/>
          <w:szCs w:val="20"/>
          <w:color w:val="auto"/>
        </w:rPr>
      </w:pPr>
      <w:r>
        <w:rPr>
          <w:rFonts w:ascii="Arial" w:cs="Arial" w:eastAsia="Arial" w:hAnsi="Arial"/>
          <w:sz w:val="18"/>
          <w:szCs w:val="18"/>
          <w:color w:val="auto"/>
        </w:rPr>
        <w:t xml:space="preserve">Our principal website address is </w:t>
      </w:r>
      <w:r>
        <w:rPr>
          <w:rFonts w:ascii="Arial" w:cs="Arial" w:eastAsia="Arial" w:hAnsi="Arial"/>
          <w:sz w:val="18"/>
          <w:szCs w:val="18"/>
          <w:i w:val="1"/>
          <w:iCs w:val="1"/>
          <w:color w:val="auto"/>
        </w:rPr>
        <w:t>https://fluenceenergy.com</w:t>
      </w:r>
      <w:r>
        <w:rPr>
          <w:rFonts w:ascii="Arial" w:cs="Arial" w:eastAsia="Arial" w:hAnsi="Arial"/>
          <w:sz w:val="18"/>
          <w:szCs w:val="18"/>
          <w:color w:val="auto"/>
        </w:rPr>
        <w:t>. The information on, or that can be accessed through, our website is deemed not to be incorporated in this prospectus or to be part of this prospectus. You should not consider information contained on our website to be part of this prospectus in deciding whether to purchase shares of our Class A common stock.</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48" w:lineRule="exact"/>
        <w:rPr>
          <w:sz w:val="20"/>
          <w:szCs w:val="20"/>
          <w:color w:val="auto"/>
        </w:rPr>
      </w:pPr>
    </w:p>
    <w:p>
      <w:pPr>
        <w:jc w:val="both"/>
        <w:ind w:left="1280" w:right="439" w:firstLine="360"/>
        <w:spacing w:after="0" w:line="286"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(the “JOBS Act”). An emerging growth company may take advantage of certain reduced reporting and other requirements that are otherwise generally applicable to public companies. As a result:</w:t>
      </w:r>
    </w:p>
    <w:p>
      <w:pPr>
        <w:spacing w:after="0" w:line="57" w:lineRule="exact"/>
        <w:rPr>
          <w:sz w:val="20"/>
          <w:szCs w:val="20"/>
          <w:color w:val="auto"/>
        </w:rPr>
      </w:pPr>
    </w:p>
    <w:p>
      <w:pPr>
        <w:jc w:val="both"/>
        <w:ind w:left="1820" w:right="519" w:hanging="182"/>
        <w:spacing w:after="0" w:line="263"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820" w:right="739" w:hanging="182"/>
        <w:spacing w:after="0" w:line="308" w:lineRule="auto"/>
        <w:tabs>
          <w:tab w:leader="none" w:pos="1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are not required to engage an auditor to report on our internal control over financial reporting pursuant to Section 404(b) of the Sarbanes-Oxley Act of 2002 (the “Sarbanes-Oxley Act”);</w:t>
      </w:r>
    </w:p>
    <w:p>
      <w:pPr>
        <w:spacing w:after="0" w:line="38" w:lineRule="exact"/>
        <w:rPr>
          <w:rFonts w:ascii="Arial" w:cs="Arial" w:eastAsia="Arial" w:hAnsi="Arial"/>
          <w:sz w:val="17"/>
          <w:szCs w:val="17"/>
          <w:color w:val="auto"/>
        </w:rPr>
      </w:pPr>
    </w:p>
    <w:p>
      <w:pPr>
        <w:ind w:left="1820" w:right="619" w:hanging="182"/>
        <w:spacing w:after="0" w:line="263"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not required to comply with the requirement of the Public Company Accounting Oversight Board regarding the communication of critical audit matters in the auditor’s report on the financial statements;</w:t>
      </w:r>
    </w:p>
    <w:p>
      <w:pPr>
        <w:spacing w:after="0" w:line="75" w:lineRule="exact"/>
        <w:rPr>
          <w:rFonts w:ascii="Arial" w:cs="Arial" w:eastAsia="Arial" w:hAnsi="Arial"/>
          <w:sz w:val="18"/>
          <w:szCs w:val="18"/>
          <w:color w:val="auto"/>
        </w:rPr>
      </w:pPr>
    </w:p>
    <w:p>
      <w:pPr>
        <w:ind w:left="1820" w:right="499" w:hanging="182"/>
        <w:spacing w:after="0" w:line="277"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62" w:lineRule="exact"/>
        <w:rPr>
          <w:rFonts w:ascii="Arial" w:cs="Arial" w:eastAsia="Arial" w:hAnsi="Arial"/>
          <w:sz w:val="18"/>
          <w:szCs w:val="18"/>
          <w:color w:val="auto"/>
        </w:rPr>
      </w:pPr>
    </w:p>
    <w:p>
      <w:pPr>
        <w:ind w:left="1820" w:right="799" w:hanging="182"/>
        <w:spacing w:after="0" w:line="263"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not required to comply with certain disclosure requirements related to executive compensation, such as the requirement to present a comparison of our Chief Executive Officer’s compensation to our median employee compensation.</w:t>
      </w:r>
    </w:p>
    <w:p>
      <w:pPr>
        <w:spacing w:after="0" w:line="116" w:lineRule="exact"/>
        <w:rPr>
          <w:sz w:val="20"/>
          <w:szCs w:val="20"/>
          <w:color w:val="auto"/>
        </w:rPr>
      </w:pPr>
    </w:p>
    <w:p>
      <w:pPr>
        <w:ind w:left="1280" w:right="499" w:firstLine="360"/>
        <w:spacing w:after="0" w:line="283" w:lineRule="auto"/>
        <w:rPr>
          <w:sz w:val="20"/>
          <w:szCs w:val="20"/>
          <w:color w:val="auto"/>
        </w:rPr>
      </w:pPr>
      <w:r>
        <w:rPr>
          <w:rFonts w:ascii="Arial" w:cs="Arial" w:eastAsia="Arial" w:hAnsi="Arial"/>
          <w:sz w:val="16"/>
          <w:szCs w:val="16"/>
          <w:color w:val="auto"/>
        </w:rPr>
        <w:t>We have elected to take advantage of certain of these reduced disclosure obligations in the registration statement of which this prospectus forms a part. We may take advantage of these reduced reporting and other requirements until such time that we are no longer an emerging growth company. We will remain an emerging growth company until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w:t>
      </w:r>
    </w:p>
    <w:p>
      <w:pPr>
        <w:spacing w:after="0" w:line="6" w:lineRule="exact"/>
        <w:rPr>
          <w:sz w:val="20"/>
          <w:szCs w:val="20"/>
          <w:color w:val="auto"/>
        </w:rPr>
      </w:pPr>
    </w:p>
    <w:p>
      <w:pPr>
        <w:ind w:left="1280" w:right="699" w:hanging="2"/>
        <w:spacing w:after="0" w:line="260" w:lineRule="auto"/>
        <w:tabs>
          <w:tab w:leader="none" w:pos="15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w:t>
      </w:r>
    </w:p>
    <w:p>
      <w:pPr>
        <w:spacing w:after="0" w:line="118" w:lineRule="exact"/>
        <w:rPr>
          <w:sz w:val="20"/>
          <w:szCs w:val="20"/>
          <w:color w:val="auto"/>
        </w:rPr>
      </w:pPr>
    </w:p>
    <w:p>
      <w:pPr>
        <w:ind w:left="1280" w:right="719" w:firstLine="360"/>
        <w:spacing w:after="0" w:line="257" w:lineRule="auto"/>
        <w:rPr>
          <w:sz w:val="20"/>
          <w:szCs w:val="20"/>
          <w:color w:val="auto"/>
        </w:rPr>
      </w:pPr>
      <w:r>
        <w:rPr>
          <w:rFonts w:ascii="Arial" w:cs="Arial" w:eastAsia="Arial" w:hAnsi="Arial"/>
          <w:sz w:val="18"/>
          <w:szCs w:val="18"/>
          <w:color w:val="auto"/>
        </w:rPr>
        <w:t>In addition, the JOBS Act permits an emerging growth company like us to take advantage of an extended transition period to comply with new or revised accounting standards applicable to public companies. We have elected to take advantage of this extended transition period. As a result, the information that we provide to stockholders may be different than the information you may receive from other public companies in which you hold equity.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36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460" w:right="500" w:hanging="179"/>
        <w:spacing w:after="0" w:line="277" w:lineRule="auto"/>
        <w:rPr>
          <w:sz w:val="20"/>
          <w:szCs w:val="20"/>
          <w:color w:val="auto"/>
        </w:rPr>
      </w:pPr>
      <w:r>
        <w:rPr>
          <w:rFonts w:ascii="Arial" w:cs="Arial" w:eastAsia="Arial" w:hAnsi="Arial"/>
          <w:sz w:val="18"/>
          <w:szCs w:val="18"/>
          <w:color w:val="auto"/>
        </w:rPr>
        <w:t>Shares of Class A common stock offered by us</w:t>
      </w:r>
    </w:p>
    <w:p>
      <w:pPr>
        <w:spacing w:after="0" w:line="278" w:lineRule="exact"/>
        <w:rPr>
          <w:sz w:val="20"/>
          <w:szCs w:val="20"/>
          <w:color w:val="auto"/>
        </w:rPr>
      </w:pPr>
    </w:p>
    <w:p>
      <w:pPr>
        <w:ind w:left="1460" w:hanging="179"/>
        <w:spacing w:after="0" w:line="263"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76" w:lineRule="exact"/>
        <w:rPr>
          <w:sz w:val="20"/>
          <w:szCs w:val="20"/>
          <w:color w:val="auto"/>
        </w:rPr>
      </w:pPr>
    </w:p>
    <w:p>
      <w:pPr>
        <w:ind w:left="1460" w:right="80" w:hanging="179"/>
        <w:spacing w:after="0" w:line="263" w:lineRule="auto"/>
        <w:rPr>
          <w:sz w:val="20"/>
          <w:szCs w:val="20"/>
          <w:color w:val="auto"/>
        </w:rPr>
      </w:pPr>
      <w:r>
        <w:rPr>
          <w:rFonts w:ascii="Arial" w:cs="Arial" w:eastAsia="Arial" w:hAnsi="Arial"/>
          <w:sz w:val="18"/>
          <w:szCs w:val="18"/>
          <w:color w:val="auto"/>
        </w:rPr>
        <w:t>Shares of Class A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60" w:hanging="179"/>
        <w:spacing w:after="0" w:line="263" w:lineRule="auto"/>
        <w:rPr>
          <w:sz w:val="20"/>
          <w:szCs w:val="20"/>
          <w:color w:val="auto"/>
        </w:rPr>
      </w:pPr>
      <w:r>
        <w:rPr>
          <w:rFonts w:ascii="Arial" w:cs="Arial" w:eastAsia="Arial" w:hAnsi="Arial"/>
          <w:sz w:val="18"/>
          <w:szCs w:val="18"/>
          <w:color w:val="auto"/>
        </w:rPr>
        <w:t>Shares of Class B-1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60" w:hanging="179"/>
        <w:spacing w:after="0" w:line="263" w:lineRule="auto"/>
        <w:rPr>
          <w:sz w:val="20"/>
          <w:szCs w:val="20"/>
          <w:color w:val="auto"/>
        </w:rPr>
      </w:pPr>
      <w:r>
        <w:rPr>
          <w:rFonts w:ascii="Arial" w:cs="Arial" w:eastAsia="Arial" w:hAnsi="Arial"/>
          <w:sz w:val="18"/>
          <w:szCs w:val="18"/>
          <w:color w:val="auto"/>
        </w:rPr>
        <w:t>Shares of Class B-2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LLC Interests to be held by us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immediately after this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60" w:hanging="179"/>
        <w:spacing w:after="0" w:line="263" w:lineRule="auto"/>
        <w:rPr>
          <w:sz w:val="20"/>
          <w:szCs w:val="20"/>
          <w:color w:val="auto"/>
        </w:rPr>
      </w:pPr>
      <w:r>
        <w:rPr>
          <w:rFonts w:ascii="Arial" w:cs="Arial" w:eastAsia="Arial" w:hAnsi="Arial"/>
          <w:sz w:val="18"/>
          <w:szCs w:val="18"/>
          <w:color w:val="auto"/>
        </w:rPr>
        <w:t>LLC Interests to be held directly by the Founders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Fluence Energy, Inc.</w:t>
      </w:r>
    </w:p>
    <w:p>
      <w:pPr>
        <w:spacing w:after="0" w:line="333" w:lineRule="exact"/>
        <w:rPr>
          <w:sz w:val="20"/>
          <w:szCs w:val="20"/>
          <w:color w:val="auto"/>
        </w:rPr>
      </w:pPr>
    </w:p>
    <w:p>
      <w:pPr>
        <w:ind w:right="659"/>
        <w:spacing w:after="0" w:line="342" w:lineRule="auto"/>
        <w:rPr>
          <w:sz w:val="20"/>
          <w:szCs w:val="20"/>
          <w:color w:val="auto"/>
        </w:rPr>
      </w:pPr>
      <w:r>
        <w:rPr>
          <w:rFonts w:ascii="Arial" w:cs="Arial" w:eastAsia="Arial" w:hAnsi="Arial"/>
          <w:sz w:val="16"/>
          <w:szCs w:val="16"/>
          <w:color w:val="auto"/>
        </w:rPr>
        <w:t>31,000,000 shares (or 35,650,000 shares if the underwriters exercise in full their option to purchase additional shares).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4,650,000 shares.</w:t>
      </w:r>
    </w:p>
    <w:p>
      <w:pPr>
        <w:spacing w:after="0" w:line="200" w:lineRule="exact"/>
        <w:rPr>
          <w:sz w:val="20"/>
          <w:szCs w:val="20"/>
          <w:color w:val="auto"/>
        </w:rPr>
      </w:pPr>
    </w:p>
    <w:p>
      <w:pPr>
        <w:spacing w:after="0" w:line="349" w:lineRule="exact"/>
        <w:rPr>
          <w:sz w:val="20"/>
          <w:szCs w:val="20"/>
          <w:color w:val="auto"/>
        </w:rPr>
      </w:pPr>
    </w:p>
    <w:p>
      <w:pPr>
        <w:ind w:right="619"/>
        <w:spacing w:after="0" w:line="270" w:lineRule="auto"/>
        <w:rPr>
          <w:sz w:val="20"/>
          <w:szCs w:val="20"/>
          <w:color w:val="auto"/>
        </w:rPr>
      </w:pPr>
      <w:r>
        <w:rPr>
          <w:rFonts w:ascii="Arial" w:cs="Arial" w:eastAsia="Arial" w:hAnsi="Arial"/>
          <w:sz w:val="17"/>
          <w:szCs w:val="17"/>
          <w:color w:val="auto"/>
        </w:rPr>
        <w:t>49,493,275 shares, representing approximately 7.8% of the combined voting power of all of Fluence Energy, Inc.’s common stock (or 54,143,275 shares, representing approximately 8.5% of the combined voting power of all of Fluence Energy, Inc.’s common stock if the underwriters exercise in full their option to purchase additional shares of Class A common stock), 100.0% of the economic interest in Fluence Energy, Inc. and 29.7% of the indirect economic interest in Fluence Energy, LLC.</w:t>
      </w:r>
    </w:p>
    <w:p>
      <w:pPr>
        <w:spacing w:after="0" w:line="200" w:lineRule="exact"/>
        <w:rPr>
          <w:sz w:val="20"/>
          <w:szCs w:val="20"/>
          <w:color w:val="auto"/>
        </w:rPr>
      </w:pPr>
    </w:p>
    <w:p>
      <w:pPr>
        <w:spacing w:after="0" w:line="305" w:lineRule="exact"/>
        <w:rPr>
          <w:sz w:val="20"/>
          <w:szCs w:val="20"/>
          <w:color w:val="auto"/>
        </w:rPr>
      </w:pPr>
    </w:p>
    <w:p>
      <w:pPr>
        <w:ind w:right="519"/>
        <w:spacing w:after="0" w:line="254" w:lineRule="auto"/>
        <w:rPr>
          <w:sz w:val="20"/>
          <w:szCs w:val="20"/>
          <w:color w:val="auto"/>
        </w:rPr>
      </w:pPr>
      <w:r>
        <w:rPr>
          <w:rFonts w:ascii="Arial" w:cs="Arial" w:eastAsia="Arial" w:hAnsi="Arial"/>
          <w:sz w:val="18"/>
          <w:szCs w:val="18"/>
          <w:color w:val="auto"/>
        </w:rPr>
        <w:t>117,173,390 shares, representing approximately 92.2% of the combined voting power of all of Fluence Energy, Inc.’s common stock (or 117,173,390 shares, representing approximately 91.5% of the combined voting power of all of Fluence Energy, Inc.’s common stock if the underwriters exercise in full their option to purchase additional shares of Class A common stock) and no economic interest in Fluence Energy, Inc.</w:t>
      </w:r>
    </w:p>
    <w:p>
      <w:pPr>
        <w:spacing w:after="0" w:line="200" w:lineRule="exact"/>
        <w:rPr>
          <w:sz w:val="20"/>
          <w:szCs w:val="20"/>
          <w:color w:val="auto"/>
        </w:rPr>
      </w:pPr>
    </w:p>
    <w:p>
      <w:pPr>
        <w:spacing w:after="0" w:line="316" w:lineRule="exact"/>
        <w:rPr>
          <w:sz w:val="20"/>
          <w:szCs w:val="20"/>
          <w:color w:val="auto"/>
        </w:rPr>
      </w:pPr>
    </w:p>
    <w:p>
      <w:pPr>
        <w:ind w:right="419"/>
        <w:spacing w:after="0" w:line="272" w:lineRule="auto"/>
        <w:rPr>
          <w:sz w:val="20"/>
          <w:szCs w:val="20"/>
          <w:color w:val="auto"/>
        </w:rPr>
      </w:pPr>
      <w:r>
        <w:rPr>
          <w:rFonts w:ascii="Arial" w:cs="Arial" w:eastAsia="Arial" w:hAnsi="Arial"/>
          <w:sz w:val="17"/>
          <w:szCs w:val="17"/>
          <w:color w:val="auto"/>
        </w:rPr>
        <w:t>No shares of Class B-2 common stock will be outstanding immediately after this offering. Each share of Class B-1 common stock will automatically convert into one share of Class B-2 common stock upon the occurrence of certain circumstances described in our amended and restated certificate of incorporation. See “Description of Capital Stock —Common Stock—Class B-1 and Class B-2 Common Stock.”</w:t>
      </w:r>
    </w:p>
    <w:p>
      <w:pPr>
        <w:spacing w:after="0" w:line="200" w:lineRule="exact"/>
        <w:rPr>
          <w:sz w:val="20"/>
          <w:szCs w:val="20"/>
          <w:color w:val="auto"/>
        </w:rPr>
      </w:pPr>
    </w:p>
    <w:p>
      <w:pPr>
        <w:spacing w:after="0" w:line="301" w:lineRule="exact"/>
        <w:rPr>
          <w:sz w:val="20"/>
          <w:szCs w:val="20"/>
          <w:color w:val="auto"/>
        </w:rPr>
      </w:pPr>
    </w:p>
    <w:p>
      <w:pPr>
        <w:ind w:right="519"/>
        <w:spacing w:after="0" w:line="255" w:lineRule="auto"/>
        <w:rPr>
          <w:sz w:val="20"/>
          <w:szCs w:val="20"/>
          <w:color w:val="auto"/>
        </w:rPr>
      </w:pPr>
      <w:r>
        <w:rPr>
          <w:rFonts w:ascii="Arial" w:cs="Arial" w:eastAsia="Arial" w:hAnsi="Arial"/>
          <w:sz w:val="18"/>
          <w:szCs w:val="18"/>
          <w:color w:val="auto"/>
        </w:rPr>
        <w:t>49,493,275 LLC Interests, representing approximately 29.7% of the economic interest in Fluence Energy, LLC (or 54,143,275 LLC Interests, representing approximately 31.6% of the economic interest in Fluence Energy, LLC if the underwriters exercise in full their option to purchase additional shares of Class A common stock).</w:t>
      </w:r>
    </w:p>
    <w:p>
      <w:pPr>
        <w:spacing w:after="0" w:line="200" w:lineRule="exact"/>
        <w:rPr>
          <w:sz w:val="20"/>
          <w:szCs w:val="20"/>
          <w:color w:val="auto"/>
        </w:rPr>
      </w:pPr>
    </w:p>
    <w:p>
      <w:pPr>
        <w:spacing w:after="0" w:line="316" w:lineRule="exact"/>
        <w:rPr>
          <w:sz w:val="20"/>
          <w:szCs w:val="20"/>
          <w:color w:val="auto"/>
        </w:rPr>
      </w:pPr>
    </w:p>
    <w:p>
      <w:pPr>
        <w:ind w:right="439"/>
        <w:spacing w:after="0" w:line="279" w:lineRule="auto"/>
        <w:rPr>
          <w:sz w:val="20"/>
          <w:szCs w:val="20"/>
          <w:color w:val="auto"/>
        </w:rPr>
      </w:pPr>
      <w:r>
        <w:rPr>
          <w:rFonts w:ascii="Arial" w:cs="Arial" w:eastAsia="Arial" w:hAnsi="Arial"/>
          <w:sz w:val="17"/>
          <w:szCs w:val="17"/>
          <w:color w:val="auto"/>
        </w:rPr>
        <w:t>117,173,390 LLC Interests, representing approximately 70.3% of the economic interest in Fluence Energy, LLC (or 117,173,390 LLC Interests, representing approximately 68.4% of the economic interest in Fluence Energy, LLC if the</w:t>
      </w:r>
    </w:p>
    <w:p>
      <w:pPr>
        <w:spacing w:after="0" w:line="200" w:lineRule="exact"/>
        <w:rPr>
          <w:sz w:val="20"/>
          <w:szCs w:val="20"/>
          <w:color w:val="auto"/>
        </w:rPr>
      </w:pPr>
    </w:p>
    <w:p>
      <w:pPr>
        <w:sectPr>
          <w:pgSz w:w="11900" w:h="16838" w:orient="portrait"/>
          <w:cols w:equalWidth="0" w:num="2">
            <w:col w:w="4260" w:space="480"/>
            <w:col w:w="5139"/>
          </w:cols>
          <w:pgMar w:left="580" w:top="131" w:right="1440" w:bottom="1440" w:gutter="0" w:footer="0" w:header="0"/>
          <w:type w:val="continuous"/>
        </w:sectPr>
      </w:pPr>
    </w:p>
    <w:p>
      <w:pPr>
        <w:spacing w:after="0" w:line="1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60" w:right="300" w:hanging="179"/>
        <w:spacing w:after="0" w:line="308" w:lineRule="auto"/>
        <w:rPr>
          <w:sz w:val="20"/>
          <w:szCs w:val="20"/>
          <w:color w:val="auto"/>
        </w:rPr>
      </w:pPr>
      <w:r>
        <w:rPr>
          <w:rFonts w:ascii="Arial" w:cs="Arial" w:eastAsia="Arial" w:hAnsi="Arial"/>
          <w:sz w:val="17"/>
          <w:szCs w:val="17"/>
          <w:color w:val="auto"/>
        </w:rPr>
        <w:t>Ratio of shares of Class A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right="300" w:hanging="179"/>
        <w:spacing w:after="0" w:line="263" w:lineRule="auto"/>
        <w:rPr>
          <w:sz w:val="20"/>
          <w:szCs w:val="20"/>
          <w:color w:val="auto"/>
        </w:rPr>
      </w:pPr>
      <w:r>
        <w:rPr>
          <w:rFonts w:ascii="Arial" w:cs="Arial" w:eastAsia="Arial" w:hAnsi="Arial"/>
          <w:sz w:val="18"/>
          <w:szCs w:val="18"/>
          <w:color w:val="auto"/>
        </w:rPr>
        <w:t>Ratio of shares of Class B-1 and Class B-2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Permitted holders of shares of Class B-1 and Class B-2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1179"/>
        <w:spacing w:after="0" w:line="308" w:lineRule="auto"/>
        <w:rPr>
          <w:sz w:val="20"/>
          <w:szCs w:val="20"/>
          <w:color w:val="auto"/>
        </w:rPr>
      </w:pPr>
      <w:r>
        <w:rPr>
          <w:rFonts w:ascii="Arial" w:cs="Arial" w:eastAsia="Arial" w:hAnsi="Arial"/>
          <w:sz w:val="17"/>
          <w:szCs w:val="17"/>
          <w:color w:val="auto"/>
        </w:rPr>
        <w:t>underwriters exercise in full their option to purchase additional shares of Class A common stock).</w:t>
      </w:r>
    </w:p>
    <w:p>
      <w:pPr>
        <w:spacing w:after="0" w:line="254" w:lineRule="exact"/>
        <w:rPr>
          <w:sz w:val="20"/>
          <w:szCs w:val="20"/>
          <w:color w:val="auto"/>
        </w:rPr>
      </w:pPr>
    </w:p>
    <w:p>
      <w:pPr>
        <w:ind w:left="6" w:right="399"/>
        <w:spacing w:after="0" w:line="273" w:lineRule="auto"/>
        <w:rPr>
          <w:sz w:val="20"/>
          <w:szCs w:val="20"/>
          <w:color w:val="auto"/>
        </w:rPr>
      </w:pPr>
      <w:r>
        <w:rPr>
          <w:rFonts w:ascii="Arial" w:cs="Arial" w:eastAsia="Arial" w:hAnsi="Arial"/>
          <w:sz w:val="17"/>
          <w:szCs w:val="17"/>
          <w:color w:val="auto"/>
        </w:rPr>
        <w:t>Our amended and restated certificate of incorporation and the Fluence Energy LLC Agreement will require that we and Fluence Energy, LLC at all times maintain a one-to-one ratio between the number of shares of Class A common stock issued by us and the number of LLC Interests owned by us, except as otherwise determined by us.</w:t>
      </w:r>
    </w:p>
    <w:p>
      <w:pPr>
        <w:spacing w:after="0" w:line="200" w:lineRule="exact"/>
        <w:rPr>
          <w:sz w:val="20"/>
          <w:szCs w:val="20"/>
          <w:color w:val="auto"/>
        </w:rPr>
      </w:pPr>
    </w:p>
    <w:p>
      <w:pPr>
        <w:spacing w:after="0" w:line="302" w:lineRule="exact"/>
        <w:rPr>
          <w:sz w:val="20"/>
          <w:szCs w:val="20"/>
          <w:color w:val="auto"/>
        </w:rPr>
      </w:pPr>
    </w:p>
    <w:p>
      <w:pPr>
        <w:ind w:left="6" w:right="419"/>
        <w:spacing w:after="0" w:line="253" w:lineRule="auto"/>
        <w:rPr>
          <w:sz w:val="20"/>
          <w:szCs w:val="20"/>
          <w:color w:val="auto"/>
        </w:rPr>
      </w:pPr>
      <w:r>
        <w:rPr>
          <w:rFonts w:ascii="Arial" w:cs="Arial" w:eastAsia="Arial" w:hAnsi="Arial"/>
          <w:sz w:val="18"/>
          <w:szCs w:val="18"/>
          <w:color w:val="auto"/>
        </w:rPr>
        <w:t>Our amended and restated certificate of incorporation and the Fluence Energy LLC Agreement will require that we and Fluence Energy, LLC at all times maintain a one-to-one ratio between the aggregate number of shares of Class B-1 and Class B-2 common stock owned by the Founders and their respective permitted transferees and the number of LLC Interests owned by such Founders and their respective permitted transferees, except as otherwise determined by us. Immediately after the Transactions, the Founders will together own 100% of the outstanding shares of our Class B-1 common stock.</w:t>
      </w:r>
    </w:p>
    <w:p>
      <w:pPr>
        <w:spacing w:after="0" w:line="300" w:lineRule="exact"/>
        <w:rPr>
          <w:sz w:val="20"/>
          <w:szCs w:val="20"/>
          <w:color w:val="auto"/>
        </w:rPr>
      </w:pPr>
    </w:p>
    <w:p>
      <w:pPr>
        <w:ind w:left="6" w:right="459"/>
        <w:spacing w:after="0" w:line="271" w:lineRule="auto"/>
        <w:rPr>
          <w:sz w:val="20"/>
          <w:szCs w:val="20"/>
          <w:color w:val="auto"/>
        </w:rPr>
      </w:pPr>
      <w:r>
        <w:rPr>
          <w:rFonts w:ascii="Arial" w:cs="Arial" w:eastAsia="Arial" w:hAnsi="Arial"/>
          <w:sz w:val="17"/>
          <w:szCs w:val="17"/>
          <w:color w:val="auto"/>
        </w:rPr>
        <w:t>Only the Founders and the permitted transferees of Class B-1 and Class B-2 common stock as described in this prospectus will be permitted to hold shares of our Class B-1 and Class B-</w:t>
      </w:r>
    </w:p>
    <w:p>
      <w:pPr>
        <w:ind w:left="6" w:right="519" w:hanging="6"/>
        <w:spacing w:after="0" w:line="253" w:lineRule="auto"/>
        <w:tabs>
          <w:tab w:leader="none" w:pos="1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common stock. Shares of Class B-1 and Class B-2 common stock may not be transferred, except together with an equal number of LLC Interests. See “Certain Relationships and Related Party Transactions—Fluence Energy LLC Agreement.”</w:t>
      </w:r>
    </w:p>
    <w:p>
      <w:pPr>
        <w:spacing w:after="0" w:line="83" w:lineRule="exact"/>
        <w:rPr>
          <w:sz w:val="20"/>
          <w:szCs w:val="20"/>
          <w:color w:val="auto"/>
        </w:rPr>
      </w:pPr>
    </w:p>
    <w:p>
      <w:pPr>
        <w:sectPr>
          <w:pgSz w:w="11900" w:h="16838" w:orient="portrait"/>
          <w:cols w:equalWidth="0" w:num="2">
            <w:col w:w="4240" w:space="494"/>
            <w:col w:w="5145"/>
          </w:cols>
          <w:pgMar w:left="580" w:top="131" w:right="1440" w:bottom="1440" w:gutter="0" w:footer="0" w:header="0"/>
          <w:type w:val="continuous"/>
        </w:sectPr>
      </w:pPr>
    </w:p>
    <w:p>
      <w:pPr>
        <w:ind w:left="1280"/>
        <w:spacing w:after="0"/>
        <w:tabs>
          <w:tab w:leader="none" w:pos="472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Holders of shares of our Class A common stock and our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B-1 and Class B-2 common stock will vote together as a</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single class on all matters presented to stockholders for their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vote or approval, except as otherwise required by law or our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amended and restated certificate of incorporation. Each share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 our Class A common stock entitles its holders to one vote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per share, each share of our Class B-1 common stock entitles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its holders to five votes per share and each share of our Class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B-2 common stock entitles its holders to one vote per share 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all matters presented to our stockholders generally. Each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outstanding share of Class B-1 common stock will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automatically convert into one share of Class B-2 common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upon the earliest of (1) any transfer by a Founder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such shares of Class B-1 common stock other than to an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affiliate of such Founder, (2) with respect to each Founder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its affiliates, 5:00 p.m. (New York City time) on a date fixed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our board of directors that is not less than 60 days nor more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than 180 days following the date that such Founder, together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with its affiliates, ceases to hold an aggregate number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shares of all classes of our common stock representing at least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20% of the aggregate number of all outstanding shares of all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classes of our common stock, and (3) 5:00 p.m. (New York</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City</w:t>
      </w:r>
    </w:p>
    <w:p>
      <w:pPr>
        <w:sectPr>
          <w:pgSz w:w="11900" w:h="16838" w:orient="portrait"/>
          <w:cols w:equalWidth="0" w:num="1">
            <w:col w:w="9879"/>
          </w:cols>
          <w:pgMar w:left="580" w:top="131" w:right="1440" w:bottom="1440" w:gutter="0" w:footer="0" w:header="0"/>
          <w:type w:val="continuous"/>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time) on the date that is seven years following the closing of</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offering. See “Description of Capital Stock.”</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Redemption rights of holders of LLC</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7"/>
          <w:szCs w:val="17"/>
          <w:color w:val="auto"/>
        </w:rPr>
        <w:t>Interests</w:t>
      </w:r>
      <w:r>
        <w:rPr>
          <w:sz w:val="20"/>
          <w:szCs w:val="20"/>
          <w:color w:val="auto"/>
        </w:rPr>
        <w:tab/>
      </w:r>
      <w:r>
        <w:rPr>
          <w:rFonts w:ascii="Arial" w:cs="Arial" w:eastAsia="Arial" w:hAnsi="Arial"/>
          <w:sz w:val="17"/>
          <w:szCs w:val="17"/>
          <w:color w:val="auto"/>
        </w:rPr>
        <w:t>The Founders may, subject to certain exceptions, from time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time at each of their options require Fluence Energy, LLC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redeem all or a portion of their LLC Interests in exchange for,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at our election (determined solely by our independent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directors (within the meaning of the rules of Nasdaq) who are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disinterested), newly-issued shares of our Class A common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stock on a one-for-one basis or a cash payment from the sale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 newly issued shares of Class A common stock equal to a</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volume weighted average market price of one share of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A common stock for each LLC Interest so redeemed, 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each case, in accordance with the terms of the Fluence Energy</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LLC Agreement; provided that, at our election (determined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solely by our independent directors (within the meaning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rules of the Nasdaq) who are disinterested), we may effect a</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direct exchange by Fluence Energy, Inc. of such Class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or such cash, as applicable, for such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 In the event of cash settlement, Fluence Energy, Inc.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would issue new shares of Class A common stock and use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proceeds from the sale of these newly-issued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to fully fund the cash settlement, which, 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effect, limits the amount of the cash payment to the redeeming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member. Such Founders may, subject to certain exceptions,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exercise such redemption right for as long as their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 remain outstanding. See “Certain Relationships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Related Party Transactions—Fluence Energy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 Simultaneously with the payment of cash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shares of Class A common stock, as applicable, in connection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with a redemption or exchange of LLC Interests 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terms of the Fluence Energy LLC Agreement, a number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shares of our Class B-1 common stock or Class B-2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as the case may be, registered in the name of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redeeming or exchanging Founder will automatically be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transferred to the Company and will be cancelled for no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consideration on a one-for-one basis with the number of LLC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Interests so redeemed or exchanged.</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based on the initial public offering price of</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$28.00 per share, that we will receive net proceeds from this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offering of approximately $812.4 million (or $935.8 million if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underwriters exercise in full their option to purchase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additional shares of Class A common stock), after deducting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underwriting discount and estimated offering expenses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payable by us. We intend to use the net proceeds from this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to purchase 31,000,000 newly issued LLC Interests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(or 35,650,000 LLC Interests if the underwriters exercise 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full their option to purchase additional shares of Class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directly from Fluence Energy, LLC at a price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per unit equal to the initial public offering price per share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Class A common stock in this offering less the underwriting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discount and estimated offering expenses payable by us.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Fluence Energy, LLC intends to use the net proceeds from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sale of LLC Interests to Fluence Energy, Inc. to repay all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outstanding</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borrowings under our existing Line of Credit and the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Promissory Notes, and the remainder for working capital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other general corporate purposes. Fluence Energy, LLC will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bear or reimburse Fluence Energy, Inc. for all of the expenses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 this offering. See “Use of Proceeds.”</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7"/>
          <w:szCs w:val="17"/>
          <w:color w:val="auto"/>
        </w:rPr>
        <w:t>We currently intend to retain all available funds and any future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earnings to fund the development and growth of our business,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therefore, we do not anticipate declaring or paying any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cash dividends on our Class A common stock in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foreseeable future. Holders of our Class B-1 and Class B-2</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are not entitled to participate in any dividends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declared by our board of directors. Because we are a holding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company, our ability to pay cash dividends on our Class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depends on our receipt of cash distributions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from Fluence Energy, LLC and, through Fluence Energy, LLC,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cash distributions and dividends from our other direct and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indirect subsidiaries. Assuming Fluence Energy, LLC makes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distributions out of earnings and profits (other than tax</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distributions and other distributions to pay expenses) to its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members in any given year, we currently expect, subject to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determination of our board of directors, to pay dividends 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our Class A common stock out of the portion of such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distributions remaining after our payment of taxes, Tax</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Receivable Agreement payments and expenses, and subject to</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Delaware law. Our ability to pay dividends may be restricted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the terms of any future credit agreement or any future debt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or preferred equity securities of us or our subsidiaries. Any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future determination as to the declaration and payment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dividends, if any, will be at the discretion of our board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directors, subject to compliance with contractual restrictions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covenants in the agreements governing our future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indebtedness. Any such determination will also depend upon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our business prospects, results of operations, financial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condition, cash requirements and availability, industry trends,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other factors that our board of directors may deem</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relevant. See “Dividend Policy.”</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Controlled company</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exception</w:t>
      </w:r>
      <w:r>
        <w:rPr>
          <w:sz w:val="20"/>
          <w:szCs w:val="20"/>
          <w:color w:val="auto"/>
        </w:rPr>
        <w:tab/>
      </w:r>
      <w:r>
        <w:rPr>
          <w:rFonts w:ascii="Arial" w:cs="Arial" w:eastAsia="Arial" w:hAnsi="Arial"/>
          <w:sz w:val="18"/>
          <w:szCs w:val="18"/>
          <w:color w:val="auto"/>
        </w:rPr>
        <w:t>After the consummation of the Transactions, we will be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considered a “controlled company” within the meaning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listing rules of the Nasdaq Global Select Market, or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Nasdaq rules, as the Continuing Equity Owners will have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more than 50% of the voting power for the election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directors. See “Principal Stockholders.” As a “controlled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company,” we will not be subject to certain corporate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governance requirements, including that: (1) a majority of our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board of directors consists of “independent directors,” as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defined under the Nasdaq rules; (2) our board of directors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have a compensation committee that is comprised entirely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independent directors with a written charter addressing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committee’s purpose and responsibilities; and (3) our director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nominations be made, or recommended to our full board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directors, by our independent directors or by a nominations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committee that is comprised entirely of independent directors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that we adopt a written charter or board resolution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02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addressing the nominations process. As a result, we may not</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have a majority of independent directors on our board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directors, an entirely independent nominating and corporate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governance committee, an entirely independent compensation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committee or perform annual performance evaluations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nominating and corporate governance and compensation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committees unless and until such time as we are required to do</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so.</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Directed Share Program</w:t>
      </w:r>
      <w:r>
        <w:rPr>
          <w:sz w:val="20"/>
          <w:szCs w:val="20"/>
          <w:color w:val="auto"/>
        </w:rPr>
        <w:tab/>
      </w:r>
      <w:r>
        <w:rPr>
          <w:rFonts w:ascii="Arial" w:cs="Arial" w:eastAsia="Arial" w:hAnsi="Arial"/>
          <w:sz w:val="17"/>
          <w:szCs w:val="17"/>
          <w:color w:val="auto"/>
        </w:rPr>
        <w:t>At our request, the underwriters have reserved up to 5.0% of</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 shares of Class A common stock offered by this prospectus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 sale at the initial public offering price through a directed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share program to certain individuals identified by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management. Any shares sold under the directed share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program will not be subject to the terms of any lock-up</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 except in the case of shares purchased by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officers or directors. The number of shares of Class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available for sale to the general public will be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reduced by the number of reserved shares sold to these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individuals. Any reserved shares not purchased by these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individuals will be offered by the underwriters to the general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public on the same basis as the other shares of Class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offered under this prospectus. See the section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titled “Underwriting—Directed Share Program.”</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Tax Receivable Agreement</w:t>
      </w:r>
      <w:r>
        <w:rPr>
          <w:sz w:val="20"/>
          <w:szCs w:val="20"/>
          <w:color w:val="auto"/>
        </w:rPr>
        <w:tab/>
      </w:r>
      <w:r>
        <w:rPr>
          <w:rFonts w:ascii="Arial" w:cs="Arial" w:eastAsia="Arial" w:hAnsi="Arial"/>
          <w:sz w:val="17"/>
          <w:szCs w:val="17"/>
          <w:color w:val="auto"/>
        </w:rPr>
        <w:t>We will enter into a Tax Receivable Agreement with Fluence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Energy, LLC and the Founders that will provide for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payment by Fluence Energy, Inc. to such Founders of 85%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amount of tax benefits, if any, that Fluence Energy, Inc.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actually realizes (or in some circumstances is deemed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realize) as a result of (1) increases in our proportionate share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 the tax basis of the assets of Fluence Energy, LLC and its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subsidiaries resulting from future redemptions or exchanges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(or deemed exchanges in certain circumstances) of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 by the Founders for Class A common stock or cash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from the sale of newly issued shares of Class A common stock</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as described above under “—Redemption rights of holders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LLC Interests” and certain distributions (or deemed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distributions) by Fluence Energy, LLC; and (2) certain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additional tax benefits arising from payments made under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Tax Receivable Agreement. Following this offering, we expect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use distributions from Fluence Energy, LLC to fund any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payments that we will be required to make under the Tax</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Receivable Agreement. We anticipate funding ordinary course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payments under the Tax Receivable Agreement from cash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flow from operations of our subsidiaries, available cash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available borrowings under any future debt agreements. Our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obligations under the Tax Receivable Agreement could have a</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substantial negative effect on our liquidity. See “Certain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Relationships and Related Party Transactions—Tax</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Receivable Agreement” for a discussion of the Tax Receivable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Registration rights agreement</w:t>
      </w:r>
      <w:r>
        <w:rPr>
          <w:sz w:val="20"/>
          <w:szCs w:val="20"/>
          <w:color w:val="auto"/>
        </w:rPr>
        <w:tab/>
      </w:r>
      <w:r>
        <w:rPr>
          <w:rFonts w:ascii="Arial" w:cs="Arial" w:eastAsia="Arial" w:hAnsi="Arial"/>
          <w:sz w:val="17"/>
          <w:szCs w:val="17"/>
          <w:color w:val="auto"/>
        </w:rPr>
        <w:t>Pursuant to the Registration Rights Agreement, we will,</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subject to the terms and conditions thereof, agree to register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resale of the shares of our Class A common stock that are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held by, issued or issuable to the Continuing Equity Owners.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6"/>
              </w:rPr>
              <w:t>See “Certain Relationships and Related Party Transactions—</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Registration Rights Agreement” for a discussion of the</w:t>
            </w:r>
          </w:p>
        </w:tc>
      </w:tr>
      <w:tr>
        <w:trPr>
          <w:trHeight w:val="230"/>
        </w:trPr>
        <w:tc>
          <w:tcPr>
            <w:tcW w:w="2520" w:type="dxa"/>
            <w:vAlign w:val="bottom"/>
          </w:tcPr>
          <w:p>
            <w:pPr>
              <w:spacing w:after="0"/>
              <w:rPr>
                <w:sz w:val="20"/>
                <w:szCs w:val="20"/>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Registration Rights Agreement.</w:t>
            </w: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Indication of Interest</w:t>
            </w: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3"/>
              </w:rPr>
              <w:t>BNPP ET has indicated an interest in purchasing an aggregate</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of up to a maximum of $70 million in shares of Class A</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common stock in this offering at the initial public offering</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price. Because this indication of interest is not a binding</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agreement or a commitment to purchase, BNPP ET could</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9"/>
              </w:rPr>
              <w:t>determine to purchase more, fewer or no shares of Class A</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common stock in this offering, or the underwriters could</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7"/>
              </w:rPr>
              <w:t>determine to sell more, fewer or no shares to BNPP ET. The</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underwriters will receive the same discount on any of the</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7"/>
              </w:rPr>
              <w:t>shares of Class A common stock purchased by BNPP ET as</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5"/>
              </w:rPr>
              <w:t>they will on any other shares of Class A common stock sold to</w:t>
            </w:r>
          </w:p>
        </w:tc>
      </w:tr>
      <w:tr>
        <w:trPr>
          <w:trHeight w:val="230"/>
        </w:trPr>
        <w:tc>
          <w:tcPr>
            <w:tcW w:w="2520" w:type="dxa"/>
            <w:vAlign w:val="bottom"/>
          </w:tcPr>
          <w:p>
            <w:pPr>
              <w:spacing w:after="0"/>
              <w:rPr>
                <w:sz w:val="20"/>
                <w:szCs w:val="20"/>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the public in this offering.</w:t>
            </w:r>
          </w:p>
        </w:tc>
      </w:tr>
      <w:tr>
        <w:trPr>
          <w:trHeight w:val="283"/>
        </w:trPr>
        <w:tc>
          <w:tcPr>
            <w:tcW w:w="2520" w:type="dxa"/>
            <w:vAlign w:val="bottom"/>
          </w:tcPr>
          <w:p>
            <w:pPr>
              <w:spacing w:after="0"/>
              <w:rPr>
                <w:sz w:val="20"/>
                <w:szCs w:val="20"/>
                <w:color w:val="auto"/>
              </w:rPr>
            </w:pPr>
            <w:r>
              <w:rPr>
                <w:rFonts w:ascii="Arial" w:cs="Arial" w:eastAsia="Arial" w:hAnsi="Arial"/>
                <w:sz w:val="18"/>
                <w:szCs w:val="18"/>
                <w:color w:val="auto"/>
              </w:rPr>
              <w:t>Risk factors</w:t>
            </w:r>
          </w:p>
        </w:tc>
        <w:tc>
          <w:tcPr>
            <w:tcW w:w="5660" w:type="dxa"/>
            <w:vAlign w:val="bottom"/>
            <w:gridSpan w:val="3"/>
          </w:tcPr>
          <w:p>
            <w:pPr>
              <w:ind w:left="940"/>
              <w:spacing w:after="0"/>
              <w:rPr>
                <w:rFonts w:ascii="Arial" w:cs="Arial" w:eastAsia="Arial" w:hAnsi="Arial"/>
                <w:sz w:val="18"/>
                <w:szCs w:val="18"/>
                <w:color w:val="auto"/>
              </w:rPr>
            </w:pPr>
            <w:r>
              <w:rPr>
                <w:rFonts w:ascii="Arial" w:cs="Arial" w:eastAsia="Arial" w:hAnsi="Arial"/>
                <w:sz w:val="18"/>
                <w:szCs w:val="18"/>
                <w:color w:val="auto"/>
              </w:rPr>
              <w:t xml:space="preserve">See “Risk Factors” beginning on page </w:t>
            </w:r>
            <w:hyperlink w:anchor="page30">
              <w:r>
                <w:rPr>
                  <w:rFonts w:ascii="Arial" w:cs="Arial" w:eastAsia="Arial" w:hAnsi="Arial"/>
                  <w:sz w:val="18"/>
                  <w:szCs w:val="18"/>
                  <w:color w:val="0000EE"/>
                </w:rPr>
                <w:t>25</w:t>
              </w:r>
              <w:r>
                <w:rPr>
                  <w:rFonts w:ascii="Arial" w:cs="Arial" w:eastAsia="Arial" w:hAnsi="Arial"/>
                  <w:sz w:val="18"/>
                  <w:szCs w:val="18"/>
                  <w:color w:val="auto"/>
                </w:rPr>
                <w:t xml:space="preserve"> </w:t>
              </w:r>
            </w:hyperlink>
            <w:r>
              <w:rPr>
                <w:rFonts w:ascii="Arial" w:cs="Arial" w:eastAsia="Arial" w:hAnsi="Arial"/>
                <w:sz w:val="18"/>
                <w:szCs w:val="18"/>
                <w:color w:val="auto"/>
              </w:rPr>
              <w:t>and other</w:t>
            </w:r>
          </w:p>
        </w:tc>
      </w:tr>
      <w:tr>
        <w:trPr>
          <w:trHeight w:val="20"/>
        </w:trPr>
        <w:tc>
          <w:tcPr>
            <w:tcW w:w="2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2"/>
        </w:trPr>
        <w:tc>
          <w:tcPr>
            <w:tcW w:w="2520" w:type="dxa"/>
            <w:vAlign w:val="bottom"/>
          </w:tcPr>
          <w:p>
            <w:pPr>
              <w:spacing w:after="0"/>
              <w:rPr>
                <w:sz w:val="19"/>
                <w:szCs w:val="19"/>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information included in this prospectus for a discussion of</w:t>
            </w:r>
          </w:p>
        </w:tc>
      </w:tr>
      <w:tr>
        <w:trPr>
          <w:trHeight w:val="216"/>
        </w:trPr>
        <w:tc>
          <w:tcPr>
            <w:tcW w:w="2520" w:type="dxa"/>
            <w:vAlign w:val="bottom"/>
          </w:tcPr>
          <w:p>
            <w:pPr>
              <w:spacing w:after="0"/>
              <w:rPr>
                <w:sz w:val="18"/>
                <w:szCs w:val="18"/>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5"/>
              </w:rPr>
              <w:t>factors you should carefully consider before deciding to invest</w:t>
            </w:r>
          </w:p>
        </w:tc>
      </w:tr>
      <w:tr>
        <w:trPr>
          <w:trHeight w:val="230"/>
        </w:trPr>
        <w:tc>
          <w:tcPr>
            <w:tcW w:w="2520" w:type="dxa"/>
            <w:vAlign w:val="bottom"/>
          </w:tcPr>
          <w:p>
            <w:pPr>
              <w:spacing w:after="0"/>
              <w:rPr>
                <w:sz w:val="20"/>
                <w:szCs w:val="20"/>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rPr>
              <w:t>in shares of our Class A common stock.</w:t>
            </w: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Trading symbol</w:t>
            </w: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8"/>
              </w:rPr>
              <w:t>Our Class A common stock has been approved for listing on</w:t>
            </w:r>
          </w:p>
        </w:tc>
      </w:tr>
      <w:tr>
        <w:trPr>
          <w:trHeight w:val="230"/>
        </w:trPr>
        <w:tc>
          <w:tcPr>
            <w:tcW w:w="2520" w:type="dxa"/>
            <w:vAlign w:val="bottom"/>
          </w:tcPr>
          <w:p>
            <w:pPr>
              <w:spacing w:after="0"/>
              <w:rPr>
                <w:sz w:val="20"/>
                <w:szCs w:val="20"/>
                <w:color w:val="auto"/>
              </w:rPr>
            </w:pPr>
          </w:p>
        </w:tc>
        <w:tc>
          <w:tcPr>
            <w:tcW w:w="5660" w:type="dxa"/>
            <w:vAlign w:val="bottom"/>
            <w:gridSpan w:val="3"/>
          </w:tcPr>
          <w:p>
            <w:pPr>
              <w:ind w:left="940"/>
              <w:spacing w:after="0"/>
              <w:rPr>
                <w:sz w:val="20"/>
                <w:szCs w:val="20"/>
                <w:color w:val="auto"/>
              </w:rPr>
            </w:pPr>
            <w:r>
              <w:rPr>
                <w:rFonts w:ascii="Arial" w:cs="Arial" w:eastAsia="Arial" w:hAnsi="Arial"/>
                <w:sz w:val="18"/>
                <w:szCs w:val="18"/>
                <w:color w:val="auto"/>
                <w:w w:val="98"/>
              </w:rPr>
              <w:t>the Nasdaq Global Select Market under the symbol “FLNC.”</w:t>
            </w:r>
          </w:p>
        </w:tc>
      </w:tr>
    </w:tbl>
    <w:p>
      <w:pPr>
        <w:spacing w:after="0" w:line="1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Unless we indicate otherwise or the context otherwise requires, all information in this prospectus:</w:t>
      </w:r>
    </w:p>
    <w:p>
      <w:pPr>
        <w:spacing w:after="0" w:line="117" w:lineRule="exact"/>
        <w:rPr>
          <w:sz w:val="20"/>
          <w:szCs w:val="20"/>
          <w:color w:val="auto"/>
        </w:rPr>
      </w:pPr>
    </w:p>
    <w:p>
      <w:pPr>
        <w:ind w:left="1820" w:right="539" w:hanging="182"/>
        <w:spacing w:after="0" w:line="263" w:lineRule="auto"/>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gives effect to the amendment and restatement of the Fluence Energy LLC Agreement that converts all existing ownership interests in Fluence Energy, LLC into 117,173,390 LLC Interests, as well as the filing of our amended and restated certificate of incorporation;</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gives effect to the other Transactions, including the consummation of this offering;</w:t>
      </w:r>
    </w:p>
    <w:p>
      <w:pPr>
        <w:spacing w:after="0" w:line="117" w:lineRule="exact"/>
        <w:rPr>
          <w:rFonts w:ascii="Arial" w:cs="Arial" w:eastAsia="Arial" w:hAnsi="Arial"/>
          <w:sz w:val="18"/>
          <w:szCs w:val="18"/>
          <w:color w:val="auto"/>
        </w:rPr>
      </w:pPr>
    </w:p>
    <w:p>
      <w:pPr>
        <w:ind w:left="1820" w:right="439" w:hanging="182"/>
        <w:spacing w:after="0" w:line="255" w:lineRule="auto"/>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23,988,371 shares of Class A common stock reserved for issuance under options issued pursuant to the Existing Equity Plan (as defined below) which will convert upon effectiveness of this offering into options to acquire shares of Class A common stock, or shares of Class A common stock reserved for issuance under our 2021 Equity Plan, or the 2021 Plan or shares of Class A common stock that may be issued in respect of awards under the Existing Phantom Equity Plan (as defined below); and</w:t>
      </w:r>
    </w:p>
    <w:p>
      <w:pPr>
        <w:spacing w:after="0" w:line="84" w:lineRule="exact"/>
        <w:rPr>
          <w:rFonts w:ascii="Arial" w:cs="Arial" w:eastAsia="Arial" w:hAnsi="Arial"/>
          <w:sz w:val="18"/>
          <w:szCs w:val="18"/>
          <w:color w:val="auto"/>
        </w:rPr>
      </w:pPr>
    </w:p>
    <w:p>
      <w:pPr>
        <w:ind w:left="1820" w:right="639" w:hanging="182"/>
        <w:spacing w:after="0" w:line="277" w:lineRule="auto"/>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4,650,000 additional shares of Class A common stock from 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Summary Historical and Pro Forma Condensed Consolidated Financial and Other Data</w:t>
      </w:r>
    </w:p>
    <w:p>
      <w:pPr>
        <w:spacing w:after="0" w:line="173" w:lineRule="exact"/>
        <w:rPr>
          <w:sz w:val="20"/>
          <w:szCs w:val="20"/>
          <w:color w:val="auto"/>
        </w:rPr>
      </w:pPr>
    </w:p>
    <w:p>
      <w:pPr>
        <w:ind w:left="1280" w:right="419" w:firstLine="360"/>
        <w:spacing w:after="0" w:line="267" w:lineRule="auto"/>
        <w:rPr>
          <w:sz w:val="20"/>
          <w:szCs w:val="20"/>
          <w:color w:val="auto"/>
        </w:rPr>
      </w:pPr>
      <w:r>
        <w:rPr>
          <w:rFonts w:ascii="Arial" w:cs="Arial" w:eastAsia="Arial" w:hAnsi="Arial"/>
          <w:sz w:val="17"/>
          <w:szCs w:val="17"/>
          <w:color w:val="auto"/>
        </w:rPr>
        <w:t>The following tables present the summary historical consolidated financial and other data for Fluence Energy, LLC and its subsidiaries and the summary pro forma consolidated financial and other data for Fluence Energy, LLC. Fluence Energy, LLC is the predecessor of Fluence Energy, Inc. for financial reporting purposes. Fluence Energy, Inc. was formed as a Delaware corporation on June 21, 2021 and does not have historical financial results. Fluence Energy, Inc. currently has no assets or liabilities and has conducted no operations, and has not, to date, conducted any activities other than those incident to its formation, those in preparation for the Transactions and the preparation of this prospectus and the registration statement of which this prospectus forms a part. The summary consolidated statements of operations data and statements of cash flows data for the years ended September 30, 2020 and 2019, and the summary consolidated balance sheet data as of September 30, 2020 and 2019 are derived from the audited consolidated financial statements of Fluence Energy, LLC included elsewhere in this prospectus. We have derived the summary consolidated statements of operations and cash flows data for the nine months ended June 30, 2021 and June 30, 2020 from our unaudited condensed consolidated financial statements included elsewhere in this prospectus. Our summary consolidated balance sheet data as of June 30, 2021 has been derived from our unaudited condensed consolidated financial statements for such period included elsewhere in this prospectus. The unaudited consolidated financial statements have been prepared on the same basis as the audited consolidated financial statements and, in the opinion of management, include all adjustments, consisting only of normal and recurring adjustments, necessary for a fair statement of the information set forth herein. Interim financial results are not necessarily indicative of results for the full year or any future reporting period. 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and the consolidated financial statements and the accompanying notes included elsewhere in this prospectus.</w:t>
      </w:r>
    </w:p>
    <w:p>
      <w:pPr>
        <w:spacing w:after="0" w:line="115" w:lineRule="exact"/>
        <w:rPr>
          <w:sz w:val="20"/>
          <w:szCs w:val="20"/>
          <w:color w:val="auto"/>
        </w:rPr>
      </w:pPr>
    </w:p>
    <w:p>
      <w:pPr>
        <w:ind w:left="1280" w:right="439" w:firstLine="360"/>
        <w:spacing w:after="0" w:line="267" w:lineRule="auto"/>
        <w:rPr>
          <w:sz w:val="20"/>
          <w:szCs w:val="20"/>
          <w:color w:val="auto"/>
        </w:rPr>
      </w:pPr>
      <w:r>
        <w:rPr>
          <w:rFonts w:ascii="Arial" w:cs="Arial" w:eastAsia="Arial" w:hAnsi="Arial"/>
          <w:sz w:val="17"/>
          <w:szCs w:val="17"/>
          <w:color w:val="auto"/>
        </w:rPr>
        <w:t>The unaudited pro forma consolidated balance sheet as of June 30, 2021 presents the consolidated financial position of Fluence Energy, LLC after giving pro forma effect to the Transactions, excluding this offering, and Fluence Energy, Inc. adjusted for this offering and the contemplated use of the net proceeds from this offering as described under “Our Organizational Structure” and “Use of Proceeds” as if such transactions had occurred as of the balance sheet date. The unaudited pro forma consolidated statements of operations for the year ended September 30, 2020 and the nine-months ended June 30, 2021 present the consolidated results of operations of Fluence Energy, LLC after giving pro forma effect to the Transactions, excluding this offering, and Fluence Energy, Inc. adjusted for this offering and the contemplated use of the net proceeds from this offering as described under “Our Organizational Structure” and “Use of Proceeds” as if such transactions had occurred on October 1, 2019. The pro forma adjustments are based on available information and upon assumptions that our management believes are reasonable in order to reflect, on a pro forma basis, the impact of the Transactions, excluding this offering, and as further adjusted for this offering, on the historical financial information of Fluence Energy, LLC. The unaudited pro forma consolidated financial information is subject to change based on the actual initial public offering price, the number of common shares sold in this offering, and other terms of this offering determined at pricing. The unaudited pro forma consolidated financial information is included for informational purposes only and does not purport to reflect the results of operations or financial position of Fluence Energy, Inc. that would have occurred had it operated according to the organizational structure set forth herein to be in place post-offering as a standalone public company during the periods presented.</w:t>
      </w:r>
    </w:p>
    <w:p>
      <w:pPr>
        <w:spacing w:after="0" w:line="107"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8"/>
          <w:szCs w:val="18"/>
          <w:color w:val="auto"/>
        </w:rPr>
        <w:t>The summary of our consolidated financial data set forth below and the pro forma financial data should be read together with our consolidated financial statements and our condensed consolidated interim financial statements and the related notes, as well as the sections captioned “Unaudited Pro Forma Consolidated Financial Information” and “Management’s Discussion and Analysis of Financial Condition and Results of Operations” appearing elsewhere in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Pro Forma As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Adjusted</w:t>
            </w:r>
            <w:r>
              <w:rPr>
                <w:rFonts w:ascii="Arial" w:cs="Arial" w:eastAsia="Arial" w:hAnsi="Arial"/>
                <w:sz w:val="17"/>
                <w:szCs w:val="17"/>
                <w:b w:val="1"/>
                <w:bCs w:val="1"/>
                <w:color w:val="auto"/>
                <w:w w:val="84"/>
                <w:vertAlign w:val="superscript"/>
              </w:rPr>
              <w:t>(1)</w:t>
            </w:r>
          </w:p>
        </w:tc>
        <w:tc>
          <w:tcPr>
            <w:tcW w:w="30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93"/>
              </w:rPr>
              <w:t>Actual</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116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0"/>
              </w:rPr>
              <w:t>Nine Months</w:t>
            </w:r>
          </w:p>
        </w:tc>
        <w:tc>
          <w:tcPr>
            <w:tcW w:w="200" w:type="dxa"/>
            <w:vAlign w:val="bottom"/>
          </w:tcPr>
          <w:p>
            <w:pPr>
              <w:spacing w:after="0"/>
              <w:rPr>
                <w:sz w:val="13"/>
                <w:szCs w:val="13"/>
                <w:color w:val="auto"/>
              </w:rPr>
            </w:pPr>
          </w:p>
        </w:tc>
        <w:tc>
          <w:tcPr>
            <w:tcW w:w="1960" w:type="dxa"/>
            <w:vAlign w:val="bottom"/>
            <w:gridSpan w:val="5"/>
          </w:tcPr>
          <w:p>
            <w:pPr>
              <w:jc w:val="center"/>
              <w:ind w:right="300"/>
              <w:spacing w:after="0" w:line="160" w:lineRule="exact"/>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gridSpan w:val="3"/>
            <w:vMerge w:val="restart"/>
          </w:tcPr>
          <w:p>
            <w:pPr>
              <w:jc w:val="center"/>
              <w:ind w:left="315"/>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500"/>
              <w:spacing w:after="0" w:line="125"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30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4"/>
                <w:szCs w:val="14"/>
                <w:b w:val="1"/>
                <w:bCs w:val="1"/>
                <w:color w:val="auto"/>
              </w:rPr>
              <w:t>(in thousands, except unit and per unit amounts)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492,561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492,561</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321,859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and services</w:t>
            </w: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503,858</w:t>
            </w:r>
          </w:p>
        </w:tc>
        <w:tc>
          <w:tcPr>
            <w:tcW w:w="140" w:type="dxa"/>
            <w:vAlign w:val="bottom"/>
            <w:tcBorders>
              <w:lef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502,644</w:t>
            </w:r>
          </w:p>
        </w:tc>
        <w:tc>
          <w:tcPr>
            <w:tcW w:w="26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325,944</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Gross loss</w:t>
            </w:r>
          </w:p>
        </w:tc>
        <w:tc>
          <w:tcPr>
            <w:tcW w:w="12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(11,297)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(10,083)</w:t>
            </w: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16"/>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17,251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18,666</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16,882</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23,159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(1,427)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(1,061)</w:t>
            </w:r>
          </w:p>
        </w:tc>
        <w:tc>
          <w:tcPr>
            <w:tcW w:w="3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(81,494)</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(71,930)</w:t>
            </w: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(39,926)</w:t>
            </w: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(84,368)</w:t>
            </w:r>
          </w:p>
        </w:tc>
        <w:tc>
          <w:tcPr>
            <w:tcW w:w="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(74,804)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(45,604)</w:t>
            </w:r>
          </w:p>
        </w:tc>
        <w:tc>
          <w:tcPr>
            <w:tcW w:w="8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0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Borders>
              <w:top w:val="single" w:sz="8" w:color="auto"/>
              <w:bottom w:val="single" w:sz="8" w:color="auto"/>
            </w:tcBorders>
          </w:tcPr>
          <w:p>
            <w:pPr>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(59,314</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CCEEFF"/>
              <w:bottom w:val="single" w:sz="8" w:color="CCEEFF"/>
            </w:tcBorders>
          </w:tcPr>
          <w:p>
            <w:pPr>
              <w:spacing w:after="0"/>
              <w:rPr>
                <w:sz w:val="16"/>
                <w:szCs w:val="16"/>
                <w:color w:val="auto"/>
              </w:rPr>
            </w:pPr>
          </w:p>
        </w:tc>
        <w:tc>
          <w:tcPr>
            <w:tcW w:w="3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CCEEFF"/>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Fluence Energy, Inc.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(25,054)</w:t>
            </w:r>
          </w:p>
        </w:tc>
        <w:tc>
          <w:tcPr>
            <w:tcW w:w="1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line="189" w:lineRule="exact"/>
              <w:rPr>
                <w:sz w:val="20"/>
                <w:szCs w:val="20"/>
                <w:color w:val="auto"/>
              </w:rPr>
            </w:pPr>
            <w:r>
              <w:rPr>
                <w:rFonts w:ascii="Arial" w:cs="Arial" w:eastAsia="Arial" w:hAnsi="Arial"/>
                <w:sz w:val="18"/>
                <w:szCs w:val="18"/>
                <w:b w:val="1"/>
                <w:bCs w:val="1"/>
                <w:color w:val="auto"/>
              </w:rPr>
              <w:t>Per Share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 per share data (unaudited):</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(0.51)</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Pro forma weighted-average shares used to compute net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49,493,275</w:t>
            </w:r>
          </w:p>
        </w:tc>
        <w:tc>
          <w:tcPr>
            <w:tcW w:w="140" w:type="dxa"/>
            <w:vAlign w:val="bottom"/>
            <w:tcBorders>
              <w:lef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3"/>
              </w:rPr>
              <w:t>49,493,275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4900" w:type="dxa"/>
            <w:vAlign w:val="bottom"/>
          </w:tcPr>
          <w:p>
            <w:pPr>
              <w:spacing w:after="0"/>
              <w:rPr>
                <w:sz w:val="24"/>
                <w:szCs w:val="24"/>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Pro Forma As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4"/>
              </w:rPr>
              <w:t>Adjusted</w:t>
            </w:r>
            <w:r>
              <w:rPr>
                <w:rFonts w:ascii="Arial" w:cs="Arial" w:eastAsia="Arial" w:hAnsi="Arial"/>
                <w:sz w:val="17"/>
                <w:szCs w:val="17"/>
                <w:b w:val="1"/>
                <w:bCs w:val="1"/>
                <w:color w:val="auto"/>
                <w:w w:val="84"/>
                <w:vertAlign w:val="superscript"/>
              </w:rPr>
              <w:t>(1)</w:t>
            </w:r>
          </w:p>
        </w:tc>
        <w:tc>
          <w:tcPr>
            <w:tcW w:w="30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93"/>
              </w:rPr>
              <w:t>Actual</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8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Fiscal Year</w:t>
            </w:r>
          </w:p>
        </w:tc>
        <w:tc>
          <w:tcPr>
            <w:tcW w:w="30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89"/>
              </w:rPr>
              <w:t>Fiscal Year Ended</w:t>
            </w: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5"/>
                <w:szCs w:val="5"/>
                <w:color w:val="auto"/>
              </w:rPr>
            </w:pPr>
          </w:p>
        </w:tc>
        <w:tc>
          <w:tcPr>
            <w:tcW w:w="19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3"/>
            <w:vMerge w:val="restart"/>
          </w:tcPr>
          <w:p>
            <w:pPr>
              <w:jc w:val="center"/>
              <w:ind w:left="335"/>
              <w:spacing w:after="0"/>
              <w:rPr>
                <w:sz w:val="20"/>
                <w:szCs w:val="20"/>
                <w:color w:val="auto"/>
              </w:rPr>
            </w:pPr>
            <w:r>
              <w:rPr>
                <w:rFonts w:ascii="Arial" w:cs="Arial" w:eastAsia="Arial" w:hAnsi="Arial"/>
                <w:sz w:val="14"/>
                <w:szCs w:val="14"/>
                <w:b w:val="1"/>
                <w:bCs w:val="1"/>
                <w:color w:val="auto"/>
                <w:w w:val="87"/>
              </w:rPr>
              <w:t>September 30,</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1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49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20"/>
                <w:szCs w:val="20"/>
                <w:color w:val="auto"/>
              </w:rPr>
            </w:pPr>
            <w:r>
              <w:rPr>
                <w:rFonts w:ascii="Arial" w:cs="Arial" w:eastAsia="Arial" w:hAnsi="Arial"/>
                <w:sz w:val="14"/>
                <w:szCs w:val="14"/>
                <w:b w:val="1"/>
                <w:bCs w:val="1"/>
                <w:color w:val="auto"/>
              </w:rPr>
              <w:t>(in thousands, except unit and per unit amounts)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561,323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561,323</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and services</w:t>
            </w: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559,235</w:t>
            </w:r>
          </w:p>
        </w:tc>
        <w:tc>
          <w:tcPr>
            <w:tcW w:w="140" w:type="dxa"/>
            <w:vAlign w:val="bottom"/>
            <w:tcBorders>
              <w:lef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553,400</w:t>
            </w:r>
          </w:p>
        </w:tc>
        <w:tc>
          <w:tcPr>
            <w:tcW w:w="26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100,068</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Gross profit (loss)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16"/>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16,239</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17,940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(81,445)</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(40,289)</w:t>
            </w: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(47,759)</w:t>
            </w: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Income expense (benefit)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49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(87,866)</w:t>
            </w:r>
          </w:p>
        </w:tc>
        <w:tc>
          <w:tcPr>
            <w:tcW w:w="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(46,710)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(46,981)</w:t>
            </w:r>
          </w:p>
        </w:tc>
        <w:tc>
          <w:tcPr>
            <w:tcW w:w="8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00" w:type="dxa"/>
            <w:vAlign w:val="bottom"/>
            <w:tcBorders>
              <w:top w:val="single" w:sz="8" w:color="CCEEFF"/>
              <w:bottom w:val="single" w:sz="8" w:color="CCEEFF"/>
            </w:tcBorders>
          </w:tcPr>
          <w:p>
            <w:pPr>
              <w:spacing w:after="0" w:line="176" w:lineRule="exact"/>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(61,773)</w:t>
            </w:r>
          </w:p>
        </w:tc>
        <w:tc>
          <w:tcPr>
            <w:tcW w:w="14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CCEEFF"/>
              <w:bottom w:val="single" w:sz="8" w:color="CCEEFF"/>
            </w:tcBorders>
          </w:tcPr>
          <w:p>
            <w:pPr>
              <w:spacing w:after="0"/>
              <w:rPr>
                <w:sz w:val="15"/>
                <w:szCs w:val="15"/>
                <w:color w:val="auto"/>
              </w:rPr>
            </w:pPr>
          </w:p>
        </w:tc>
        <w:tc>
          <w:tcPr>
            <w:tcW w:w="300" w:type="dxa"/>
            <w:vAlign w:val="bottom"/>
            <w:tcBorders>
              <w:top w:val="single" w:sz="8" w:color="auto"/>
              <w:bottom w:val="single" w:sz="8" w:color="CCEEFF"/>
            </w:tcBorders>
          </w:tcPr>
          <w:p>
            <w:pPr>
              <w:spacing w:after="0"/>
              <w:rPr>
                <w:sz w:val="15"/>
                <w:szCs w:val="15"/>
                <w:color w:val="auto"/>
              </w:rPr>
            </w:pPr>
          </w:p>
        </w:tc>
        <w:tc>
          <w:tcPr>
            <w:tcW w:w="580" w:type="dxa"/>
            <w:vAlign w:val="bottom"/>
            <w:tcBorders>
              <w:top w:val="single" w:sz="8" w:color="auto"/>
              <w:bottom w:val="single" w:sz="8" w:color="CCEEFF"/>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Fluence Energy,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(26,093)</w:t>
            </w:r>
          </w:p>
        </w:tc>
        <w:tc>
          <w:tcPr>
            <w:tcW w:w="16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61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Pro Forma As</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Adjusted</w:t>
            </w:r>
            <w:r>
              <w:rPr>
                <w:rFonts w:ascii="Arial" w:cs="Arial" w:eastAsia="Arial" w:hAnsi="Arial"/>
                <w:sz w:val="17"/>
                <w:szCs w:val="17"/>
                <w:b w:val="1"/>
                <w:bCs w:val="1"/>
                <w:color w:val="auto"/>
                <w:w w:val="86"/>
                <w:vertAlign w:val="superscript"/>
              </w:rPr>
              <w:t>(1)</w:t>
            </w: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548"/>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60"/>
        </w:trPr>
        <w:tc>
          <w:tcPr>
            <w:tcW w:w="4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380"/>
              <w:spacing w:after="0" w:line="160" w:lineRule="exact"/>
              <w:rPr>
                <w:sz w:val="20"/>
                <w:szCs w:val="20"/>
                <w:color w:val="auto"/>
              </w:rPr>
            </w:pPr>
            <w:r>
              <w:rPr>
                <w:rFonts w:ascii="Arial" w:cs="Arial" w:eastAsia="Arial" w:hAnsi="Arial"/>
                <w:sz w:val="14"/>
                <w:szCs w:val="14"/>
                <w:b w:val="1"/>
                <w:bCs w:val="1"/>
                <w:color w:val="auto"/>
                <w:w w:val="86"/>
              </w:rPr>
              <w:t>Fiscal Year</w:t>
            </w:r>
          </w:p>
        </w:tc>
        <w:tc>
          <w:tcPr>
            <w:tcW w:w="21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0" w:type="dxa"/>
            <w:vAlign w:val="bottom"/>
          </w:tcPr>
          <w:p>
            <w:pPr>
              <w:spacing w:after="0"/>
              <w:rPr>
                <w:sz w:val="1"/>
                <w:szCs w:val="1"/>
                <w:color w:val="auto"/>
              </w:rPr>
            </w:pPr>
          </w:p>
        </w:tc>
      </w:tr>
      <w:tr>
        <w:trPr>
          <w:trHeight w:val="68"/>
        </w:trPr>
        <w:tc>
          <w:tcPr>
            <w:tcW w:w="4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21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1520" w:type="dxa"/>
            <w:vAlign w:val="bottom"/>
            <w:gridSpan w:val="3"/>
            <w:vMerge w:val="restart"/>
          </w:tcPr>
          <w:p>
            <w:pPr>
              <w:jc w:val="center"/>
              <w:ind w:right="568"/>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98"/>
        </w:trPr>
        <w:tc>
          <w:tcPr>
            <w:tcW w:w="4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6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4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unit and per unit amounts)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Pro forma net loss per share data (unaudited):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6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(0.53)</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131" w:right="1440" w:bottom="1440" w:gutter="0" w:footer="0" w:header="0"/>
        </w:sectPr>
      </w:pPr>
    </w:p>
    <w:p>
      <w:pPr>
        <w:ind w:left="1460" w:right="1540" w:hanging="179"/>
        <w:spacing w:after="0" w:line="257" w:lineRule="auto"/>
        <w:rPr>
          <w:sz w:val="20"/>
          <w:szCs w:val="20"/>
          <w:color w:val="auto"/>
        </w:rPr>
      </w:pPr>
      <w:r>
        <w:rPr>
          <w:rFonts w:ascii="Arial" w:cs="Arial" w:eastAsia="Arial" w:hAnsi="Arial"/>
          <w:sz w:val="18"/>
          <w:szCs w:val="18"/>
          <w:color w:val="auto"/>
        </w:rPr>
        <w:t>Pro forma weighted-average shares used to compute net loss per share:</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20"/>
                <w:szCs w:val="20"/>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7"/>
              </w:rPr>
              <w:t>49,493,275</w:t>
            </w:r>
          </w:p>
        </w:tc>
        <w:tc>
          <w:tcPr>
            <w:tcW w:w="300" w:type="dxa"/>
            <w:vAlign w:val="bottom"/>
          </w:tcPr>
          <w:p>
            <w:pPr>
              <w:spacing w:after="0"/>
              <w:rPr>
                <w:sz w:val="20"/>
                <w:szCs w:val="20"/>
                <w:color w:val="auto"/>
              </w:rPr>
            </w:pPr>
          </w:p>
        </w:tc>
      </w:tr>
      <w:tr>
        <w:trPr>
          <w:trHeight w:val="21"/>
        </w:trPr>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49,493,275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
        </w:trPr>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81"/>
        </w:trPr>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8"/>
              </w:rPr>
              <w:t>Actual</w:t>
            </w:r>
          </w:p>
        </w:tc>
        <w:tc>
          <w:tcPr>
            <w:tcW w:w="300" w:type="dxa"/>
            <w:vAlign w:val="bottom"/>
          </w:tcPr>
          <w:p>
            <w:pPr>
              <w:spacing w:after="0"/>
              <w:rPr>
                <w:sz w:val="24"/>
                <w:szCs w:val="24"/>
                <w:color w:val="auto"/>
              </w:rPr>
            </w:pPr>
          </w:p>
        </w:tc>
      </w:tr>
      <w:tr>
        <w:trPr>
          <w:trHeight w:val="26"/>
        </w:trPr>
        <w:tc>
          <w:tcPr>
            <w:tcW w:w="4080" w:type="dxa"/>
            <w:vAlign w:val="bottom"/>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92"/>
        </w:trPr>
        <w:tc>
          <w:tcPr>
            <w:tcW w:w="4080" w:type="dxa"/>
            <w:vAlign w:val="bottom"/>
          </w:tcPr>
          <w:p>
            <w:pPr>
              <w:spacing w:after="0"/>
              <w:rPr>
                <w:sz w:val="24"/>
                <w:szCs w:val="24"/>
                <w:color w:val="auto"/>
              </w:rPr>
            </w:pPr>
          </w:p>
        </w:tc>
        <w:tc>
          <w:tcPr>
            <w:tcW w:w="17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As of September 30,</w:t>
            </w:r>
          </w:p>
        </w:tc>
        <w:tc>
          <w:tcPr>
            <w:tcW w:w="300" w:type="dxa"/>
            <w:vAlign w:val="bottom"/>
          </w:tcPr>
          <w:p>
            <w:pPr>
              <w:spacing w:after="0"/>
              <w:rPr>
                <w:sz w:val="24"/>
                <w:szCs w:val="24"/>
                <w:color w:val="auto"/>
              </w:rPr>
            </w:pPr>
          </w:p>
        </w:tc>
      </w:tr>
      <w:tr>
        <w:trPr>
          <w:trHeight w:val="26"/>
        </w:trPr>
        <w:tc>
          <w:tcPr>
            <w:tcW w:w="4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11"/>
        </w:trPr>
        <w:tc>
          <w:tcPr>
            <w:tcW w:w="4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6"/>
        </w:trPr>
        <w:tc>
          <w:tcPr>
            <w:tcW w:w="4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94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940" w:type="dxa"/>
            <w:vAlign w:val="bottom"/>
          </w:tcPr>
          <w:p>
            <w:pPr>
              <w:jc w:val="center"/>
              <w:ind w:left="68"/>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62"/>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jc w:val="center"/>
              <w:ind w:left="68"/>
              <w:spacing w:after="0"/>
              <w:rPr>
                <w:sz w:val="20"/>
                <w:szCs w:val="20"/>
                <w:color w:val="auto"/>
              </w:rPr>
            </w:pPr>
            <w:r>
              <w:rPr>
                <w:rFonts w:ascii="Arial" w:cs="Arial" w:eastAsia="Arial" w:hAnsi="Arial"/>
                <w:sz w:val="14"/>
                <w:szCs w:val="14"/>
                <w:b w:val="1"/>
                <w:bCs w:val="1"/>
                <w:color w:val="auto"/>
                <w:w w:val="86"/>
              </w:rPr>
              <w:t>as of June 30,</w:t>
            </w:r>
          </w:p>
        </w:tc>
        <w:tc>
          <w:tcPr>
            <w:tcW w:w="0" w:type="dxa"/>
            <w:vAlign w:val="bottom"/>
          </w:tcPr>
          <w:p>
            <w:pPr>
              <w:spacing w:after="0"/>
              <w:rPr>
                <w:sz w:val="1"/>
                <w:szCs w:val="1"/>
                <w:color w:val="auto"/>
              </w:rPr>
            </w:pPr>
          </w:p>
        </w:tc>
      </w:tr>
      <w:tr>
        <w:trPr>
          <w:trHeight w:val="18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940" w:type="dxa"/>
            <w:vAlign w:val="bottom"/>
          </w:tcPr>
          <w:p>
            <w:pPr>
              <w:jc w:val="center"/>
              <w:ind w:left="10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sectPr>
          <w:pgSz w:w="11900" w:h="16838" w:orient="portrait"/>
          <w:cols w:equalWidth="0" w:num="2">
            <w:col w:w="7380" w:space="40"/>
            <w:col w:w="2459"/>
          </w:cols>
          <w:pgMar w:left="58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57"/>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3"/>
          </w:tcPr>
          <w:p>
            <w:pPr>
              <w:jc w:val="right"/>
              <w:ind w:right="76"/>
              <w:spacing w:after="0"/>
              <w:rPr>
                <w:sz w:val="20"/>
                <w:szCs w:val="20"/>
                <w:color w:val="auto"/>
              </w:rPr>
            </w:pPr>
            <w:r>
              <w:rPr>
                <w:rFonts w:ascii="Arial" w:cs="Arial" w:eastAsia="Arial" w:hAnsi="Arial"/>
                <w:sz w:val="18"/>
                <w:szCs w:val="18"/>
                <w:color w:val="auto"/>
              </w:rPr>
              <w:t>$ 93,815</w:t>
            </w:r>
          </w:p>
        </w:tc>
        <w:tc>
          <w:tcPr>
            <w:tcW w:w="60" w:type="dxa"/>
            <w:vAlign w:val="bottom"/>
          </w:tcPr>
          <w:p>
            <w:pPr>
              <w:spacing w:after="0"/>
              <w:rPr>
                <w:sz w:val="22"/>
                <w:szCs w:val="22"/>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$ 84,113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3"/>
          </w:tcPr>
          <w:p>
            <w:pPr>
              <w:jc w:val="right"/>
              <w:ind w:right="159"/>
              <w:spacing w:after="0"/>
              <w:rPr>
                <w:sz w:val="20"/>
                <w:szCs w:val="20"/>
                <w:color w:val="auto"/>
              </w:rPr>
            </w:pPr>
            <w:r>
              <w:rPr>
                <w:rFonts w:ascii="Arial" w:cs="Arial" w:eastAsia="Arial" w:hAnsi="Arial"/>
                <w:sz w:val="18"/>
                <w:szCs w:val="18"/>
                <w:color w:val="auto"/>
              </w:rPr>
              <w:t>$ 58,497</w:t>
            </w:r>
          </w:p>
        </w:tc>
        <w:tc>
          <w:tcPr>
            <w:tcW w:w="40" w:type="dxa"/>
            <w:vAlign w:val="bottom"/>
          </w:tcPr>
          <w:p>
            <w:pPr>
              <w:spacing w:after="0"/>
              <w:rPr>
                <w:sz w:val="22"/>
                <w:szCs w:val="22"/>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862,970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364,025</w:t>
            </w:r>
          </w:p>
        </w:tc>
        <w:tc>
          <w:tcPr>
            <w:tcW w:w="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188,804</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692,976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1,495,978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Total liabilities</w:t>
            </w:r>
          </w:p>
        </w:tc>
        <w:tc>
          <w:tcPr>
            <w:tcW w:w="1460" w:type="dxa"/>
            <w:vAlign w:val="bottom"/>
            <w:gridSpan w:val="3"/>
          </w:tcPr>
          <w:p>
            <w:pPr>
              <w:jc w:val="right"/>
              <w:ind w:right="76"/>
              <w:spacing w:after="0"/>
              <w:rPr>
                <w:sz w:val="20"/>
                <w:szCs w:val="20"/>
                <w:color w:val="auto"/>
              </w:rPr>
            </w:pPr>
            <w:r>
              <w:rPr>
                <w:rFonts w:ascii="Arial" w:cs="Arial" w:eastAsia="Arial" w:hAnsi="Arial"/>
                <w:sz w:val="18"/>
                <w:szCs w:val="18"/>
                <w:color w:val="auto"/>
              </w:rPr>
              <w:t>381,250</w:t>
            </w:r>
          </w:p>
        </w:tc>
        <w:tc>
          <w:tcPr>
            <w:tcW w:w="60" w:type="dxa"/>
            <w:vAlign w:val="bottom"/>
          </w:tcPr>
          <w:p>
            <w:pPr>
              <w:spacing w:after="0"/>
              <w:rPr>
                <w:sz w:val="22"/>
                <w:szCs w:val="22"/>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163,299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3"/>
          </w:tcPr>
          <w:p>
            <w:pPr>
              <w:jc w:val="right"/>
              <w:ind w:right="159"/>
              <w:spacing w:after="0"/>
              <w:rPr>
                <w:sz w:val="20"/>
                <w:szCs w:val="20"/>
                <w:color w:val="auto"/>
              </w:rPr>
            </w:pPr>
            <w:r>
              <w:rPr>
                <w:rFonts w:ascii="Arial" w:cs="Arial" w:eastAsia="Arial" w:hAnsi="Arial"/>
                <w:sz w:val="18"/>
                <w:szCs w:val="18"/>
                <w:color w:val="auto"/>
              </w:rPr>
              <w:t>662,163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676,311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members’ (deficit) equity</w:t>
            </w:r>
          </w:p>
        </w:tc>
        <w:tc>
          <w:tcPr>
            <w:tcW w:w="146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(17,225)</w:t>
            </w:r>
          </w:p>
        </w:tc>
        <w:tc>
          <w:tcPr>
            <w:tcW w:w="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25,505</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(86,459)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819,667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0"/>
        </w:trPr>
        <w:tc>
          <w:tcPr>
            <w:tcW w:w="3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Actual</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3"/>
              </w:rPr>
              <w:t>Actual</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252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2"/>
              </w:rPr>
              <w:t>Fiscal Year Ended September 30,</w:t>
            </w:r>
          </w:p>
        </w:tc>
        <w:tc>
          <w:tcPr>
            <w:tcW w:w="60" w:type="dxa"/>
            <w:vAlign w:val="bottom"/>
          </w:tcPr>
          <w:p>
            <w:pPr>
              <w:spacing w:after="0"/>
              <w:rPr>
                <w:sz w:val="17"/>
                <w:szCs w:val="17"/>
                <w:color w:val="auto"/>
              </w:rPr>
            </w:pPr>
          </w:p>
        </w:tc>
        <w:tc>
          <w:tcPr>
            <w:tcW w:w="21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9"/>
              </w:rPr>
              <w:t>Nine Months Ended June 30,</w:t>
            </w: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89"/>
              </w:rPr>
              <w:t>2021</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Data:</w:t>
            </w: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Arial" w:cs="Arial" w:eastAsia="Arial" w:hAnsi="Arial"/>
                <w:sz w:val="18"/>
                <w:szCs w:val="18"/>
                <w:color w:val="auto"/>
              </w:rPr>
              <w:t>Net cash (used in) provided by operating</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$(14,016)</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$ 27,682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ind w:right="219"/>
              <w:spacing w:after="0"/>
              <w:rPr>
                <w:sz w:val="20"/>
                <w:szCs w:val="20"/>
                <w:color w:val="auto"/>
              </w:rPr>
            </w:pPr>
            <w:r>
              <w:rPr>
                <w:rFonts w:ascii="Arial" w:cs="Arial" w:eastAsia="Arial" w:hAnsi="Arial"/>
                <w:sz w:val="18"/>
                <w:szCs w:val="18"/>
                <w:color w:val="auto"/>
                <w:w w:val="89"/>
              </w:rPr>
              <w:t>$(139,277)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$(75,865)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w:t>
            </w: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18,220</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(22,736)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(20,999)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3"/>
          </w:tcPr>
          <w:p>
            <w:pPr>
              <w:jc w:val="right"/>
              <w:ind w:right="279"/>
              <w:spacing w:after="0"/>
              <w:rPr>
                <w:sz w:val="20"/>
                <w:szCs w:val="20"/>
                <w:color w:val="auto"/>
              </w:rPr>
            </w:pPr>
            <w:r>
              <w:rPr>
                <w:rFonts w:ascii="Arial" w:cs="Arial" w:eastAsia="Arial" w:hAnsi="Arial"/>
                <w:sz w:val="18"/>
                <w:szCs w:val="18"/>
                <w:color w:val="auto"/>
              </w:rPr>
              <w:t>125,729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10,500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3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Borders>
              <w:bottom w:val="single" w:sz="8" w:color="auto"/>
            </w:tcBorders>
            <w:gridSpan w:val="6"/>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gridSpan w:val="8"/>
          </w:tcPr>
          <w:p>
            <w:pPr>
              <w:ind w:left="40"/>
              <w:spacing w:after="0"/>
              <w:rPr>
                <w:sz w:val="20"/>
                <w:szCs w:val="20"/>
                <w:color w:val="auto"/>
              </w:rPr>
            </w:pPr>
            <w:r>
              <w:rPr>
                <w:rFonts w:ascii="Arial" w:cs="Arial" w:eastAsia="Arial" w:hAnsi="Arial"/>
                <w:sz w:val="14"/>
                <w:szCs w:val="14"/>
                <w:b w:val="1"/>
                <w:bCs w:val="1"/>
                <w:color w:val="auto"/>
                <w:w w:val="88"/>
              </w:rPr>
              <w:t>Fiscal Year Ended September 30,</w:t>
            </w:r>
          </w:p>
        </w:tc>
        <w:tc>
          <w:tcPr>
            <w:tcW w:w="220" w:type="dxa"/>
            <w:vAlign w:val="bottom"/>
          </w:tcPr>
          <w:p>
            <w:pPr>
              <w:spacing w:after="0"/>
              <w:rPr>
                <w:sz w:val="17"/>
                <w:szCs w:val="17"/>
                <w:color w:val="auto"/>
              </w:rPr>
            </w:pPr>
          </w:p>
        </w:tc>
        <w:tc>
          <w:tcPr>
            <w:tcW w:w="196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9"/>
              </w:rPr>
              <w:t>Nine Months Ended June 30,</w:t>
            </w: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46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Non-GAAP Financial Measures (unaudited)</w:t>
            </w:r>
            <w:r>
              <w:rPr>
                <w:rFonts w:ascii="Arial" w:cs="Arial" w:eastAsia="Arial" w:hAnsi="Arial"/>
                <w:sz w:val="23"/>
                <w:szCs w:val="23"/>
                <w:b w:val="1"/>
                <w:bCs w:val="1"/>
                <w:color w:val="auto"/>
                <w:w w:val="91"/>
                <w:vertAlign w:val="superscript"/>
              </w:rPr>
              <w:t>(2)</w:t>
            </w:r>
            <w:r>
              <w:rPr>
                <w:rFonts w:ascii="Arial" w:cs="Arial" w:eastAsia="Arial" w:hAnsi="Arial"/>
                <w:sz w:val="18"/>
                <w:szCs w:val="18"/>
                <w:b w:val="1"/>
                <w:bCs w:val="1"/>
                <w:color w:val="auto"/>
                <w:w w:val="91"/>
              </w:rPr>
              <w:t>:</w:t>
            </w: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Adjusted EBITDA</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$(35,883)</w:t>
            </w:r>
          </w:p>
        </w:tc>
        <w:tc>
          <w:tcPr>
            <w:tcW w:w="60" w:type="dxa"/>
            <w:vAlign w:val="bottom"/>
          </w:tcPr>
          <w:p>
            <w:pPr>
              <w:spacing w:after="0"/>
              <w:rPr>
                <w:sz w:val="22"/>
                <w:szCs w:val="22"/>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$(41,614)</w:t>
            </w:r>
          </w:p>
        </w:tc>
        <w:tc>
          <w:tcPr>
            <w:tcW w:w="60" w:type="dxa"/>
            <w:vAlign w:val="bottom"/>
          </w:tcPr>
          <w:p>
            <w:pPr>
              <w:spacing w:after="0"/>
              <w:rPr>
                <w:sz w:val="22"/>
                <w:szCs w:val="22"/>
                <w:color w:val="auto"/>
              </w:rPr>
            </w:pPr>
          </w:p>
        </w:tc>
        <w:tc>
          <w:tcPr>
            <w:tcW w:w="46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(49,385)</w:t>
            </w:r>
          </w:p>
        </w:tc>
        <w:tc>
          <w:tcPr>
            <w:tcW w:w="10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$(37,139)</w:t>
            </w: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 (Loss)</w:t>
            </w:r>
          </w:p>
        </w:tc>
        <w:tc>
          <w:tcPr>
            <w:tcW w:w="8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7"/>
              </w:rPr>
              <w:t>8,901</w:t>
            </w:r>
          </w:p>
        </w:tc>
        <w:tc>
          <w:tcPr>
            <w:tcW w:w="6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(3,437)</w:t>
            </w:r>
          </w:p>
        </w:tc>
        <w:tc>
          <w:tcPr>
            <w:tcW w:w="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(3,091)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Adjusted Gross Profit Margin</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80" w:type="dxa"/>
            <w:vAlign w:val="bottom"/>
            <w:gridSpan w:val="6"/>
          </w:tcPr>
          <w:p>
            <w:pPr>
              <w:jc w:val="right"/>
              <w:ind w:right="33"/>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$(42,459)</w:t>
            </w:r>
          </w:p>
        </w:tc>
        <w:tc>
          <w:tcPr>
            <w:tcW w:w="60" w:type="dxa"/>
            <w:vAlign w:val="bottom"/>
            <w:shd w:val="clear" w:color="auto" w:fill="CCEEFF"/>
          </w:tcPr>
          <w:p>
            <w:pPr>
              <w:spacing w:after="0"/>
              <w:rPr>
                <w:sz w:val="23"/>
                <w:szCs w:val="23"/>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6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(54,017)</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Free Cash Flow</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$(15,796)</w:t>
            </w:r>
          </w:p>
        </w:tc>
        <w:tc>
          <w:tcPr>
            <w:tcW w:w="60" w:type="dxa"/>
            <w:vAlign w:val="bottom"/>
          </w:tcPr>
          <w:p>
            <w:pPr>
              <w:spacing w:after="0"/>
              <w:rPr>
                <w:sz w:val="23"/>
                <w:szCs w:val="23"/>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$ 24,946</w:t>
            </w:r>
          </w:p>
        </w:tc>
        <w:tc>
          <w:tcPr>
            <w:tcW w:w="60" w:type="dxa"/>
            <w:vAlign w:val="bottom"/>
          </w:tcPr>
          <w:p>
            <w:pPr>
              <w:spacing w:after="0"/>
              <w:rPr>
                <w:sz w:val="23"/>
                <w:szCs w:val="23"/>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$(142,276)</w:t>
            </w:r>
          </w:p>
        </w:tc>
        <w:tc>
          <w:tcPr>
            <w:tcW w:w="100" w:type="dxa"/>
            <w:vAlign w:val="bottom"/>
          </w:tcPr>
          <w:p>
            <w:pPr>
              <w:spacing w:after="0"/>
              <w:rPr>
                <w:sz w:val="23"/>
                <w:szCs w:val="23"/>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$(76,878)</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40" w:right="699" w:hanging="362"/>
        <w:spacing w:after="0" w:line="259"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 pro forma basis to give effect to the Transactions, excluding this offering. See “Unaudited Pro Forma Consolidated Financial Information.” On a pro forma as adjusted basis to reflect the sale and issuance by us of shares of our Class A common stock in this offering, based on the initial public offering</w:t>
      </w:r>
    </w:p>
    <w:p>
      <w:pPr>
        <w:sectPr>
          <w:pgSz w:w="11900" w:h="16838" w:orient="portrait"/>
          <w:cols w:equalWidth="0" w:num="1">
            <w:col w:w="9879"/>
          </w:cols>
          <w:pgMar w:left="580" w:top="131" w:right="1440" w:bottom="1440" w:gutter="0" w:footer="0" w:header="0"/>
          <w:type w:val="continuous"/>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40" w:right="619"/>
        <w:spacing w:after="0" w:line="255" w:lineRule="auto"/>
        <w:rPr>
          <w:sz w:val="20"/>
          <w:szCs w:val="20"/>
          <w:color w:val="auto"/>
        </w:rPr>
      </w:pPr>
      <w:r>
        <w:rPr>
          <w:rFonts w:ascii="Arial" w:cs="Arial" w:eastAsia="Arial" w:hAnsi="Arial"/>
          <w:sz w:val="18"/>
          <w:szCs w:val="18"/>
          <w:color w:val="auto"/>
        </w:rPr>
        <w:t>price of $28.00 per share, and the application of net proceeds from this offering as described under “Use of Proceeds,” as if this offering and the application of the net proceeds of this offering had occurred on October 1, 2019, in the case of Consolidated Statement of Operations Data, and June 30, 2021, in the case of Consolidated Balance Sheet Data; the Transactions; and the payment by us of estimated offering expenses of $10.0 million. See “Unaudited Pro Forma Consolidated Financial Information.”</w:t>
      </w:r>
    </w:p>
    <w:p>
      <w:pPr>
        <w:spacing w:after="0" w:line="44" w:lineRule="exact"/>
        <w:rPr>
          <w:sz w:val="20"/>
          <w:szCs w:val="20"/>
          <w:color w:val="auto"/>
        </w:rPr>
      </w:pPr>
    </w:p>
    <w:p>
      <w:pPr>
        <w:ind w:left="1640" w:right="699" w:hanging="362"/>
        <w:spacing w:after="0" w:line="254" w:lineRule="auto"/>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measures are not prepared in accordance with generally accepted accounting principles in the United States (“GAAP”) and should not be considered in isolation from or substitutions for performance measures calculated in accordance with GAAP. For additional information about these non-GAAP financial measures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46" w:lineRule="exact"/>
        <w:rPr>
          <w:rFonts w:ascii="Arial" w:cs="Arial" w:eastAsia="Arial" w:hAnsi="Arial"/>
          <w:sz w:val="18"/>
          <w:szCs w:val="18"/>
          <w:color w:val="auto"/>
        </w:rPr>
      </w:pPr>
    </w:p>
    <w:p>
      <w:pPr>
        <w:ind w:left="1640" w:right="459"/>
        <w:spacing w:after="0" w:line="257" w:lineRule="auto"/>
        <w:rPr>
          <w:rFonts w:ascii="Arial" w:cs="Arial" w:eastAsia="Arial" w:hAnsi="Arial"/>
          <w:sz w:val="18"/>
          <w:szCs w:val="18"/>
          <w:color w:val="auto"/>
        </w:rPr>
      </w:pPr>
      <w:r>
        <w:rPr>
          <w:rFonts w:ascii="Arial" w:cs="Arial" w:eastAsia="Arial" w:hAnsi="Arial"/>
          <w:sz w:val="18"/>
          <w:szCs w:val="18"/>
          <w:color w:val="auto"/>
        </w:rPr>
        <w:t>Adjusted EBITDA is calculated from the consolidated statements of operations using net income (loss) adjusted for (i) interest income (expense), net, (ii) income taxes, (iii) depreciation and amortization, (iv) equity-based compensation, and (v) other non-recurring income or expenses. Adjusted EBITDA may in the future also be adjusted for amounts impacting net income related to the Tax Receivable Agreement liability.</w:t>
      </w:r>
    </w:p>
    <w:p>
      <w:pPr>
        <w:spacing w:after="0" w:line="53" w:lineRule="exact"/>
        <w:rPr>
          <w:sz w:val="20"/>
          <w:szCs w:val="20"/>
          <w:color w:val="auto"/>
        </w:rPr>
      </w:pPr>
    </w:p>
    <w:p>
      <w:pPr>
        <w:ind w:left="1640" w:right="719"/>
        <w:spacing w:after="0" w:line="277" w:lineRule="auto"/>
        <w:rPr>
          <w:sz w:val="20"/>
          <w:szCs w:val="20"/>
          <w:color w:val="auto"/>
        </w:rPr>
      </w:pPr>
      <w:r>
        <w:rPr>
          <w:rFonts w:ascii="Arial" w:cs="Arial" w:eastAsia="Arial" w:hAnsi="Arial"/>
          <w:sz w:val="18"/>
          <w:szCs w:val="18"/>
          <w:color w:val="auto"/>
        </w:rPr>
        <w:t>Adjusted Gross Profit (Loss) is calculated using gross profit (loss), adjusted to exclude certain non-recurring income or expenses.</w:t>
      </w:r>
    </w:p>
    <w:p>
      <w:pPr>
        <w:spacing w:after="0" w:line="2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Adjusted Gross Profit Margin is calculated using Adjusted Gross Profit (Loss) divided by revenue.</w:t>
      </w:r>
    </w:p>
    <w:p>
      <w:pPr>
        <w:spacing w:after="0" w:line="77" w:lineRule="exact"/>
        <w:rPr>
          <w:sz w:val="20"/>
          <w:szCs w:val="20"/>
          <w:color w:val="auto"/>
        </w:rPr>
      </w:pPr>
    </w:p>
    <w:p>
      <w:pPr>
        <w:jc w:val="both"/>
        <w:ind w:left="1640" w:right="519"/>
        <w:spacing w:after="0" w:line="263" w:lineRule="auto"/>
        <w:rPr>
          <w:sz w:val="20"/>
          <w:szCs w:val="20"/>
          <w:color w:val="auto"/>
        </w:rPr>
      </w:pPr>
      <w:r>
        <w:rPr>
          <w:rFonts w:ascii="Arial" w:cs="Arial" w:eastAsia="Arial" w:hAnsi="Arial"/>
          <w:sz w:val="18"/>
          <w:szCs w:val="18"/>
          <w:color w:val="auto"/>
        </w:rPr>
        <w:t>Adjusted Net Loss is calculated using net Loss, adjusted to exclude (i) amortization of intangibles, (ii) equity-based compensation, (iii) other non-recurring income or expenses, and (iv) tax impact of these adjustments.</w:t>
      </w:r>
    </w:p>
    <w:p>
      <w:pPr>
        <w:spacing w:after="0" w:line="49" w:lineRule="exact"/>
        <w:rPr>
          <w:sz w:val="20"/>
          <w:szCs w:val="20"/>
          <w:color w:val="auto"/>
        </w:rPr>
      </w:pPr>
    </w:p>
    <w:p>
      <w:pPr>
        <w:ind w:left="1640" w:right="459"/>
        <w:spacing w:after="0" w:line="253" w:lineRule="auto"/>
        <w:rPr>
          <w:sz w:val="20"/>
          <w:szCs w:val="20"/>
          <w:color w:val="auto"/>
        </w:rPr>
      </w:pPr>
      <w:r>
        <w:rPr>
          <w:rFonts w:ascii="Arial" w:cs="Arial" w:eastAsia="Arial" w:hAnsi="Arial"/>
          <w:sz w:val="18"/>
          <w:szCs w:val="18"/>
          <w:color w:val="auto"/>
        </w:rPr>
        <w:t>Free Cash Flow is calculated from the consolidated statements of cash flows and is defined as net cash provided by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Our limited operating and revenue history as an independent entity and our nascent industry make evaluating our business and future prospects difficult.</w:t>
      </w:r>
    </w:p>
    <w:p>
      <w:pPr>
        <w:spacing w:after="0" w:line="90"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We were established in January 2018 as a joint venture between Siemens and AES. Since then, we have continued to evolve, including through acquisitions. While both AES and Siemens had approximately</w:t>
      </w:r>
    </w:p>
    <w:p>
      <w:pPr>
        <w:spacing w:after="0" w:line="1"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ten years of experience in battery -based energy storage before combining those businesses to create Fluence, and we benefit from the industry experience and substantial support AES and Siemens provide, we have a limited history operating our business and generating revenue as an independent entity, and therefore a limited history upon which you can base an investment decision.</w:t>
      </w:r>
    </w:p>
    <w:p>
      <w:pPr>
        <w:spacing w:after="0" w:line="121"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Our future growth is dependent on rising demand for clean electric power solutions that can provide electric power with lower carbon emissions and replacement of conventional generation sources and the adoption speed of digital software applications to modernize the efficiency of power assets and the electric grid. Among other renewable energy market trends, we expect our business results to be driven by declines in the cost of generation of renewable power, decreases in the cost of manufacturing battery pack products, customer needs for services and digital applications, commercial, legal and political pressure for the reduced use of fossil fuels and electric power generation that relies on fossil or other non-renewable fuels, and a rapidly growing energy storage market driven by increasing demand from C&amp;I customers, utilities, and grid operators. However, predicting our future revenue and appropriately budgeting for our expenses is difficult, and we have limited insight into trends that may emerge and affect our business.</w:t>
      </w:r>
    </w:p>
    <w:p>
      <w:pPr>
        <w:spacing w:after="0" w:line="180"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b w:val="1"/>
          <w:bCs w:val="1"/>
          <w:i w:val="1"/>
          <w:iCs w:val="1"/>
          <w:color w:val="auto"/>
        </w:rPr>
        <w:t>If we are unable to attract new customers and retain existing customers, our revenue growth will be adversely affected.</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To increase our revenue, our business strategy depends on our ability to attract new customers and retain existing customers. We face competition from other energy storage and digital application providers in the recruitment of potential customers. If we are unable to convince potential customers of the benefits of our services or if potential or existing customers prefer the product and service offerings of one of our competitors, we may not be able to effectively implement our growth strategy. Additionally, a significant portion of our annual sales were direct sales to AES or a result of our Siemens sales relationship. See Note 13 to our unaudited consolidated financial statements for the nine months ended June 30, 2021, “Related Party Transactions.” If we fail to maintain those relationships, or if AES or Siemens decide to reduce their energy storage activities in the future, it could impact our sales and our growth would be even more reliant on our ability to recruit new customers. Our inability to recruit new customers and retain existing customers would harm our ability to execute our growth strategy and may have a material adverse effect on our business operations and financial position.</w:t>
      </w:r>
    </w:p>
    <w:p>
      <w:pPr>
        <w:spacing w:after="0" w:line="179" w:lineRule="exact"/>
        <w:rPr>
          <w:sz w:val="20"/>
          <w:szCs w:val="20"/>
          <w:color w:val="auto"/>
        </w:rPr>
      </w:pPr>
    </w:p>
    <w:p>
      <w:pPr>
        <w:ind w:left="1260" w:right="999"/>
        <w:spacing w:after="0" w:line="381" w:lineRule="auto"/>
        <w:rPr>
          <w:sz w:val="20"/>
          <w:szCs w:val="20"/>
          <w:color w:val="auto"/>
        </w:rPr>
      </w:pPr>
      <w:r>
        <w:rPr>
          <w:rFonts w:ascii="Arial" w:cs="Arial" w:eastAsia="Arial" w:hAnsi="Arial"/>
          <w:sz w:val="15"/>
          <w:szCs w:val="15"/>
          <w:b w:val="1"/>
          <w:bCs w:val="1"/>
          <w:i w:val="1"/>
          <w:iCs w:val="1"/>
          <w:color w:val="auto"/>
        </w:rPr>
        <w:t>We have experienced and may continue to experience delays, disruptions, or quality control problems in our manufacturing operations in part due to our third-party supplier and manufacturer concentration.</w:t>
      </w:r>
    </w:p>
    <w:p>
      <w:pPr>
        <w:spacing w:after="0" w:line="19"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Our product development, manufacturing and testing protocols are complex and require significant technological and production process expertise, and we currently depend on a limited number of third-party manufacturers, including for batteries and other key components of our products. In addition to concentration in our supply chain for batteries and other components, as of today, we have one major</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contract manufacturer for the Fluence Cube and are planning to expand our set of partners in the near term. As we introduce new products, we plan to expand our supply chain and regional manufacturing capabilities to further support customers in APAC, EMEA, and the Americas. While the risks of relying on a single Cube vendor and a limited number of suppliers for batteries and other components will diminish with regional and footprint optimization, expansion may be delayed by the process of vetting and qualifying new suppliers and manufacturing partners. Further, any vendor delay or disruption could cause a delay or disruption in our ability to meet customer requirements which may result in a loss of customers. Such processes involve a number of precise steps from design to production.</w:t>
      </w:r>
    </w:p>
    <w:p>
      <w:pPr>
        <w:spacing w:after="0" w:line="11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or increased production and logistics costs, and delays. Any of these developments could have a material adverse effect on our business, financial condition, and results of operations.</w:t>
      </w:r>
    </w:p>
    <w:p>
      <w:pPr>
        <w:spacing w:after="0" w:line="180" w:lineRule="exact"/>
        <w:rPr>
          <w:sz w:val="20"/>
          <w:szCs w:val="20"/>
          <w:color w:val="auto"/>
        </w:rPr>
      </w:pPr>
    </w:p>
    <w:p>
      <w:pPr>
        <w:ind w:left="1260" w:right="879"/>
        <w:spacing w:after="0" w:line="294" w:lineRule="auto"/>
        <w:rPr>
          <w:sz w:val="20"/>
          <w:szCs w:val="20"/>
          <w:color w:val="auto"/>
        </w:rPr>
      </w:pPr>
      <w:r>
        <w:rPr>
          <w:rFonts w:ascii="Arial" w:cs="Arial" w:eastAsia="Arial" w:hAnsi="Arial"/>
          <w:sz w:val="16"/>
          <w:szCs w:val="16"/>
          <w:b w:val="1"/>
          <w:bCs w:val="1"/>
          <w:i w:val="1"/>
          <w:iCs w:val="1"/>
          <w:color w:val="auto"/>
        </w:rPr>
        <w:t>We have experienced and may continue to experience exposure to risks associated with construction, utility interconnection, cost overruns, and delays, including those related to obtaining government permits and other contingencies that may arise in the course of completing installations.</w:t>
      </w:r>
    </w:p>
    <w:p>
      <w:pPr>
        <w:spacing w:after="0" w:line="8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Although we generally are not regulated as a utility, federal, state, and local government statutes and regulations concerning electricity heavily influence the market for our product and services. These statutes and regulations often relate to electricity pricing, net metering, incentives, taxation, and the rules surrounding the interconnection of customer-owned electricity generation for specific technologies. In the U.S., governments frequently modify these statutes and regulations. Governments, often acting through state utility or public service commissions, change and adopt different requirements for utilities and rates for commercial customers on a regular basis. Changes, or in some cases a lack of change, in any of the laws, regulations, ordinances, or other rules that apply to customer installations and new technology could make it more costly for our customers to install and operate our energy storage products on particular sites, and in turn could negatively affect our ability to deliver cost savings to customers for the purchase of electricity.</w:t>
      </w:r>
    </w:p>
    <w:p>
      <w:pPr>
        <w:spacing w:after="0" w:line="11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installation and operation of our energy storage products at a particular site are also generally subject to oversight and regulation in accordance with national, state, and local laws and ordinances relating to building codes, safety, environmental protection, and related matters, and typically require obtaining and keeping in good standing various local and other governmental approvals and permits, including environmental approvals and permits, that vary by jurisdiction. In some cases, these approvals and permits require periodic renewal. It is difficult and costly to track the requirements of every individual authority having jurisdiction over energy storage product installations, to design our energy storage products to comply with these varying standards, and for our customers to obtain all applicable approvals and permits. We cannot predict whether or when all permits required for a given customer’s project will be granted or whether the conditions associated with the permits will be achievable. The denial of a permit or utility connection essential to a project or the imposition of impractical conditions would impair our customer’s ability to develop the project. In addition, we cannot predict whether the permitting process will be lengthened due to complexities and appeals. Delay in the review and permitting process for a project can impair or delay our customers’ abilities to develop that project or increase the cost so substantially that the project is no longer attractive to our customers. Furthermore, unforeseen delays in the review and permitting process could delay the timing of the installation of our energy storage products and could therefore adversely affect the timing of the recognition of revenue related to hardware acceptance by our customer, which could adversely affect our operating results in a particular period.</w:t>
      </w:r>
    </w:p>
    <w:p>
      <w:pPr>
        <w:spacing w:after="0" w:line="109"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The production and installation of our energy storage products also involves the incurrence of various project costs and can entail project modifications. We have policies and procedures regarding the approval of project costs and modifications. In connection with our limited operating history and our significant growth, we have in the past experienced and may in the future experience incurrence of project costs without proper documentation or adhering to our policies and procedures. We have implemented additional training on our policies and procedures in this regard. In addition, disagreements with our customers and</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39"/>
        <w:spacing w:after="0" w:line="248" w:lineRule="auto"/>
        <w:rPr>
          <w:sz w:val="20"/>
          <w:szCs w:val="20"/>
          <w:color w:val="auto"/>
        </w:rPr>
      </w:pPr>
      <w:r>
        <w:rPr>
          <w:rFonts w:ascii="Arial" w:cs="Arial" w:eastAsia="Arial" w:hAnsi="Arial"/>
          <w:sz w:val="18"/>
          <w:szCs w:val="18"/>
          <w:color w:val="auto"/>
        </w:rPr>
        <w:t>suppliers have arisen and may in the future arise with respect to project schedules, work and modifications, which can result in the need to find different suppliers, loss of future business, additional costs to us and not realizing the anticipated profit from the project.</w:t>
      </w:r>
    </w:p>
    <w:p>
      <w:pPr>
        <w:spacing w:after="0" w:line="101"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addition, the successful installation of our energy storage products is dependent upon the availability of and timely connection to the local electric grid. Our customers may be unable to obtain the required consent and authorization of local utilities to ensure successful interconnection to energy grids to enable the successful discharge of renewable energy. Any delays in our customers’ ability to connect with utilities, delays in the performance of installation-related services, or poor performance of installation-related services will have an adverse effect on our results and could cause operating results to vary materially from period to period.</w:t>
      </w:r>
    </w:p>
    <w:p>
      <w:pPr>
        <w:spacing w:after="0" w:line="191" w:lineRule="exact"/>
        <w:rPr>
          <w:sz w:val="20"/>
          <w:szCs w:val="20"/>
          <w:color w:val="auto"/>
        </w:rPr>
      </w:pPr>
    </w:p>
    <w:p>
      <w:pPr>
        <w:ind w:left="1260" w:right="479"/>
        <w:spacing w:after="0" w:line="444" w:lineRule="auto"/>
        <w:rPr>
          <w:sz w:val="20"/>
          <w:szCs w:val="20"/>
          <w:color w:val="auto"/>
        </w:rPr>
      </w:pPr>
      <w:r>
        <w:rPr>
          <w:rFonts w:ascii="Arial" w:cs="Arial" w:eastAsia="Arial" w:hAnsi="Arial"/>
          <w:sz w:val="13"/>
          <w:szCs w:val="13"/>
          <w:b w:val="1"/>
          <w:bCs w:val="1"/>
          <w:i w:val="1"/>
          <w:iCs w:val="1"/>
          <w:color w:val="auto"/>
        </w:rPr>
        <w:t>The interruption of the flow of components and materials from international vendors could disrupt our supply chain, including as a result of the imposition of additional duties, tariffs, and other charges on imports and exports.</w:t>
      </w:r>
    </w:p>
    <w:p>
      <w:pPr>
        <w:ind w:left="1260" w:right="479" w:firstLine="360"/>
        <w:spacing w:after="0" w:line="238" w:lineRule="auto"/>
        <w:rPr>
          <w:sz w:val="20"/>
          <w:szCs w:val="20"/>
          <w:color w:val="auto"/>
        </w:rPr>
      </w:pPr>
      <w:r>
        <w:rPr>
          <w:rFonts w:ascii="Arial" w:cs="Arial" w:eastAsia="Arial" w:hAnsi="Arial"/>
          <w:sz w:val="18"/>
          <w:szCs w:val="18"/>
          <w:color w:val="auto"/>
        </w:rPr>
        <w:t>We purchase some of our components and materials outside of the United States through arrangements with various vendors, and have experienced delays in obtaining these components and materials as a result of the recent coronavirus pandemic (“COVID-19 pandemic”). Political, social, or economic instability in these regions, or in other regions where our products are made, could cause future disruptions in trade. Actions in various countries have created uncertainty with respect to tariff impacts on the costs of some of our components and materials. The degree of our exposure is dependent on (among other things) the type of materials, rates imposed, and timing of the tariffs. Other events that could also cause disruptions to our supply chain include:</w:t>
      </w:r>
    </w:p>
    <w:p>
      <w:pPr>
        <w:spacing w:after="0" w:line="86"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additional trade law provisions or regulations;</w:t>
      </w:r>
    </w:p>
    <w:p>
      <w:pPr>
        <w:spacing w:after="0" w:line="103"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additional duties, tariffs and other charges on imports and exports, including as a result of the escalating trade war between China and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quotas imposed by bilateral trade agreements;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logistics and shipping constraints;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health issues and epidemic diseases, their effects (including any disruptions they may cause) or the perception of their effects;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theft;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instability or bankruptcy of vendors;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labor disputes, such as dock strikes.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We cannot predict whether the countries in which our components and materials are sourced, or may be sourced in the future, will be subject to new or additional trade restrictions imposed by the United States or other foreign governments, including the likelihood, type, or effect of any such restrictions. Trade restrictions, including new or increased tariffs or quotas, border taxes, embargoes, safeguards, and customs restrictions against certain components and materials, as well as labor strikes and work stoppages or boycotts, could increase the cost or reduce or delay the supply of components and materials available to us and adversely affect our business, financial condition or results of operations.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Significant changes in the cost of raw materials or to logistic cost could adversely affect our financial performance.</w:t>
      </w:r>
    </w:p>
    <w:p>
      <w:pPr>
        <w:spacing w:after="0" w:line="188"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color w:val="auto"/>
        </w:rPr>
        <w:t>We are subject to risk from fluctuating market prices of certain commodity raw materials, including steel and aluminum, that are used in our products. Prices of these raw materials may be affected by supply restrictions or other logistic costs market factors from time to time, and we do not enter into hedging</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182" w:lineRule="exact"/>
        <w:rPr>
          <w:sz w:val="20"/>
          <w:szCs w:val="20"/>
          <w:color w:val="auto"/>
        </w:rPr>
      </w:pPr>
    </w:p>
    <w:p>
      <w:pPr>
        <w:ind w:left="1260" w:right="719"/>
        <w:spacing w:after="0" w:line="291" w:lineRule="auto"/>
        <w:rPr>
          <w:sz w:val="20"/>
          <w:szCs w:val="20"/>
          <w:color w:val="auto"/>
        </w:rPr>
      </w:pPr>
      <w:r>
        <w:rPr>
          <w:rFonts w:ascii="Arial" w:cs="Arial" w:eastAsia="Arial" w:hAnsi="Arial"/>
          <w:sz w:val="17"/>
          <w:szCs w:val="17"/>
          <w:b w:val="1"/>
          <w:bCs w:val="1"/>
          <w:i w:val="1"/>
          <w:iCs w:val="1"/>
          <w:color w:val="auto"/>
        </w:rPr>
        <w:t>Failure by our vendors or our component or raw material suppliers to use ethical business practices and comply with applicable laws and regulations may adversely affect our business.</w:t>
      </w:r>
    </w:p>
    <w:p>
      <w:pPr>
        <w:spacing w:after="0" w:line="6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U.S. or other markets in which we do business could also attract negative publicity for us and harm our business.</w:t>
      </w:r>
    </w:p>
    <w:p>
      <w:pPr>
        <w:spacing w:after="0" w:line="194" w:lineRule="exact"/>
        <w:rPr>
          <w:sz w:val="20"/>
          <w:szCs w:val="20"/>
          <w:color w:val="auto"/>
        </w:rPr>
      </w:pPr>
    </w:p>
    <w:p>
      <w:pPr>
        <w:ind w:left="1260" w:right="459"/>
        <w:spacing w:after="0" w:line="291" w:lineRule="auto"/>
        <w:rPr>
          <w:sz w:val="20"/>
          <w:szCs w:val="20"/>
          <w:color w:val="auto"/>
        </w:rPr>
      </w:pPr>
      <w:r>
        <w:rPr>
          <w:rFonts w:ascii="Arial" w:cs="Arial" w:eastAsia="Arial" w:hAnsi="Arial"/>
          <w:sz w:val="17"/>
          <w:szCs w:val="17"/>
          <w:b w:val="1"/>
          <w:bCs w:val="1"/>
          <w:i w:val="1"/>
          <w:iCs w:val="1"/>
          <w:color w:val="auto"/>
        </w:rPr>
        <w:t>We face supply chain competition and, in some instances, have entered into long-term supply agreements that could result in insufficient inventory and negatively affect our results of operations.</w:t>
      </w:r>
    </w:p>
    <w:p>
      <w:pPr>
        <w:spacing w:after="0" w:line="79"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have entered into long-term supply agreements with certain suppliers and contract manufacturers of batteries, inverters, and other components of our energy storage products. Some of these supply agreements provide for fixed or inflation-adjusted pricing, substantial prepayment obligations, and commitments to continue purchasing certain levels of components in future periods regardless of the level of demand we receive from customers. If our suppliers provide insufficient inventory at the level of quality required to meet customer demand, or if our suppliers are unable or unwilling to provide us with the contracted quantities, as we have limited alternatives for supply in the short term, our results of operations could be materially and negatively impacted. If our customers do not provide sufficient demand to purchase the levels of inventory we have committed to purchasing in future periods, our ability to generate revenue or cash flows may be limited.</w:t>
      </w:r>
    </w:p>
    <w:p>
      <w:pPr>
        <w:spacing w:after="0" w:line="121"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Further, we face significant specific counterparty risk under long-term supply agreements when dealing with certain suppliers without a long, stable production and financial history. Given the uniqueness of our product, many of our suppliers do not have a long operating history and may not have substantial capital resources. In the event any such supplier experiences financial difficulties, it may be difficult or may require substantial time and expense to replace such supplier. We do not know whether we will be able to maintain long-term supply relationships with our critical suppliers, or secure new long-term supply agreements. Additionally, many of the battery storage products and components of our energy storage products are procured from foreign suppliers, which exposes us to risks including unforeseen increases in costs or interruptions in supply arising from changes in applicable international trade regulations, such as taxes, tariffs, or quotas. Any of the foregoing could materially adversely affect our business, financial condition, and results of operations.</w:t>
      </w:r>
    </w:p>
    <w:p>
      <w:pPr>
        <w:spacing w:after="0" w:line="11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Certain of our suppliers also supply products and components to other businesses, including businesses engaged in the production of electric vehicles, consumer electronics and other industries unrelated to energy storage products. As a relatively low -volume purchaser of certain of these parts and materials, we may be unable to procure a sufficient supply of the items on favorable terms or at all, in the event that our suppliers fail to produce sufficient quantities to satisfy the demands of all of their customers, which could materially adversely affect our business, financial condition, and results of operations.</w:t>
      </w:r>
    </w:p>
    <w:p>
      <w:pPr>
        <w:spacing w:after="0" w:line="175" w:lineRule="exact"/>
        <w:rPr>
          <w:sz w:val="20"/>
          <w:szCs w:val="20"/>
          <w:color w:val="auto"/>
        </w:rPr>
      </w:pPr>
    </w:p>
    <w:p>
      <w:pPr>
        <w:ind w:left="1260" w:right="399"/>
        <w:spacing w:after="0" w:line="261" w:lineRule="auto"/>
        <w:rPr>
          <w:sz w:val="20"/>
          <w:szCs w:val="20"/>
          <w:color w:val="auto"/>
        </w:rPr>
      </w:pPr>
      <w:r>
        <w:rPr>
          <w:rFonts w:ascii="Arial" w:cs="Arial" w:eastAsia="Arial" w:hAnsi="Arial"/>
          <w:sz w:val="18"/>
          <w:szCs w:val="18"/>
          <w:b w:val="1"/>
          <w:bCs w:val="1"/>
          <w:i w:val="1"/>
          <w:iCs w:val="1"/>
          <w:color w:val="auto"/>
        </w:rPr>
        <w:t>If any energy storage products provided to our customers contain manufacturing defects, our business and financial results could be adversely affected.</w:t>
      </w:r>
    </w:p>
    <w:p>
      <w:pPr>
        <w:spacing w:after="0" w:line="103"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The energy storage products we develop are complex energy solutions. We rely on our component OEM suppliers and contract manufacturers to control the quality of certain components that make up the energy storage products sold to our customers. We do not manufacture the batteries or other components of the energy storage products. As a result, our ability to seek recourse for liabilities and recover costs from our component OEM suppliers and contract manufacturers depends on our contractual rights as well as the financial condition and integrity of such component OEM suppliers and contract manufacturers that</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supply us with the batteries and other components of our energy storage products. Such products may contain undetected or latent errors or defects. We provide installation, construction and commissioning services for our customers that purchase our products. In the past, we have from time to time discovered latent defects in energy storage products, and have experienced defects in workmanship. In connection with such defects in the future, we could incur significant expenses or disruptions of our operations. Any manufacturing defects or other failures of our energy storage products to perform as expected could cause us to incur significant re-engineering costs, divert the attention of our personnel from operating and maintenance efforts, expose us to adverse regulatory action, and significantly and adversely affect customer satisfaction, market acceptance, and our business reputation. Furthermore, our component OEM suppliers and contract manufacturers may be unable to correct manufacturing defects or other failures of any energy storage products in a manner satisfactory to our customers, which could adversely affect customer satisfaction, market acceptance, and our business reputation.</w:t>
      </w:r>
    </w:p>
    <w:p>
      <w:pPr>
        <w:spacing w:after="0" w:line="9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On rare occasions, lithium-ion batteries can rapidly release the energy they contain by venting smoke and flames in a manner that can ignite nearby materials as well as other lithium-ion batteries. This faulty result could subject us to lawsuits, product recalls, or redesign efforts, all of which would be time consuming and expensive. For example, in April 2019, the McMicken energy storage facility in Arizona experienced a thermal event and subsequent explosion, injuring several first responders and making the facility inoperable. The facility was built by AES prior to the creation of Fluence, and was under a maintenance contract with Fluence. The response and investigation required significant expense and the devotion of significant management time. Also, negative public perceptions regarding the suitability of lithium-ion batteries for energy applications or any future incident involving lithium-ion batteries, such as a plant, vehicle or other fire, even if such incident does not involve hardware provided by us, could adversely affect our business and reputation.</w:t>
      </w:r>
    </w:p>
    <w:p>
      <w:pPr>
        <w:spacing w:after="0" w:line="192" w:lineRule="exact"/>
        <w:rPr>
          <w:sz w:val="20"/>
          <w:szCs w:val="20"/>
          <w:color w:val="auto"/>
        </w:rPr>
      </w:pPr>
    </w:p>
    <w:p>
      <w:pPr>
        <w:jc w:val="both"/>
        <w:ind w:left="1260" w:right="519"/>
        <w:spacing w:after="0" w:line="263" w:lineRule="auto"/>
        <w:rPr>
          <w:sz w:val="20"/>
          <w:szCs w:val="20"/>
          <w:color w:val="auto"/>
        </w:rPr>
      </w:pPr>
      <w:r>
        <w:rPr>
          <w:rFonts w:ascii="Arial" w:cs="Arial" w:eastAsia="Arial" w:hAnsi="Arial"/>
          <w:sz w:val="18"/>
          <w:szCs w:val="18"/>
          <w:b w:val="1"/>
          <w:bCs w:val="1"/>
          <w:i w:val="1"/>
          <w:iCs w:val="1"/>
          <w:color w:val="auto"/>
        </w:rPr>
        <w:t>A loss of one or more of our significant customers, including but not limited to AES and Siemens, their inability to perform under their contracts, or their default in payment could harm our business and negatively impact revenue, results of operations, and cash flow.</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are dependent on a relatively small number of customers for our sales, and a small number of customers have historically accounted for a material portion of our revenue. The loss of any one of the Company’s significant customers, their inability to perform under their contracts, or their default in payment could have a materially adverse effect on the revenues and profits of the Company. For the near future, we may continue to derive a significant portion of our net sales from a small number of customers. For the year ended September 30, 2020, our top five customers, in the aggregate, accounted for approximately 90% of our revenue. Accordingly, loss of a significant customer or a significant reduction in pricing or order volume from a significant customer could materially reduce net sales and operating results in any reporting period.</w:t>
      </w:r>
    </w:p>
    <w:p>
      <w:pPr>
        <w:spacing w:after="0" w:line="196" w:lineRule="exact"/>
        <w:rPr>
          <w:sz w:val="20"/>
          <w:szCs w:val="20"/>
          <w:color w:val="auto"/>
        </w:rPr>
      </w:pPr>
    </w:p>
    <w:p>
      <w:pPr>
        <w:ind w:left="1260" w:right="919"/>
        <w:spacing w:after="0" w:line="381" w:lineRule="auto"/>
        <w:rPr>
          <w:sz w:val="20"/>
          <w:szCs w:val="20"/>
          <w:color w:val="auto"/>
        </w:rPr>
      </w:pPr>
      <w:r>
        <w:rPr>
          <w:rFonts w:ascii="Arial" w:cs="Arial" w:eastAsia="Arial" w:hAnsi="Arial"/>
          <w:sz w:val="15"/>
          <w:szCs w:val="15"/>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33"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We have experienced significant growth in recent periods. We intend to continue to expand our business significantly within existing and new market segments. This growth has placed, and any future growth may place, a significant strain on our management, operational, and financial infrastructure. In particular, we will be required to expand, train, and manage our growing employee base and scale and otherwise improve our IT infrastructure in tandem with that headcount growth. Our management will also be required to maintain and expand our relationships with customers, suppliers, channel partners, and other third parties and attract new customers and suppliers, as well as manage multiple geographic locations. Our current and planned operations, personnel, IT, and other systems and procedures might be inadequate to support our future growth and may require us to make additional unanticipated investment in our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reputation and brand recognition, our business and results of operations will be harmed.</w:t>
      </w:r>
    </w:p>
    <w:p>
      <w:pPr>
        <w:spacing w:after="0" w:line="8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believe that maintaining and enhancing our reputation and brand recognition is critical to our relationships with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or provide quality products and services to our customers, or any adverse publicity or litigation involving or surrounding us, one of our centers, or our management, could make it substantially more difficult for us to attract new customers. If we do not successfully maintain and enhance our reputation and brand recognition, our business may not grow, and we could lose our relationships with customers, which would harm our business, results of operations, and financial condition.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third parties.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rely on third-party general contractors to install energy storage products at our customers’ sites. We currently work with a limited number of general contractors, which has impacted and may continue to impact our ability to facilitate customer installations as planned. Our work with contractors or their subcontractors may have the effect of our being required to comply with additional rules (including rules unique to our customers), working conditions, site remediation, and other union requirements, which can add costs and complexity to an installation project. The timeliness, thoroughness, and quality of the installation-related services performed by our general contractors and their subcontractors in the past have not always met our expectations or standards and in the future may not meet our expectations and standards, and it may be difficult to find and train third-party general contractors that meet our standards at a competitive cost.</w:t>
      </w:r>
    </w:p>
    <w:p>
      <w:pPr>
        <w:spacing w:after="0" w:line="127"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In addition, a key component of our growth strategy is to develop or expand our relationships with third parties. For example, we are investing resources in establishing strategic relationships with market players across a variety of industries, including large renewable project developers, to generate new customers. These programs may not roll out as quickly as planned or produce the results we anticipated. A significant portion of our business depends on attracting new counterparties and retaining existing counterparties. Negotiating relationships with our counterparties, investing in due diligence efforts with potential counterparties, training such third parties and contractors, and monitoring them for compliance with our standards requires significant time and resources and may present greater risks and challenges than expanding a direct sales or installation team. If we are unsuccessful in establishing or maintaining our relationships with these third parties, our ability to grow our business and address our market opportunity could be impaired. Even if we are able to establish and maintain these relationships, we may not be able to execute on our goal of leveraging these relationships to meaningfully expand our business, brand recognition and customer base. Such circumstance would limit our growth potential and our opportunities to generate significant additional revenue or cash flows.</w:t>
      </w:r>
    </w:p>
    <w:p>
      <w:pPr>
        <w:spacing w:after="0" w:line="184" w:lineRule="exact"/>
        <w:rPr>
          <w:sz w:val="20"/>
          <w:szCs w:val="20"/>
          <w:color w:val="auto"/>
        </w:rPr>
      </w:pPr>
    </w:p>
    <w:p>
      <w:pPr>
        <w:ind w:left="1260" w:right="1139"/>
        <w:spacing w:after="0" w:line="455" w:lineRule="auto"/>
        <w:rPr>
          <w:sz w:val="20"/>
          <w:szCs w:val="20"/>
          <w:color w:val="auto"/>
        </w:rPr>
      </w:pPr>
      <w:r>
        <w:rPr>
          <w:rFonts w:ascii="Arial" w:cs="Arial" w:eastAsia="Arial" w:hAnsi="Arial"/>
          <w:sz w:val="13"/>
          <w:szCs w:val="13"/>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ind w:left="1260" w:right="479" w:firstLine="360"/>
        <w:spacing w:after="0" w:line="269" w:lineRule="auto"/>
        <w:rPr>
          <w:sz w:val="20"/>
          <w:szCs w:val="20"/>
          <w:color w:val="auto"/>
        </w:rPr>
      </w:pPr>
      <w:r>
        <w:rPr>
          <w:rFonts w:ascii="Arial" w:cs="Arial" w:eastAsia="Arial" w:hAnsi="Arial"/>
          <w:sz w:val="17"/>
          <w:szCs w:val="17"/>
          <w:color w:val="auto"/>
        </w:rPr>
        <w:t>Our success depends largely upon the continued services of our senior management team and other key employees. We rely on our leadership team in the areas of sales and operations, information technology and security, marketing, and general and administrative functions. From time to time, there may be changes in our executive management team resulting from the hiring or departure of executives, which could disrupt our business. Our executive officers and other key personnel are not subject to any restrictions that would require them to continue to work for us for any specified period and, therefore, they could terminate their employment with us at any time. The loss of one or more of the members of our senior management team, or other key employees, could harm our business. Changes in our executive management team may also cause disruptions in, and harm to, our business. See “—We must attract and retain highly qualified personnel in order to execute our growth plan.”</w:t>
      </w:r>
    </w:p>
    <w:p>
      <w:pPr>
        <w:sectPr>
          <w:pgSz w:w="11900" w:h="16838" w:orient="portrait"/>
          <w:cols w:equalWidth="0" w:num="1">
            <w:col w:w="9879"/>
          </w:cols>
          <w:pgMar w:left="580" w:top="131"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must attract and retain highly qualified personnel in order to execute our growth plan.</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Competition for highly qualified personnel is intense.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certain legal obligations, resulting in a diversion of our time and resources. If we fail to attract new personnel or fail to retain and motivate our current personnel, our business and future growth prospects could be harmed.</w:t>
      </w:r>
    </w:p>
    <w:p>
      <w:pPr>
        <w:spacing w:after="0" w:line="195" w:lineRule="exact"/>
        <w:rPr>
          <w:sz w:val="20"/>
          <w:szCs w:val="20"/>
          <w:color w:val="auto"/>
        </w:rPr>
      </w:pPr>
    </w:p>
    <w:p>
      <w:pPr>
        <w:ind w:left="1260" w:right="539"/>
        <w:spacing w:after="0" w:line="340" w:lineRule="auto"/>
        <w:rPr>
          <w:sz w:val="20"/>
          <w:szCs w:val="20"/>
          <w:color w:val="auto"/>
        </w:rPr>
      </w:pPr>
      <w:r>
        <w:rPr>
          <w:rFonts w:ascii="Arial" w:cs="Arial" w:eastAsia="Arial" w:hAnsi="Arial"/>
          <w:sz w:val="15"/>
          <w:szCs w:val="15"/>
          <w:b w:val="1"/>
          <w:bCs w:val="1"/>
          <w:i w:val="1"/>
          <w:iCs w:val="1"/>
          <w:color w:val="auto"/>
        </w:rPr>
        <w:t>Our products and technology could have undetected defects, errors, or bugs in hardware or software which could reduce market adoption, damage our reputation with current or prospective customers and/or expose us to product liability and other claims that could materially and adversely affect our business.</w:t>
      </w:r>
    </w:p>
    <w:p>
      <w:pPr>
        <w:spacing w:after="0" w:line="6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may be subject to claims that our hardware and software-enabled services have malfunctioned and persons were injured or purported to be injured. Any insurance that we carry may not be sufficient or it may not apply to all situations. Similarly, to the extent that such malfunctions are related to components obtained from third-party vendors, such vendors may not assume responsibility for such malfunctions. In addition, our customers could be subjected to claims as a result of such incidents and may bring legal claims against us to attempt to hold us liable. Any of these events could adversely affect our brand, relationships with customers, operating results, or financial condition. For example, on September 4, 2021, a 300 MW energy storage facility owned by one of our customers experienced an overheating event. Fluence served as the energy storage technology provider and installed the facility, which was completed earlier in fiscal year 2021. No injuries were reported from the incident. The facility has been taken offline as teams from Fluence, our customer, and the battery manufacturer investigate the incident. We are currently not able to estimate the impact, if any, that this incident may have on our reputation or financial results, or on market adoption of our products.</w:t>
      </w:r>
    </w:p>
    <w:p>
      <w:pPr>
        <w:spacing w:after="0" w:line="131" w:lineRule="exact"/>
        <w:rPr>
          <w:sz w:val="20"/>
          <w:szCs w:val="20"/>
          <w:color w:val="auto"/>
        </w:rPr>
      </w:pPr>
    </w:p>
    <w:p>
      <w:pPr>
        <w:ind w:left="1260" w:right="499" w:firstLine="360"/>
        <w:spacing w:after="0" w:line="289" w:lineRule="auto"/>
        <w:rPr>
          <w:sz w:val="20"/>
          <w:szCs w:val="20"/>
          <w:color w:val="auto"/>
        </w:rPr>
      </w:pPr>
      <w:r>
        <w:rPr>
          <w:rFonts w:ascii="Arial" w:cs="Arial" w:eastAsia="Arial" w:hAnsi="Arial"/>
          <w:sz w:val="16"/>
          <w:szCs w:val="16"/>
          <w:color w:val="auto"/>
        </w:rPr>
        <w:t>Furthermore, our products and technology platform are complex and developed by many employees with various components of hardware and software sourced from third-parties. Our products and software have contained design and manufacturing-related defects and errors and may in the future contain undetected defects or errors. Our installation and construction work have contained and in the future may contain workmanship errors. We are continuing to evolve the features and functionality of our products and technology platform through updates and enhancements, and as we do, we may introduce additional defects or errors that may not be detected until after deployment to customers through our hardware. In addition, if our hardware and software-enabled services, including any updates or patches, are not implemented or used correctly or as intended, inadequate performance, data breaches, and disruptions in service may result.</w:t>
      </w:r>
    </w:p>
    <w:p>
      <w:pPr>
        <w:spacing w:after="0" w:line="8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In particular, the Fluence Bidding Application delivers artificial intelligence-enabled bidding software for utility-scale storage and renewable generation assets, enabling customers to optimize asset trading in wholesale electricity markets. While we generally are not regulated as a utility or a broker-dealer, customers of the Fluence Bidding Application are regulated utilities. We could experience scrutiny from regulators for providing the Fluence Bidding Application to our customers.</w:t>
      </w:r>
    </w:p>
    <w:p>
      <w:pPr>
        <w:spacing w:after="0" w:line="120"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Any defects or errors in product or services offerings, or the perception of such defects or errors, or other performance problems could result in any of the following, each of which could adversely affect our business, financial condition, and results of operations:</w:t>
      </w:r>
    </w:p>
    <w:p>
      <w:pPr>
        <w:spacing w:after="0" w:line="76" w:lineRule="exact"/>
        <w:rPr>
          <w:sz w:val="20"/>
          <w:szCs w:val="20"/>
          <w:color w:val="auto"/>
        </w:rPr>
      </w:pPr>
    </w:p>
    <w:p>
      <w:pPr>
        <w:ind w:left="1800" w:right="5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including recalls, in efforts to analyze, correct, eliminate, or work around errors or defects;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existing or potential customers or partners;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or delays in sales;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in the development or release of new functionality or improvements;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publicity and reputational harm;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credits or refunds;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security vulnerabilities, data breaches, and exposure of confidential or proprietary information;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development and customer service resources;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 of warranty claims;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claims under applicable laws, rules, and regulations;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expense and risk of litigation.</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Although we have contractual protections, such as warranty disclaimers and limitation of liability provisions, in many of our agreements with customers, resellers, and other business partners, such protections may not be uniformly implemented in all contracts and, where implemented, may not fully or effectively protect from claims by customers, resellers, business partners or other third parties. Any insurance coverage or indemnification obligations of suppliers may not adequately cover all such claims, or cover only a portion of such claims. A successful product liability, warranty, or other similar claim could have an adverse effect on our business, financial condition, and operating results. In addition, even claims that ultimately are unsuccessful could result in expenditure of funds in litigation, divert management’s time and other resources, and cause reputational harm.</w:t>
      </w:r>
    </w:p>
    <w:p>
      <w:pPr>
        <w:spacing w:after="0" w:line="196"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b w:val="1"/>
          <w:bCs w:val="1"/>
          <w:i w:val="1"/>
          <w:iCs w:val="1"/>
          <w:color w:val="auto"/>
        </w:rPr>
        <w:t>Compromises, interruptions, or shutdowns of our systems, including those managed by third parties, whether intentional or inadvertent, could lead to delays in our business operations and, if significant or extreme, affect our results of operations.</w:t>
      </w:r>
    </w:p>
    <w:p>
      <w:pPr>
        <w:spacing w:after="0" w:line="11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implementation of these technology initiatives could reduce the efficiency of our operations in the short term. The efficient operation and successful growth of our business depends upon our information technology systems. The failure of our information technology systems and the third-party systems we rely on to perform as designed, or our failure to implement and operate them effectively, could disrupt our business or subject us to liability and thereby have a material adverse effect on our business, financial condition, results of operations, and prospects.</w:t>
      </w:r>
    </w:p>
    <w:p>
      <w:pPr>
        <w:spacing w:after="0" w:line="186"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b w:val="1"/>
          <w:bCs w:val="1"/>
          <w:i w:val="1"/>
          <w:iCs w:val="1"/>
          <w:color w:val="auto"/>
        </w:rPr>
        <w:t>Our current and planned foreign operations could subject us to additional business, financial, regulatory, and competitive risks.</w:t>
      </w:r>
    </w:p>
    <w:p>
      <w:pPr>
        <w:spacing w:after="0" w:line="89"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We sell our products in a number of different countries, including the United States, the United Kingdom, multiple EU countries, Australia, and the Philippines. We have in the past, and may in the future, evaluate opportunities to expand into new geographic markets and introduce new product offerings and services that are a natural extension of our existing business. We also may from time to time engage in acquisitions of businesses or product lines with the potential to strengthen our market position, enable us to enter attractive markets, expand our technological capabilities, or provide synergy opportunities.</w:t>
      </w:r>
    </w:p>
    <w:p>
      <w:pPr>
        <w:spacing w:after="0" w:line="110"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success operating in these new geographic or product markets, or in operating any acquired business, will depend on a number of factors, including our ability to develop solutions to address the requirements of the battery energy storage industry, our timely qualification and certification of new products, our ability to manage increased manufacturing capacity and production, and our ability to identify and integrate any acquired businesses.</w:t>
      </w:r>
    </w:p>
    <w:p>
      <w:pPr>
        <w:spacing w:after="0" w:line="120"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Further, any additional markets that we may enter could have different characteristics from the markets in which we currently sell products, and our success will depend on our ability to adapt properly to these</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4" w:lineRule="auto"/>
        <w:rPr>
          <w:sz w:val="20"/>
          <w:szCs w:val="20"/>
          <w:color w:val="auto"/>
        </w:rPr>
      </w:pPr>
      <w:r>
        <w:rPr>
          <w:rFonts w:ascii="Arial" w:cs="Arial" w:eastAsia="Arial" w:hAnsi="Arial"/>
          <w:sz w:val="17"/>
          <w:szCs w:val="17"/>
          <w:color w:val="auto"/>
        </w:rPr>
        <w:t>differences. These differences may include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and new risks, such as fluctuations in the value of foreign currencies and difficulties and increased expenses in complying with United States and foreign laws, regulations, and trade standards, including the Foreign Corrupt Practices Act of 1977, as amended.</w:t>
      </w:r>
    </w:p>
    <w:p>
      <w:pPr>
        <w:spacing w:after="0" w:line="100"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Tax laws and regulations in various jurisdictions where we currently operate or may operate in the future also could result in additional tax liabilities for us or otherwise adversely affect us. See the discussion under “—Changes in tax laws or regulations that are applied adversely to us or our customers could materially adversely affect our business, financial condition, results of operations and prospects.” below.</w:t>
      </w:r>
    </w:p>
    <w:p>
      <w:pPr>
        <w:spacing w:after="0" w:line="105"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Failure to develop and introduce new products successfully into the market, to successfully integrate acquired businesses or to otherwise manage the risks and challenges associated with our potential expansion into new product and geographic markets, could adversely affect our revenues and our ability to sustain profitability.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Amounts included in our pipeline and contracted backlog may not result in actual revenue or translate into profits.</w:t>
      </w:r>
    </w:p>
    <w:p>
      <w:pPr>
        <w:spacing w:after="0" w:line="17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6"/>
          <w:szCs w:val="16"/>
          <w:color w:val="auto"/>
        </w:rPr>
        <w:t>As of September 30, 2021, our pipeline, which represents potential contracts where we either have been selected by the customer or have provided the customer a quote or bid, but for which the contracts have not been signed, was 14.2 GW compared to 11.3 GW as of September 30, 2020. As of September 30, 2021, we estimated that we had between approximately $1,344 million and $ 1,393 million of contracted backlog related to energy storage products. We define “contracted backlog” as signed purchase orders or contractual minimum purchase commitments with take-or pay provisions. For our energy storage product contracts, contracted backlog includes signed customer orders or contracts under execution prior to when substantial completion is achieved. For service contracts, contracted backlog includes signed service agreement associated with our storage product projects that have not been completed. For digital applications contracts, contracted backlog includes signed agreements where the associated subscription has not started.</w:t>
      </w:r>
    </w:p>
    <w:p>
      <w:pPr>
        <w:spacing w:after="0" w:line="90"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pipeline and contracted backlog are based on numerous assumptions and limitations, are calculated using our internal data that have not been independently verified by third parties and may not provide an accurate indication of our future or expected results. Pipeline and contracted backlog are internal management metrics that we construct from market information reported by our global sales force. We monitor and track our pipeline and contracted backlog, but they are not maintained or audited in accordance with U.S. GAAP. Although the amount of contracted backlog includes signed purchase orders or other contractual commitments and the amount of pipeline includes potential future orders, we cannot guarantee that our pipeline or contracted backlog will result in actual revenue in the originally anticipated period or at all. Our customers operate in a relatively new industry and have based their commitments to us on assumptions about future energy prices, demand levels, regulatory obligations and incentives, among other factors. Further, certain of those customers may need to obtain financing to fulfill their commitments to us. If the market does not grow as expected, the regulatory environment changes, or customers fail to obtain necessary financial backing, customers may fail to satisfy their minimum purchase commitments to us and we would fail to realize our contracted backlog. In that event, our revenue and profitability could be adversely affected. Our pipeline or contracted backlog may not generate margins equal to our historical operating results. We have only recently begun to track our pipeline and contracted backlog on a consistent basis,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pipeline or backlog fails to result in revenue at all or in a timely manner, we could experience a reduction in revenue, profitability, and liquidity. See the sections titled “Management’s Discussion and Analysis of Financial Condition and Results of Operations—Key Operating Metrics—Pipeline” for additional information regarding our pipeline and “Management’s Discussion and Analysis of Financial Condition and Results of Operations—Key Factors And Trends” for additional information regarding our pipeline and contracted backlog.</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b w:val="1"/>
          <w:bCs w:val="1"/>
          <w:i w:val="1"/>
          <w:iCs w:val="1"/>
          <w:color w:val="auto"/>
        </w:rPr>
        <w:t>Our hardware and software-enabled services involve a lengthy sales and installation cycle, and if we fail to close sales on a regular and timely basis it could adversely affect our business, financial condition, and results of operations.</w:t>
      </w:r>
    </w:p>
    <w:p>
      <w:pPr>
        <w:spacing w:after="0" w:line="101"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Our sales cycle is typically three (3) to twelve (12) months for our hardware and software-enabled services but can vary considerably. In order to make a sale, we must typically provide a significant level of education to prospective customers regarding the use and benefits of our hardware and software-enabled services.</w:t>
      </w:r>
    </w:p>
    <w:p>
      <w:pPr>
        <w:spacing w:after="0" w:line="120"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The period between initial discussions with a potential customer and the sale of even a single energy storage product typically depends on a number of factors, including the potential customer’s budget and decision as to the type of financing it chooses to use, as well as the arrangement of such financing. Prospective customers often undertake a significant evaluation process, which may further extend the sales cycle. This lengthy sales and installation cycle is subject to a number of significant risks over which we have little or no control. Because of both the long sales and installation cycles, we may expend significant resources without having certainty of generating a sale.</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These lengthy sales and installation cycles increase the risk that our customers may fail to satisfy their payment obligations, cancel orders before the completion of the transaction, or delay the planned date for installation. Cancellation rates may be impacted by factors outside of our control including an inability to install an energy storage product at the customer’s chosen location because of permitting or other regulatory issues, unanticipated changes in the cost or availability of alternative sources of electricity available to the customer, or other reasons unique to each customer. Our operating expenses are based on anticipated sales levels, and many of our expenses are fixed. If we are unsuccessful in closing sales after expending significant resources or if we experience delays or cancellations, our business, financial condition, and results of operations could be adversely affected.</w:t>
      </w:r>
    </w:p>
    <w:p>
      <w:pPr>
        <w:spacing w:after="0" w:line="110"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Additionally, we have long- term, multi -year service contracts with some of our customers. If those contracts are terminated or if we are unable to continue to fulfill the obligations under such contracts, our business, financial condition, and results of operations could be adversely affected.</w:t>
      </w:r>
    </w:p>
    <w:p>
      <w:pPr>
        <w:spacing w:after="0" w:line="182" w:lineRule="exact"/>
        <w:rPr>
          <w:sz w:val="20"/>
          <w:szCs w:val="20"/>
          <w:color w:val="auto"/>
        </w:rPr>
      </w:pPr>
    </w:p>
    <w:p>
      <w:pPr>
        <w:ind w:left="1260" w:right="1139"/>
        <w:spacing w:after="0" w:line="261" w:lineRule="auto"/>
        <w:rPr>
          <w:sz w:val="20"/>
          <w:szCs w:val="20"/>
          <w:color w:val="auto"/>
        </w:rPr>
      </w:pPr>
      <w:r>
        <w:rPr>
          <w:rFonts w:ascii="Arial" w:cs="Arial" w:eastAsia="Arial" w:hAnsi="Arial"/>
          <w:sz w:val="18"/>
          <w:szCs w:val="18"/>
          <w:b w:val="1"/>
          <w:bCs w:val="1"/>
          <w:i w:val="1"/>
          <w:iCs w:val="1"/>
          <w:color w:val="auto"/>
        </w:rPr>
        <w:t>Any failure to offer high-quality technical support services may adversely affect our relationships with our customers and adversely affect our financial results.</w:t>
      </w:r>
    </w:p>
    <w:p>
      <w:pPr>
        <w:spacing w:after="0" w:line="103"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Our customers depend on our support organization to resolve any technical issues relating to our hardware and software-enabled services. In addition, we have, in some instances, provided performance guarantees for our products and services to our customers. Any failure meet such guarantees or to maintain high-quality and highly-responsive technical support, or a market perception that we do not maintain high-quality and highly-responsive support, could adversely affect our reputation, our ability to sell our products to existing and prospective customers, and our business, financial condition, and results of operations.</w:t>
      </w:r>
    </w:p>
    <w:p>
      <w:pPr>
        <w:spacing w:after="0" w:line="110"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offer technical support services with our hardware and software-enabled services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business, financial condition, and results of operations.</w:t>
      </w:r>
    </w:p>
    <w:p>
      <w:pPr>
        <w:spacing w:after="0" w:line="192" w:lineRule="exact"/>
        <w:rPr>
          <w:sz w:val="20"/>
          <w:szCs w:val="20"/>
          <w:color w:val="auto"/>
        </w:rPr>
      </w:pPr>
    </w:p>
    <w:p>
      <w:pPr>
        <w:ind w:left="1260" w:right="639"/>
        <w:spacing w:after="0" w:line="342" w:lineRule="auto"/>
        <w:rPr>
          <w:sz w:val="20"/>
          <w:szCs w:val="20"/>
          <w:color w:val="auto"/>
        </w:rPr>
      </w:pPr>
      <w:r>
        <w:rPr>
          <w:rFonts w:ascii="Arial" w:cs="Arial" w:eastAsia="Arial" w:hAnsi="Arial"/>
          <w:sz w:val="16"/>
          <w:szCs w:val="16"/>
          <w:b w:val="1"/>
          <w:bCs w:val="1"/>
          <w:i w:val="1"/>
          <w:iCs w:val="1"/>
          <w:color w:val="auto"/>
        </w:rPr>
        <w:t>We may experience difficulties in establishing mass manufacturing capacity and estimating potential cost savings and efficiencies from anticipated improvements to our manufacturing capabilities.</w:t>
      </w:r>
    </w:p>
    <w:p>
      <w:pPr>
        <w:spacing w:after="0" w:line="4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While our manufacturing output achieved to date is already at commercial scale, it is a fraction of what we expect will be necessary to fully meet the demand we see in the market for our products. The manufacturing process for our expected full commercial scale is still being refined and improved. There are risks associated with scaling up manufacturing to larger commercial volumes including, among others, technical or other</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problems with process scale- up, process reproducibility, stability issues, quality consistency, timely availability of raw materials, cost overruns, and adequate definitions or qualifications for safety, reliability, and quality. In addition, in connection with our limited operating history and our significant growth, we have in the past experienced and may in the future experience incurrence of project costs without proper documentation or adhering to our policies and procedures. There is no assurance that our manufacturers will be successful in establishing a larger-scale commercial manufacturing process that achieves our objectives for manufacturing capacity and cost per battery, in a timely manner or at all. If we are unable to produce sufficient quantities of product on a timely basis and in a cost-effective manner, the Company’s commercialization efforts would be impaired which could materially affect our business, financial condition, results of operations, and growth prospects.</w:t>
      </w:r>
    </w:p>
    <w:p>
      <w:pPr>
        <w:spacing w:after="0" w:line="188" w:lineRule="exact"/>
        <w:rPr>
          <w:sz w:val="20"/>
          <w:szCs w:val="20"/>
          <w:color w:val="auto"/>
        </w:rPr>
      </w:pPr>
    </w:p>
    <w:p>
      <w:pPr>
        <w:ind w:left="1260" w:right="599"/>
        <w:spacing w:after="0" w:line="294" w:lineRule="auto"/>
        <w:rPr>
          <w:sz w:val="20"/>
          <w:szCs w:val="20"/>
          <w:color w:val="auto"/>
        </w:rPr>
      </w:pPr>
      <w:r>
        <w:rPr>
          <w:rFonts w:ascii="Arial" w:cs="Arial" w:eastAsia="Arial" w:hAnsi="Arial"/>
          <w:sz w:val="16"/>
          <w:szCs w:val="16"/>
          <w:b w:val="1"/>
          <w:bCs w:val="1"/>
          <w:i w:val="1"/>
          <w:iCs w:val="1"/>
          <w:color w:val="auto"/>
        </w:rPr>
        <w:t>If our estimates of useful life for our energy storage products and related hardware and software-enabled services are inaccurate or if our component OEM suppliers do not meet service and performance warranties and guarantees, our business and financial results could be adversely affected.</w:t>
      </w:r>
    </w:p>
    <w:p>
      <w:pPr>
        <w:spacing w:after="0" w:line="66"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We sell hardware and software-enabled services to our customers. Our software-enabled services are essential to the operation of these hardware products. Our pricing of services contracts is based upon the value we expect to deliver to our customers, including considerations such as the useful life of the energy storage product and prevailing electricity prices. We also provide warranties and guarantees covering the efficiency and performance of certain of our products and digital applications, in some cases up to 25 years in length. We do not have a long history with a large number of field deployments, and our estimates may prove to be incorrect. Failure to meet these performance warranties and guarantee levels may require us to refund our service contract payments to the customer or require us to make cash payments to the customer based on actual performance, as compared to expected performance.</w:t>
      </w:r>
    </w:p>
    <w:p>
      <w:pPr>
        <w:spacing w:after="0" w:line="184"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b w:val="1"/>
          <w:bCs w:val="1"/>
          <w:i w:val="1"/>
          <w:iCs w:val="1"/>
          <w:color w:val="auto"/>
        </w:rPr>
        <w:t>As part of growing our business, we have made and expect to continue to make acquisitions. If we fail to successfully select, execute, or integrate our acquisitions, then our business and operating results could be harmed and our stock price could decline.</w:t>
      </w:r>
    </w:p>
    <w:p>
      <w:pPr>
        <w:spacing w:after="0" w:line="114"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We will continuously evaluate potential acquisitions to add new product lines and technologies, gain new sales channels, or enter into new sales territories. For example, in 2020, we acquired AMS’ software and digital intelligence platform, which became the Fluence Bidding Application. Acquisitions involve numerous risks and challenges, including but not limited to the following:</w:t>
      </w:r>
    </w:p>
    <w:p>
      <w:pPr>
        <w:spacing w:after="0" w:line="80"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integrating the companies, assets, systems, products, sales channels, and personnel that we acquire;</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than anticipated acquisition and integration costs and expenses;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third parties to provide transition services for a period of time after closing to ensure an orderly transition of the business;</w:t>
      </w:r>
    </w:p>
    <w:p>
      <w:pPr>
        <w:spacing w:after="0" w:line="48"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growing or maintaining revenues to justify the purchase price and the increased expenses associated with acquisitions;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entering into territories or markets with which we have limited or no prior experience;</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or maintaining business relationships with customers, vendors, and suppliers who may be new to us;</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overcoming the employee, customer, vendor, and supplier turnover that may occur as a result of the acquisition;</w:t>
      </w:r>
    </w:p>
    <w:p>
      <w:pPr>
        <w:spacing w:after="0" w:line="62"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 of, and demands on, our ongoing business as a result of integration activities including diversion of management’s time and attention from running the day to day operations of our business;</w:t>
      </w:r>
    </w:p>
    <w:p>
      <w:pPr>
        <w:spacing w:after="0" w:line="75"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implement uniform standards, disclosure controls and procedures, internal controls over financial reporting, and other procedures and policies in a timely manner;</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realize the anticipated benefits of or successfully integrate with our existing business the businesses, products, technologies or personnel that we acquire;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post-closing disputes.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As part of undertaking an acquisition, we may also significantly revise our capital structure or operational budget, such as issuing common stock that would dilute the ownership percentage of our stockholders, assuming liabilities or debt, utilizing a substantial portion of our cash resources to pay for the acquisition, or significantly increasing operating expenses.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In addition, if we increase the pace or size of acquisitions, we will have to expend significant management time and effort into the transactions and integrations, and we may not have the proper human resources bandwidth to ensure successful integrations and accordingly, our business could be harmed or the benefits of our acquisitions may not be realized.</w:t>
      </w:r>
    </w:p>
    <w:p>
      <w:pPr>
        <w:spacing w:after="0" w:line="105" w:lineRule="exact"/>
        <w:rPr>
          <w:sz w:val="20"/>
          <w:szCs w:val="20"/>
          <w:color w:val="auto"/>
        </w:rPr>
      </w:pPr>
    </w:p>
    <w:p>
      <w:pPr>
        <w:ind w:left="1260" w:right="539" w:firstLine="360"/>
        <w:spacing w:after="0" w:line="294" w:lineRule="auto"/>
        <w:rPr>
          <w:sz w:val="20"/>
          <w:szCs w:val="20"/>
          <w:color w:val="auto"/>
        </w:rPr>
      </w:pPr>
      <w:r>
        <w:rPr>
          <w:rFonts w:ascii="Arial" w:cs="Arial" w:eastAsia="Arial" w:hAnsi="Arial"/>
          <w:sz w:val="16"/>
          <w:szCs w:val="16"/>
          <w:color w:val="auto"/>
        </w:rPr>
        <w:t>As part of the terms of an acquisition, we may commit to pay additional contingent consideration if certain revenue or other performance milestones are met. We are required to evaluate the fair value of such commitments at each reporting date and adjust the amount recorded if there are changes to the fair value.</w:t>
      </w:r>
    </w:p>
    <w:p>
      <w:pPr>
        <w:spacing w:after="0" w:line="80"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We cannot ensure that we will be successful in identifying, selecting, executing, and integrating acquisitions. Failure to manage and successfully integrate acquisitions could materially harm our business and operating results. In addition, if stock market analysts or our stockholders do not support or believe in the value of the acquisitions that we choose to undertake, our stock price may decline.</w:t>
      </w:r>
    </w:p>
    <w:p>
      <w:pPr>
        <w:spacing w:after="0" w:line="172"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b w:val="1"/>
          <w:bCs w:val="1"/>
          <w:i w:val="1"/>
          <w:iCs w:val="1"/>
          <w:color w:val="auto"/>
        </w:rPr>
        <w:t>Our customer relationships, business, financial results and reputation may be adversely impacted due to events and incidents relating to storage, delivery, installation, operation, maintenance and shutdowns of our energy storage products.</w:t>
      </w:r>
    </w:p>
    <w:p>
      <w:pPr>
        <w:spacing w:after="0" w:line="8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Our customer relationships, business, financial results and reputation may be adversely impacted due to events and incidents relating to storage, delivery, installation, operation and shutdowns of our energy storage products, including events and incidents outside of our control. We are subject to various risks as a result of the size, weight, nature and sophisticated nature of our energy storage products, including exposure to production, delivery, supply chain, inventory, installation and maintenance issues. Such issues may, and from time to time have, result in financial losses, including losses resulting from our failure to deliver or install our energy storage products on a contractually agreed timeframe, or losses resulting from agreed warranty or indemnity terms. Furthermore, issues and incidents involving our customers or their facilities at which our energy storage products are located, whether or not attributable to our energy storage products, may have an adverse effect on our reputation and customer relationships. Any of these developments could have a material adverse effect on our business, financial condition, and results of operations. For example, on September 4, 2021, a 300 MW energy storage facility owned by one of our customers experienced an overheating event. Fluence served as the energy storage technology provider and installed the facility, which was completed earlier in fiscal year 2021. No injuries were reported from the incident. The facility has been taken offline as teams from Fluence, our customer, and the battery manufacturer investigate the incident. We are currently not able to estimate the financial impact, if any, that this incident may have on our financial results.</w:t>
      </w:r>
    </w:p>
    <w:p>
      <w:pPr>
        <w:spacing w:after="0" w:line="183" w:lineRule="exact"/>
        <w:rPr>
          <w:sz w:val="20"/>
          <w:szCs w:val="20"/>
          <w:color w:val="auto"/>
        </w:rPr>
      </w:pPr>
    </w:p>
    <w:p>
      <w:pPr>
        <w:jc w:val="center"/>
        <w:ind w:right="-840"/>
        <w:spacing w:after="0"/>
        <w:rPr>
          <w:sz w:val="20"/>
          <w:szCs w:val="20"/>
          <w:color w:val="auto"/>
        </w:rPr>
      </w:pPr>
      <w:r>
        <w:rPr>
          <w:rFonts w:ascii="Arial" w:cs="Arial" w:eastAsia="Arial" w:hAnsi="Arial"/>
          <w:sz w:val="13"/>
          <w:szCs w:val="13"/>
          <w:b w:val="1"/>
          <w:bCs w:val="1"/>
          <w:i w:val="1"/>
          <w:iCs w:val="1"/>
          <w:color w:val="auto"/>
        </w:rPr>
        <w:t>We may acquire companies for both strategic and financial reasons but may not realize a return on our investments.</w:t>
      </w:r>
    </w:p>
    <w:p>
      <w:pPr>
        <w:spacing w:after="0" w:line="18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We have acquired, and plan to continue to seek to acquire, other companies to further our strategic objectives and support our key business initiatives. These investments may include acquiring equity or debt instruments of public or private companies which may be non-marketable at the time of our initial investment. We do not restrict the types of companies which we might seek to acquire. These companies may range from early-stage companies that are often still defining their strategic direction to more mature companies with established revenue streams and business models. We must also analyze tax, accounting, and legal issues when making these acquisitions. If we do not structure these acquisitions properly, we may be subject to certain unfavorable accounting or tax impact.</w:t>
      </w:r>
    </w:p>
    <w:p>
      <w:pPr>
        <w:spacing w:after="0" w:line="181" w:lineRule="exact"/>
        <w:rPr>
          <w:sz w:val="20"/>
          <w:szCs w:val="20"/>
          <w:color w:val="auto"/>
        </w:rPr>
      </w:pPr>
    </w:p>
    <w:p>
      <w:pPr>
        <w:ind w:left="1260" w:right="1099"/>
        <w:spacing w:after="0" w:line="362" w:lineRule="auto"/>
        <w:rPr>
          <w:sz w:val="20"/>
          <w:szCs w:val="20"/>
          <w:color w:val="auto"/>
        </w:rPr>
      </w:pPr>
      <w:r>
        <w:rPr>
          <w:rFonts w:ascii="Arial" w:cs="Arial" w:eastAsia="Arial" w:hAnsi="Arial"/>
          <w:sz w:val="15"/>
          <w:szCs w:val="15"/>
          <w:b w:val="1"/>
          <w:bCs w:val="1"/>
          <w:i w:val="1"/>
          <w:iCs w:val="1"/>
          <w:color w:val="auto"/>
        </w:rPr>
        <w:t>We face risks related to actual or threatened health epidemics, such as the COVID-19 pandemic, and other outbreaks, which could significantly disrupt our suppliers’ manufacturing and our operations.</w:t>
      </w:r>
    </w:p>
    <w:p>
      <w:pPr>
        <w:spacing w:after="0" w:line="6" w:lineRule="exact"/>
        <w:rPr>
          <w:sz w:val="20"/>
          <w:szCs w:val="20"/>
          <w:color w:val="auto"/>
        </w:rPr>
      </w:pPr>
    </w:p>
    <w:p>
      <w:pPr>
        <w:ind w:left="1260" w:right="999" w:firstLine="360"/>
        <w:spacing w:after="0" w:line="324" w:lineRule="auto"/>
        <w:rPr>
          <w:sz w:val="20"/>
          <w:szCs w:val="20"/>
          <w:color w:val="auto"/>
        </w:rPr>
      </w:pPr>
      <w:r>
        <w:rPr>
          <w:rFonts w:ascii="Arial" w:cs="Arial" w:eastAsia="Arial" w:hAnsi="Arial"/>
          <w:sz w:val="16"/>
          <w:szCs w:val="16"/>
          <w:color w:val="auto"/>
        </w:rPr>
        <w:t>Our business could be adversely impacted by the effects of a widespread outbreak of contagious disease, including the recent outbreak of respiratory illness caused by the COVID-19 pandemic. Any</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1" w:lineRule="auto"/>
        <w:rPr>
          <w:sz w:val="20"/>
          <w:szCs w:val="20"/>
          <w:color w:val="auto"/>
        </w:rPr>
      </w:pPr>
      <w:r>
        <w:rPr>
          <w:rFonts w:ascii="Arial" w:cs="Arial" w:eastAsia="Arial" w:hAnsi="Arial"/>
          <w:sz w:val="17"/>
          <w:szCs w:val="17"/>
          <w:color w:val="auto"/>
        </w:rPr>
        <w:t>widespread outbreak of contagious diseases, and other adverse public health developments, could cause disruption to, among other things, our ground operations at project sites, our manufacturing facilities and our suppliers and vendors located in the United States, Asia and elsewhere and have a material and adverse effect on our business operations. Our ground operations at project sites, our manufacturing facilities and our suppliers and vendors could be disrupted by worker absenteeism, quarantines, shortage of the COVID-19 pandemic test kits and personal protection equipment for employees, office and factory closures, disruptions to ports and other shipping infrastructure, or other travel or health-related restrictions. If our ground operations at project sites, our manufacturing facilities and our suppliers or vendors are so affected, our supply chain, manufacturing and product shipments will be delayed, which could adversely affect our business, operations and customer relationships. For example, our suppliers and vendors in Asia have been affected by business closures and disruptions to ports and other shipping infrastructure. In addition, the macroeconomic effects of the COVID-19 pandemic in the United States and other markets has resulted in a widespread health crisis that has adversely affected the economies and financial markets of many countries, resulting in an economic downturn that could affect demand for our products and impact our operating results.</w:t>
      </w:r>
    </w:p>
    <w:p>
      <w:pPr>
        <w:spacing w:after="0" w:line="106"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Given the ongoing and dynamic nature of the circumstances, it is difficult to predict the full impact of the COVID-19 pandemic on our business. The extent of such impact will depend on future developments, which are highly uncertain, including when the COVID-19 pandemic can be controlled and abated. Further, while jurisdictions in which we operate have gradually allowed the reopening of businesses and other organizations and removed the sheltering restrictions, it is premature to assess whether doing so will result in a meaningful increase in economic activity and the impact of such actions on further the COVID-19 pandemic cases.</w:t>
      </w:r>
    </w:p>
    <w:p>
      <w:pPr>
        <w:spacing w:after="0" w:line="123"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are monitoring the recent global health emergency driven by the potential impact of the COVID-19 pandemic, along with global supply and demand dynamics. The extent to which these events may impact our business will depend on future developments, which are highly uncertain and cannot be predicted at this time.</w:t>
      </w:r>
    </w:p>
    <w:p>
      <w:pPr>
        <w:spacing w:after="0" w:line="12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have encountered and could encounter in the future project delays and resulting liquidated damages claims from customers due to impacts on suppliers, customers, or others. The duration and intensity of these impacts and resulting disruption to our operations is uncertain and continues to evolve as of the date of this filing. Accordingly, management will continue to monitor the impact of the global situation on its financial condition, liquidity, operations, suppliers, industry, and workforce.</w:t>
      </w:r>
    </w:p>
    <w:p>
      <w:pPr>
        <w:spacing w:after="0" w:line="10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To the extent the COVID-19 pandemic adversely affects our financial condition, operating results and cash flows, it may also have the effect of heightening many of the other risks described in this “Risk Factors” section, such as those relating to our high level of indebtedness, our need to generate sufficient cash flows to service our indebtedness and our ability to comply with the covenants contained in the agreements that govern our indebtedness.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1260" w:right="479"/>
        <w:spacing w:after="0" w:line="270" w:lineRule="auto"/>
        <w:rPr>
          <w:sz w:val="20"/>
          <w:szCs w:val="20"/>
          <w:color w:val="auto"/>
        </w:rPr>
      </w:pPr>
      <w:r>
        <w:rPr>
          <w:rFonts w:ascii="Arial" w:cs="Arial" w:eastAsia="Arial" w:hAnsi="Arial"/>
          <w:sz w:val="17"/>
          <w:szCs w:val="17"/>
          <w:b w:val="1"/>
          <w:bCs w:val="1"/>
          <w:i w:val="1"/>
          <w:iCs w:val="1"/>
          <w:color w:val="auto"/>
        </w:rPr>
        <w:t>If renewable energy technologies are not suitable for widespread adoption or sufficient demand for our hardware and software-enabled services does not develop or takes longer to develop than we anticipate, our sales may decline, and we may be unable to achieve or sustain profitability.</w:t>
      </w:r>
    </w:p>
    <w:p>
      <w:pPr>
        <w:spacing w:after="0" w:line="96"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market for renewable, distributed energy generation is emerging and rapidly evolving, and its future success is uncertain. If renewable energy generation proves unsuitable for widespread commercial deployment or if demand for our renewable energy hardware and software-enabled services fails to develop sufficiently, we would be unable to achieve sales and market share.</w:t>
      </w:r>
    </w:p>
    <w:p>
      <w:pPr>
        <w:spacing w:after="0" w:line="120"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Many factors may influence the widespread adoption of renewable energy generation and demand for our hardware and software-enabled services,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market conditions that impact the viability of conventional and competitive alternative energy sources, increases or decreases in the prices of oil, coal and natural gas, continued</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deregulation of the electric power industry and broader energy industry, and the availability or effectiveness of government subsidies and incentives. You should consider our prospects in light of the risks and uncertainties emerging companies encounter when introducing new products and services into a nascent industry.</w:t>
      </w:r>
    </w:p>
    <w:p>
      <w:pPr>
        <w:spacing w:after="0" w:line="107"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growth and profitability of our business is dependent upon the continued decline in the cost of battery storage. Over the last decade the cost of battery storage products, particularly lithium-ion based battery storage products, have declined significantly. This lower cost has been driven by advances in battery technology, maturation of the battery supply chain, the scale of battery production by the leading manufacturers and other factors. The growth of our hardware sales and related software-enabled services is dependent upon the continued decrease in the price and efficiency of battery storage products of our component OEM suppliers. If for any reason our component OEM suppliers are unable to continue to reduce the price of their battery storage products, our business and financial condition will be negatively impacted.</w:t>
      </w:r>
    </w:p>
    <w:p>
      <w:pPr>
        <w:spacing w:after="0" w:line="191" w:lineRule="exact"/>
        <w:rPr>
          <w:sz w:val="20"/>
          <w:szCs w:val="20"/>
          <w:color w:val="auto"/>
        </w:rPr>
      </w:pPr>
    </w:p>
    <w:p>
      <w:pPr>
        <w:ind w:left="1260" w:right="679"/>
        <w:spacing w:after="0" w:line="362" w:lineRule="auto"/>
        <w:rPr>
          <w:sz w:val="20"/>
          <w:szCs w:val="20"/>
          <w:color w:val="auto"/>
        </w:rPr>
      </w:pPr>
      <w:r>
        <w:rPr>
          <w:rFonts w:ascii="Arial" w:cs="Arial" w:eastAsia="Arial" w:hAnsi="Arial"/>
          <w:sz w:val="15"/>
          <w:szCs w:val="15"/>
          <w:b w:val="1"/>
          <w:bCs w:val="1"/>
          <w:i w:val="1"/>
          <w:iCs w:val="1"/>
          <w:color w:val="auto"/>
        </w:rPr>
        <w:t>If the estimates and assumptions we use to determine the size of our total addressable market are inaccurate, our future growth rate may be affected, and the potential growth of our business may be limited.</w:t>
      </w:r>
    </w:p>
    <w:p>
      <w:pPr>
        <w:spacing w:after="0" w:line="3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Market estimates and growth forecasts are subject to significant uncertainty and are based on assumptions and estimates that may prove to be inaccurate. Even if the market in which we compete meets our size estimates and forecasted growth, our business could fail to grow at similar rates, if at all. The assumptions relating to our market opportunity include, but are not limited to, the following: (i) according to BloombergNEF, global energy storage capacity grew 63% per annum between 2015 and 2020 and is expected to grow at a further 41% annual growth rate through 2025; (ii) declines in lithium-ion battery costs and in the cost of renewable generation; (iii) growing demand for renewable energy; and (iv) increased complexity of the electrical grid. Our market opportunity is also based on the assumption that our existing and future offerings will be more attractive to our customers and potential customers than competing products and services. If these assumptions prove inaccurate, our business, financial condition, and results of operations could be adversely affected. For more information regarding our estimates of market opportunity and the forecasts of market growth included herein, see the section entitled “Business.”</w:t>
      </w:r>
    </w:p>
    <w:p>
      <w:pPr>
        <w:spacing w:after="0" w:line="183" w:lineRule="exact"/>
        <w:rPr>
          <w:sz w:val="20"/>
          <w:szCs w:val="20"/>
          <w:color w:val="auto"/>
        </w:rPr>
      </w:pPr>
    </w:p>
    <w:p>
      <w:pPr>
        <w:ind w:left="1260" w:right="659"/>
        <w:spacing w:after="0" w:line="444" w:lineRule="auto"/>
        <w:rPr>
          <w:sz w:val="20"/>
          <w:szCs w:val="20"/>
          <w:color w:val="auto"/>
        </w:rPr>
      </w:pPr>
      <w:r>
        <w:rPr>
          <w:rFonts w:ascii="Arial" w:cs="Arial" w:eastAsia="Arial" w:hAnsi="Arial"/>
          <w:sz w:val="13"/>
          <w:szCs w:val="13"/>
          <w:b w:val="1"/>
          <w:bCs w:val="1"/>
          <w:i w:val="1"/>
          <w:iCs w:val="1"/>
          <w:color w:val="auto"/>
        </w:rPr>
        <w:t>The economic benefit of our energy storage products to our customers depends on the cost of electricity available from alternative sources, including local electric utility companies, which cost structure is subject to change.</w:t>
      </w:r>
    </w:p>
    <w:p>
      <w:pPr>
        <w:ind w:left="1260" w:right="439" w:firstLine="360"/>
        <w:spacing w:after="0" w:line="253" w:lineRule="auto"/>
        <w:rPr>
          <w:sz w:val="20"/>
          <w:szCs w:val="20"/>
          <w:color w:val="auto"/>
        </w:rPr>
      </w:pPr>
      <w:r>
        <w:rPr>
          <w:rFonts w:ascii="Arial" w:cs="Arial" w:eastAsia="Arial" w:hAnsi="Arial"/>
          <w:sz w:val="18"/>
          <w:szCs w:val="18"/>
          <w:color w:val="auto"/>
        </w:rPr>
        <w:t>The economic benefit of our energy storage products to our customers includes, among other things, the benefit of reducing such customer’s payments to the local electric utility company. The rates at which electricity is available from a customer’s local electric utility company is subject to change and any changes in such rates may affect the relative benefits of our energy storage products. Further, the local electric utility may impose “departing load,” “standby” or other charges on our customers in connection with their acquisition of our energy storage products, the amounts of which are outside of our control and which may have a material impact on the economic benefit of our energy storage products to our customers. Changes in the rates offered by local electric utilities and/or in the applicability or amounts of charges and other fees imposed by such utilities on customers acquiring our energy storage products could adversely affect the demand for our energy storage products.</w:t>
      </w:r>
    </w:p>
    <w:p>
      <w:pPr>
        <w:spacing w:after="0" w:line="194" w:lineRule="exact"/>
        <w:rPr>
          <w:sz w:val="20"/>
          <w:szCs w:val="20"/>
          <w:color w:val="auto"/>
        </w:rPr>
      </w:pPr>
    </w:p>
    <w:p>
      <w:pPr>
        <w:ind w:left="1260" w:right="499"/>
        <w:spacing w:after="0" w:line="286" w:lineRule="auto"/>
        <w:rPr>
          <w:sz w:val="20"/>
          <w:szCs w:val="20"/>
          <w:color w:val="auto"/>
        </w:rPr>
      </w:pPr>
      <w:r>
        <w:rPr>
          <w:rFonts w:ascii="Arial" w:cs="Arial" w:eastAsia="Arial" w:hAnsi="Arial"/>
          <w:sz w:val="17"/>
          <w:szCs w:val="17"/>
          <w:b w:val="1"/>
          <w:bCs w:val="1"/>
          <w:i w:val="1"/>
          <w:iCs w:val="1"/>
          <w:color w:val="auto"/>
        </w:rPr>
        <w:t>Existing electric utility industry policies and regulations, and any subsequent changes, may present technical, regulatory, and economic barriers to the purchase and use of energy storage products that may significantly reduce demand for our products or harm our ability to compete.</w:t>
      </w:r>
    </w:p>
    <w:p>
      <w:pPr>
        <w:spacing w:after="0" w:line="84"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heavily influence the market for electricity generation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48" w:lineRule="auto"/>
        <w:rPr>
          <w:sz w:val="20"/>
          <w:szCs w:val="20"/>
          <w:color w:val="auto"/>
        </w:rPr>
      </w:pPr>
      <w:r>
        <w:rPr>
          <w:rFonts w:ascii="Arial" w:cs="Arial" w:eastAsia="Arial" w:hAnsi="Arial"/>
          <w:sz w:val="18"/>
          <w:szCs w:val="18"/>
          <w:color w:val="auto"/>
        </w:rPr>
        <w:t>renewable energy products by reducing anticipated revenues or increasing costs or regulatory burdens for would-be system purchasers. The resulting reductions in demand for energy products could harm our business, prospects, financial condition, and results of operations.</w:t>
      </w:r>
    </w:p>
    <w:p>
      <w:pPr>
        <w:spacing w:after="0" w:line="101"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A significant recent development in renewable-energy pricing policies in the U.S. occurred on July 16, 2020, when the Federal Energy Regulatory Commission (“FERC”) issued a final rule amending regulations that implement the Public Utility Regulatory Policies Act (“PURPA”). Among other requirements, PURPA mandates that electric utilities buy the output of certain renewable generators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facility; and (4) that reduce barriers for third parties to challenge PURPA eligibility. The net effect of these changes is uncertain, as FERC’s final rules do not become effective until 120 days after publication in the Federal Register, and some changes will not become fully effective until states and other jurisdictions implement the new authorities provided by FERC. In general, however, FERC’s PURPA reforms have the potential to reduce prices for the output from certain new renewable generation projects while also narrowing the scope of PURPA eligibility for new projects. These effects could reduce demand for PURPA-eligible battery energy storage products and could harm our business, prospects, financial condition, and results of operations.</w:t>
      </w:r>
    </w:p>
    <w:p>
      <w:pPr>
        <w:spacing w:after="0" w:line="11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or other market participants could reduce the competitiveness of battery energy storage products and cause a significant reduction in demand for our products and services and adversely impact our growth.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spacing w:after="0" w:line="195"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b w:val="1"/>
          <w:bCs w:val="1"/>
          <w:i w:val="1"/>
          <w:iCs w:val="1"/>
          <w:color w:val="auto"/>
        </w:rPr>
        <w:t>An increase in interest rates or a reduction in the availability of tax equity or project debt capital in the global financial markets could make it difficult for end customers to finance the cost of a renewable energy system and could reduce the demand for our products.</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Many end users depend on financing to fund the initial capital expenditure required to purchase our products and services. As a result, an increase in interest rates or a reduction in the supply of project debt or tax equity financing could reduce the number of customer projects that receive financing or otherwise make it difficult for our customers or their customers to secure the financing necessary to construct a renewable energy system on favorable terms, or at all, and thus lower demand for our products, which could limit our growth or reduce our net sales. In addition, we believe that a significant percentage of end-users construct renewable energy systems as an investment, funding a significant portion of the initial capital expenditure with financing from third parties. An increase in interest rates could lower an investor’s return on investment, increase equity requirements, or make alternative investments more attractive relative to our products and services and, in each case, could cause these end users to seek alternative investments.</w:t>
      </w:r>
    </w:p>
    <w:p>
      <w:pPr>
        <w:spacing w:after="0" w:line="180" w:lineRule="exact"/>
        <w:rPr>
          <w:sz w:val="20"/>
          <w:szCs w:val="20"/>
          <w:color w:val="auto"/>
        </w:rPr>
      </w:pPr>
    </w:p>
    <w:p>
      <w:pPr>
        <w:ind w:left="1260" w:right="799"/>
        <w:spacing w:after="0" w:line="324"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could materially adversely affect our business, financial condition, results of operations, and prospects.</w:t>
      </w:r>
    </w:p>
    <w:p>
      <w:pPr>
        <w:spacing w:after="0" w:line="4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which could have a material adverse effect on our business, financial condition, results of operations, and prospects.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Governmental agencies in the jurisdictions in which we and our affiliates do business, as well as the Organization for Economic Cooperation and Development (the “OECD”), have recently focused on issues related to the taxation of multinational business, including issues relating to “base erosion and profit shifting,” where profits are reported as earned for tax purposes in relatively low-tax jurisdictions or payments are made between affiliates in jurisdictions with different tax rates. The OECD has released several components of its comprehensive plan to create an agreed set of international rules for addressing base erosion and profit shifting, and governmental authorities from various jurisdictions (including the United States) continue to discuss potential legislation and other reforms, including proposals for global minimum tax rates.</w:t>
      </w:r>
    </w:p>
    <w:p>
      <w:pPr>
        <w:spacing w:after="0" w:line="11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As we operate in numerous jurisdictions, the application of tax laws can be subject to diverging and sometimes conflicting interpretations by tax authorities of these jurisdictions. It is not uncommon for taxing authorities in different countries to have conflicting views, for instance with respect to whether a permanent establishment exists in a particular jurisdiction, the manner in which an arm’s length standard is applied for transfer pricing purposes, or with respect to the valuations of intellectual property. For example, if a taxing authority in one country where we operate were to reallocate income from another country where we operate, and if the taxing authority in the second country did not agree with the reallocation asserted by the first country, then we could be subject to tax on the same income in both countries, resulting in double taxation. If taxing authorities were to allocate income to a higher tax jurisdiction, subject our income to double taxation or assess interest and penalties, our tax liabilities could increase, which could adversely affect our business, financial condition, and results of operations.</w:t>
      </w:r>
    </w:p>
    <w:p>
      <w:pPr>
        <w:spacing w:after="0" w:line="118"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Due to the potential for changes to tax laws and regulations or changes to the interpretation thereof (including regulations and interpretations pertaining to recent and proposed potential tax reforms in the United States), the ambiguity of tax laws and regulations, the subjectivity of factual interpretations, the complexity of our intercompany arrangements, uncertainties regarding the geographic mix of earnings in any particular period, and other factors, our estimates of effective tax rate and income tax assets and liabilities may be incorrect and our financial statements could be adversely affected, and the resulting impacts may vary substantially from period to period.</w:t>
      </w:r>
    </w:p>
    <w:p>
      <w:pPr>
        <w:spacing w:after="0" w:line="12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particular, in the United States, there have been multiple significant changes recently proposed (including by the Biden administration and by members of Congress) to the taxation of business entities, including, among other things, an increase in the U.S. federal corporate income tax rate, a transition to graduated rates, an increase in the tax rate applicable to global intangible low -taxed income and elimination of certain exemptions, and various other changes to the U.S. international tax regime. These and other proposals are currently being discussed, but the likelihood of these changes being enacted or implemented is not yet clear. We are currently unable to predict whether such changes will occur and, if so, when they would be effective or the ultimate impact on us or our business. To the extent that such changes have a negative impact on us or our business, these changes may materially and adversely impact our business, financial condition, and results of operations.</w:t>
      </w:r>
    </w:p>
    <w:p>
      <w:pPr>
        <w:spacing w:after="0" w:line="99" w:lineRule="exact"/>
        <w:rPr>
          <w:sz w:val="20"/>
          <w:szCs w:val="20"/>
          <w:color w:val="auto"/>
        </w:rPr>
      </w:pPr>
    </w:p>
    <w:p>
      <w:pPr>
        <w:jc w:val="both"/>
        <w:ind w:left="1260" w:right="559" w:firstLine="360"/>
        <w:spacing w:after="0" w:line="262" w:lineRule="auto"/>
        <w:rPr>
          <w:sz w:val="20"/>
          <w:szCs w:val="20"/>
          <w:color w:val="auto"/>
        </w:rPr>
      </w:pPr>
      <w:r>
        <w:rPr>
          <w:rFonts w:ascii="Arial" w:cs="Arial" w:eastAsia="Arial" w:hAnsi="Arial"/>
          <w:sz w:val="17"/>
          <w:szCs w:val="17"/>
          <w:color w:val="auto"/>
        </w:rPr>
        <w:t>In addition, the amounts of taxes we pay are subject to current or future audits by taxing authorities in the United States and all other jurisdictions in which we operate. If audits result in additional payments or assessments different from our reserves, our future results may include unfavorable adjustments to our tax liabilities, and our financial statements could be adversely affected.</w:t>
      </w:r>
    </w:p>
    <w:p>
      <w:pPr>
        <w:spacing w:after="0" w:line="172" w:lineRule="exact"/>
        <w:rPr>
          <w:sz w:val="20"/>
          <w:szCs w:val="20"/>
          <w:color w:val="auto"/>
        </w:rPr>
      </w:pPr>
    </w:p>
    <w:p>
      <w:pPr>
        <w:ind w:left="1260" w:right="699"/>
        <w:spacing w:after="0" w:line="291" w:lineRule="auto"/>
        <w:rPr>
          <w:sz w:val="20"/>
          <w:szCs w:val="20"/>
          <w:color w:val="auto"/>
        </w:rPr>
      </w:pPr>
      <w:r>
        <w:rPr>
          <w:rFonts w:ascii="Arial" w:cs="Arial" w:eastAsia="Arial" w:hAnsi="Arial"/>
          <w:sz w:val="17"/>
          <w:szCs w:val="17"/>
          <w:b w:val="1"/>
          <w:bCs w:val="1"/>
          <w:i w:val="1"/>
          <w:iCs w:val="1"/>
          <w:color w:val="auto"/>
        </w:rPr>
        <w:t>We may incur obligations, liabilities, or costs under environmental, health, and safety laws, which could have an adverse impact on our business, financial condition, and results of operations.</w:t>
      </w:r>
    </w:p>
    <w:p>
      <w:pPr>
        <w:spacing w:after="0" w:line="7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are required to comply with national, state, local, and foreign laws and regulations regarding the protection of the environment, health, and safety. We may incur expenses, or be subject to liability, related to the transportation, storage, or disposal of lithium-ion batteries.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 Liability under these laws and regulations can be imposed on a joint and several basis and without regard to fault or the legality of the activities giving rise to the claim. In addition, future developments such as more aggressive enforcement policies or the discovery of presently unknown</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color w:val="auto"/>
        </w:rPr>
        <w:t>environmental conditions may require expenditures that could have an adverse effect on our business, financial condition, and results of operations.</w:t>
      </w:r>
    </w:p>
    <w:p>
      <w:pPr>
        <w:spacing w:after="0" w:line="157" w:lineRule="exact"/>
        <w:rPr>
          <w:sz w:val="20"/>
          <w:szCs w:val="20"/>
          <w:color w:val="auto"/>
        </w:rPr>
      </w:pPr>
    </w:p>
    <w:p>
      <w:pPr>
        <w:ind w:left="1260" w:right="1019"/>
        <w:spacing w:after="0" w:line="362" w:lineRule="auto"/>
        <w:rPr>
          <w:sz w:val="20"/>
          <w:szCs w:val="20"/>
          <w:color w:val="auto"/>
        </w:rPr>
      </w:pPr>
      <w:r>
        <w:rPr>
          <w:rFonts w:ascii="Arial" w:cs="Arial" w:eastAsia="Arial" w:hAnsi="Arial"/>
          <w:sz w:val="15"/>
          <w:szCs w:val="15"/>
          <w:b w:val="1"/>
          <w:bCs w:val="1"/>
          <w:i w:val="1"/>
          <w:iCs w:val="1"/>
          <w:color w:val="auto"/>
        </w:rPr>
        <w:t>The reduction, elimination, or expiration of government incentives for, or regulations mandating the use of, renewable energy could reduce demand for energy storage products and harm our business.</w:t>
      </w:r>
    </w:p>
    <w:p>
      <w:pPr>
        <w:spacing w:after="0" w:line="20"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Federal, state, local, and foreign government bodies provide incentives to owners, end users, distributors, system integrators and manufacturers of renewable energy products to promote renewable electricity in the form of rebates, tax credits and other financial incentives.</w:t>
      </w:r>
    </w:p>
    <w:p>
      <w:pPr>
        <w:spacing w:after="0" w:line="101"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The range and duration of these incentives varies widely by jurisdiction. Our customers typically use our products for grid-connected applications wherein power is sold under a power purchase agreement or into an organized electric market. The reduction, elimination, or expiration of government incentives for grid-connected electricity may negatively affect the competitiveness of our offerings relative to conventional renewable sources of electricity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w:t>
      </w:r>
    </w:p>
    <w:p>
      <w:pPr>
        <w:spacing w:after="0" w:line="191" w:lineRule="exact"/>
        <w:rPr>
          <w:sz w:val="20"/>
          <w:szCs w:val="20"/>
          <w:color w:val="auto"/>
        </w:rPr>
      </w:pPr>
    </w:p>
    <w:p>
      <w:pPr>
        <w:jc w:val="both"/>
        <w:ind w:left="1260" w:right="439"/>
        <w:spacing w:after="0" w:line="270" w:lineRule="auto"/>
        <w:rPr>
          <w:sz w:val="20"/>
          <w:szCs w:val="20"/>
          <w:color w:val="auto"/>
        </w:rPr>
      </w:pPr>
      <w:r>
        <w:rPr>
          <w:rFonts w:ascii="Arial" w:cs="Arial" w:eastAsia="Arial" w:hAnsi="Arial"/>
          <w:sz w:val="17"/>
          <w:szCs w:val="17"/>
          <w:b w:val="1"/>
          <w:bCs w:val="1"/>
          <w:i w:val="1"/>
          <w:iCs w:val="1"/>
          <w:color w:val="auto"/>
        </w:rPr>
        <w:t>Revenue from any projects we support may be adversely affected if there is a decline in public acceptance or support of renewable energy, or regulatory agencies, local communities, or other third parties delay, prevent, or increase the cost of constructing and operating customer projects.</w:t>
      </w:r>
    </w:p>
    <w:p>
      <w:pPr>
        <w:spacing w:after="0" w:line="69"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Certain persons, associations and groups could oppose renewable energy projects in general or our customers’ projects specifically, citing, for example, misuse of water resources, landscape degradation, land use, food scarcity or price increase, and harm to the environment. Moreover, regulation may restrict the development of renewable energy plants in certain areas. In order to develop a renewable energy project, our customers are typically required to obtain, among other things, environmental impact permits or other authorizations and building permits, which in turn require environmental impact studies to be undertaken and public hearings and comment periods to be held during which any person, association, or group may oppose a project. Any such opposition may be taken into account by government officials responsible for granting the relevant permits, which could result in the permits being delayed or not being granted or being granted solely on the condition that our customers carry out certain corrective measures to the proposed project.</w:t>
      </w:r>
    </w:p>
    <w:p>
      <w:pPr>
        <w:spacing w:after="0" w:line="195" w:lineRule="exact"/>
        <w:rPr>
          <w:sz w:val="20"/>
          <w:szCs w:val="20"/>
          <w:color w:val="auto"/>
        </w:rPr>
      </w:pPr>
    </w:p>
    <w:p>
      <w:pPr>
        <w:ind w:left="1260" w:right="999"/>
        <w:spacing w:after="0" w:line="291" w:lineRule="auto"/>
        <w:rPr>
          <w:sz w:val="20"/>
          <w:szCs w:val="20"/>
          <w:color w:val="auto"/>
        </w:rPr>
      </w:pPr>
      <w:r>
        <w:rPr>
          <w:rFonts w:ascii="Arial" w:cs="Arial" w:eastAsia="Arial" w:hAnsi="Arial"/>
          <w:sz w:val="17"/>
          <w:szCs w:val="17"/>
          <w:b w:val="1"/>
          <w:bCs w:val="1"/>
          <w:i w:val="1"/>
          <w:iCs w:val="1"/>
          <w:color w:val="auto"/>
        </w:rPr>
        <w:t>Severe weather events, including the effects of climate change, are inherently unpredictable and may have a material adverse effect on our financial results and financial condition.</w:t>
      </w:r>
    </w:p>
    <w:p>
      <w:pPr>
        <w:spacing w:after="0" w:line="52"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7"/>
          <w:szCs w:val="17"/>
          <w:color w:val="auto"/>
        </w:rPr>
        <w:t>Our business, including our customers and suppliers, may be exposed to severe weather events and natural disasters, such as tornadoes, tsunamis, tropical storms (including hurricanes), earthquakes, windstorms, hailstorms, severe thunderstorms, wildfires, and other fires, which could cause operating results to vary significantly from one period to the next. We may incur losses in our business in excess of:</w:t>
      </w:r>
    </w:p>
    <w:p>
      <w:pPr>
        <w:spacing w:after="0" w:line="2" w:lineRule="exact"/>
        <w:rPr>
          <w:sz w:val="20"/>
          <w:szCs w:val="20"/>
          <w:color w:val="auto"/>
        </w:rPr>
      </w:pPr>
    </w:p>
    <w:p>
      <w:pPr>
        <w:ind w:left="1260" w:right="459"/>
        <w:spacing w:after="0" w:line="251" w:lineRule="auto"/>
        <w:tabs>
          <w:tab w:leader="none" w:pos="152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those experienced in prior years, (2) the average expected level used in pricing, or (3) current insurance coverage limits. The incidence and severity of severe weather conditions and other natural disasters are inherently unpredictable. Climate change may affect the occurrence of certain natural events, such as an increase in the frequency or severity of wind and thunderstorm events, and tornado or hailstorm events due to increased convection in the atmosphere; more frequent wildfires and subsequent landslides in certain geographies; higher incidence of deluge flooding; and the potential for an increase in severity of the hurricane events due to higher sea surface temperatures. Additionally, climate change may adversely impact the demand, price, and availability of insurance. Due to significant variability associated with future changing climate conditions, we are unable to predict the impact climate change will have on our business.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Condition and Liquidity</w:t>
      </w:r>
    </w:p>
    <w:p>
      <w:pPr>
        <w:spacing w:after="0" w:line="189" w:lineRule="exact"/>
        <w:rPr>
          <w:sz w:val="20"/>
          <w:szCs w:val="20"/>
          <w:color w:val="auto"/>
        </w:rPr>
      </w:pPr>
    </w:p>
    <w:p>
      <w:pPr>
        <w:jc w:val="both"/>
        <w:ind w:left="1260" w:right="559"/>
        <w:spacing w:after="0" w:line="322" w:lineRule="auto"/>
        <w:rPr>
          <w:sz w:val="20"/>
          <w:szCs w:val="20"/>
          <w:color w:val="auto"/>
        </w:rPr>
      </w:pPr>
      <w:r>
        <w:rPr>
          <w:rFonts w:ascii="Arial" w:cs="Arial" w:eastAsia="Arial" w:hAnsi="Arial"/>
          <w:sz w:val="15"/>
          <w:szCs w:val="15"/>
          <w:b w:val="1"/>
          <w:bCs w:val="1"/>
          <w:i w:val="1"/>
          <w:iCs w:val="1"/>
          <w:color w:val="auto"/>
        </w:rPr>
        <w:t>Our order intake and cash flows have been highly seasonal, which could make our future performance difficult to predict and could cause our results of operations for a particular period to fluctuate from quarter to quarter or fall below expectations, resulting in a decline in the price of our Class A common stock.</w:t>
      </w:r>
    </w:p>
    <w:p>
      <w:pPr>
        <w:spacing w:after="0" w:line="35"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Our quarterly results of operations are difficult to predict and may fluctuate significantly in the future. We experience seasonality and typically see increased order intake in our third and fourth fiscal quarters,</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59"/>
        <w:spacing w:after="0" w:line="272" w:lineRule="auto"/>
        <w:rPr>
          <w:sz w:val="20"/>
          <w:szCs w:val="20"/>
          <w:color w:val="auto"/>
        </w:rPr>
      </w:pPr>
      <w:r>
        <w:rPr>
          <w:rFonts w:ascii="Arial" w:cs="Arial" w:eastAsia="Arial" w:hAnsi="Arial"/>
          <w:sz w:val="17"/>
          <w:szCs w:val="17"/>
          <w:color w:val="auto"/>
        </w:rPr>
        <w:t>driven by demand in the Northern Hemisphere to install energy storage products before the summer of the following year. Our services and digital application offerings do not experience the same seasonality given their recurring nature. Combined third and fourth fiscal quarter order intake for energy storage products in fiscal year 2020 and fiscal year 2019 accounted for 80% or more of our total intake each year. As a result, revenue recognition is significantly stronger in our third and fourth fiscal quarters. Cash flows historically have been negative in our first and second fiscal quarters, neutral to positive in our third fiscal quarter, and positive in our fourth fiscal quarter. See “Recent Developments—Preliminary Fourth Quarter Results.”</w:t>
      </w:r>
    </w:p>
    <w:p>
      <w:pPr>
        <w:spacing w:after="0" w:line="177"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expenses in the future, and we may not be able to achieve or maintain profitability.</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incurred net losses on an annual basis since our inception. We incurred net losses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$46.7 million and $47.0 million for the years ended September 30, 2020 and 2019, respectively, and net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losses of $74.8 million and $45.6 million for the nine months ended June 30, 2021 and 2020, respectively.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expect our aggregate costs will increase substantially in the foreseeable future and our losses will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continue as we expect to invest heavily in increasing our customer base, expanding our operations, hiring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additional employees, and operating as a public company. These efforts may prove more expensive than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currently anticipate, and we may not succeed in increasing our revenue sufficiently to offset these higher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expenses. To date, we have financed our operations with equity contributions from AES Grid Stability,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Siemens Industry, and QFH, cash and cash equivalents, negative working capital, and short-term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borrowings. Our net cash flow from operations was negative for the year ended September 30, 2020 and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nine months ended June 30, 2021. We may not generate positive cash flow from operations or profitability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any given period, and our limited operating history may make it difficult for you to evaluate our current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business and our future prospects.</w:t>
      </w:r>
    </w:p>
    <w:p>
      <w:pPr>
        <w:spacing w:after="0" w:line="143"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significantly over the next several years as we continue to hire additional personnel, expand our operations and infrastructure, and continue to expand to reach more customers.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Our failure to achieve or maintain profitability could negatively impact the value of our common stock.</w:t>
      </w:r>
    </w:p>
    <w:p>
      <w:pPr>
        <w:spacing w:after="0" w:line="182" w:lineRule="exact"/>
        <w:rPr>
          <w:sz w:val="20"/>
          <w:szCs w:val="20"/>
          <w:color w:val="auto"/>
        </w:rPr>
      </w:pPr>
    </w:p>
    <w:p>
      <w:pPr>
        <w:ind w:left="1260" w:right="799"/>
        <w:spacing w:after="0" w:line="308" w:lineRule="auto"/>
        <w:rPr>
          <w:sz w:val="20"/>
          <w:szCs w:val="20"/>
          <w:color w:val="auto"/>
        </w:rPr>
      </w:pPr>
      <w:r>
        <w:rPr>
          <w:rFonts w:ascii="Arial" w:cs="Arial" w:eastAsia="Arial" w:hAnsi="Arial"/>
          <w:sz w:val="17"/>
          <w:szCs w:val="17"/>
          <w:b w:val="1"/>
          <w:bCs w:val="1"/>
          <w:i w:val="1"/>
          <w:iCs w:val="1"/>
          <w:color w:val="auto"/>
        </w:rPr>
        <w:t>The Revolver we will enter into in connection with this offering imposes certain restrictions that may affect our ability to operate our business and make payments on our indebtedness.</w:t>
      </w:r>
    </w:p>
    <w:p>
      <w:pPr>
        <w:spacing w:after="0" w:line="7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connection with this offering, we plan to enter into the Revolver, which will contain covenants that, among other things, will restrict our ability to incur additional indebtedness; incur liens; sell, transfer, or dispose of property and assets; invest; make dividends or distributions or other restricted payments and engage in affiliate transactions. In addition, we will be required to maintain (i) minimum liquidity and gross revenue requirements, in each case, until consolidated EBITDA reaches a certain specified threshold and we make an election, and (ii) thereafter, a maximum total leverage ratio and a minimum interest coverage ratio. See “Management’s Discussion and Analysis of Financial Condition and Results of Operations—Liquidity and Capital Resources—Revolving Credit Facility.” The Revolver will limit our ability to make certain payments, including dividends or distributions on Fluence Energy, LLC’s equity and other restricted payments, provided, however, that payments in respect of certain tax distributions under the Fluence Energy LLC Agreement and certain payments under the TRA will be permitted. These restrictions may restrict our current and future operations, particularly our ability to respond to certain changes in our business or</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industry, or take future actions. In connection with the Revolver, we will grant the lenders party thereto a security interest in substantially all of our assets.</w:t>
      </w:r>
    </w:p>
    <w:p>
      <w:pPr>
        <w:spacing w:after="0" w:line="9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Our ability to meet these restrictive covenants can be impacted by events beyond our control and we may be unable to do so. Our Revolver and related security agreements will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Revolver and related security agreement. If the debt under our Revolver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16"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Moreover, the new Revolver will require us to dedicate a portion of our cash flow from operations to interest payments, thereby reducing the availability of cash flow to fund working capital, capital expenditures and other general corporate purposes; increasing our vulnerability to adverse general economic, industry, or competitive developments or conditions; and limiting our flexibility in planning for, or reacting to, changes in our business and the industry in which we operate or in pursuing our strategic objectives.</w:t>
      </w:r>
    </w:p>
    <w:p>
      <w:pPr>
        <w:spacing w:after="0" w:line="189"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We believe that our current cash and cash equivalents, including the net proceeds from this offering together with our expected cash from operations, will be sufficient to meet our projected operating requirements for the foreseeable future. However, continued expansion of our business will be expensive, and we may seek additional funds from public and private stock offerings, borrowings under our existing or new credit facilities or other sources which we may not be able to maintain or obtain on acceptable or commercially reasonable terms, if at all. Our capital requirements will depend on many factors, including:</w:t>
      </w:r>
    </w:p>
    <w:p>
      <w:pPr>
        <w:spacing w:after="0" w:line="54"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our offerings;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revenue generated by sales of our offerings;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expanding our sales and marketing efforts;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defending and enforcing our patent and other intellectual property rights;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third-party patent or other intellectual property rights;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enforcing or defending against non-competition claims;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timing of acquisitions and other strategic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our planned international expansion;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 result of these factors, we may seek to raise additional capital to, among others:</w:t>
      </w:r>
    </w:p>
    <w:p>
      <w:pPr>
        <w:spacing w:after="0" w:line="117"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appropriate product inventory levels;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our research and development and protect our intellectual property rights;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defend claims, in litigation or otherwise;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our geographic reach;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commercialize our new products;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companies and license products or intellectual property.</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Such capital may not be available on favorable terms, or at all. Furthermore, if we issue equity or debt securities to raise additional capital, our existing stockholders may experience dilution, and the new equity or debt securities may have rights, preferences, and privileges senior to those of our existing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Historically, we have relied on parent corporate guarantees from our affiliates to support project sales. If we are unable to rely on our standalone credit quality or utilize such parent corporate guarantees going forward, it may impact our ability to sell products or establish supplier relationships going forward.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229" w:lineRule="exact"/>
        <w:rPr>
          <w:sz w:val="20"/>
          <w:szCs w:val="20"/>
          <w:color w:val="auto"/>
        </w:rPr>
      </w:pPr>
    </w:p>
    <w:p>
      <w:pPr>
        <w:ind w:left="1260" w:right="579"/>
        <w:spacing w:after="0" w:line="243" w:lineRule="auto"/>
        <w:rPr>
          <w:sz w:val="20"/>
          <w:szCs w:val="20"/>
          <w:color w:val="auto"/>
        </w:rPr>
      </w:pPr>
      <w:r>
        <w:rPr>
          <w:rFonts w:ascii="Arial" w:cs="Arial" w:eastAsia="Arial" w:hAnsi="Arial"/>
          <w:sz w:val="18"/>
          <w:szCs w:val="18"/>
          <w:b w:val="1"/>
          <w:bCs w:val="1"/>
          <w:i w:val="1"/>
          <w:iCs w:val="1"/>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10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Our business depends on internally developed technology, including hardware, software, databases, confidential information and know-how, the protection of which is crucial to the success of our business. We rely on a combination of trademark, trade-secret, and copyright laws and confidentiality procedures and contractual provisions to protect our intellectual property rights in our internally developed technology. We may, over time, increase our investment in protecting our intellectual property through additional trademark, patent, and other intellectual property filings that could be expensive and time-consuming. Effective trademark, trade-secret, and copyright protection is expensive to develop and maintain, both in terms of initial and ongoing registration requirements and the costs of defending our rights. These measures, however, may not be sufficient to offer us meaningful protection. If we are unable to protect our intellectual property and other rights,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116"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seek to analyze our competitors’ services, and may in the future seek to enforce our rights against potential infringement. However, the steps we have taken to protect our intellectual property rights may not be adequate to prevent infringement or misappropriation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w:t>
      </w:r>
    </w:p>
    <w:p>
      <w:pPr>
        <w:spacing w:after="0" w:line="12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Uncertainty may result from changes to intellectual property legislation and from interpretations of intellectual property laws by applicable courts and agencies.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b w:val="1"/>
          <w:bCs w:val="1"/>
          <w:i w:val="1"/>
          <w:iCs w:val="1"/>
          <w:color w:val="auto"/>
        </w:rPr>
        <w:t>We may be sued by third parties for infringement, misappropriation, dilution, or other violation of their intellectual property or proprietary rights.</w:t>
      </w:r>
    </w:p>
    <w:p>
      <w:pPr>
        <w:spacing w:after="0" w:line="90"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122"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Third parties may in the future assert, that we have infringed, misappropriated, diluted, or otherwise violated their intellectual property rights. 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122"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10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or clients. If we cannot develop or license technology for any allegedly infringing aspect of our business, we would be forced to limit our product or service offerings and may be unable to compete effectively. Any of these events could materially harm our business, financial condition, and results of operations.</w:t>
      </w:r>
    </w:p>
    <w:p>
      <w:pPr>
        <w:spacing w:after="0" w:line="179" w:lineRule="exact"/>
        <w:rPr>
          <w:sz w:val="20"/>
          <w:szCs w:val="20"/>
          <w:color w:val="auto"/>
        </w:rPr>
      </w:pPr>
    </w:p>
    <w:p>
      <w:pPr>
        <w:ind w:left="1260" w:right="639"/>
        <w:spacing w:after="0" w:line="32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or protectable, we may not be able to build name recognition in our markets of interest, and our competitive position may be harmed.</w:t>
      </w:r>
    </w:p>
    <w:p>
      <w:pPr>
        <w:spacing w:after="0" w:line="57"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members, partners, and clients. In addition, third parties may file for registration of trademarks similar or identical to our trademarks, thereby impeding our ability to build brand identity and possibly leading to market confusion. If they succeed in registering or developing common-law rights in such trademarks, and if we are not successful in challenging such third-party rights, we may</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7" w:lineRule="auto"/>
        <w:rPr>
          <w:sz w:val="20"/>
          <w:szCs w:val="20"/>
          <w:color w:val="auto"/>
        </w:rPr>
      </w:pPr>
      <w:r>
        <w:rPr>
          <w:rFonts w:ascii="Arial" w:cs="Arial" w:eastAsia="Arial" w:hAnsi="Arial"/>
          <w:sz w:val="17"/>
          <w:szCs w:val="17"/>
          <w:color w:val="auto"/>
        </w:rPr>
        <w:t>not be able to use these trademarks to develop brand recognition of our technologies, products, or services. In addition, there could be potential trade name or trademark infringement claims brought by owners of other registered or unregistered trademarks or trademarks that incorporate variations of our registered or unregistered trademarks or trade names.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4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products, services, and technologies in all countries throughout the world could be prohibitively expensive, and our intellectual property rights in some countries outside the United States can be less extensive than those in the United States. We do not own and have not registered or applied for intellectual property registrations in all countries outside the United States. Competitors may use our technologies in jurisdictions where we have not obtained protection to develop their own products and services and, further, may export otherwise violating products and services to territories where we have protection but enforcement is not as strong as that in the United States. These products and services may compete with our solutions and services, and our intellectual property rights may not be effective or sufficient to prevent them from competing. In addition, the laws of some foreign countries do not protect certain proprietary rights to the same extent as the laws of the United States, and many companies have encountered significant challenges in establishing and enforcing certain of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11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In addition, the legal systems of some countries, particularly developing countries, do not favor the enforcement of certain intellectual property protection. This could make it difficult for us to stop the misappropriation or other violation of certain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harm our competitive position, business, financial condition, results of operations, and prospects.</w:t>
      </w:r>
    </w:p>
    <w:p>
      <w:pPr>
        <w:spacing w:after="0" w:line="192"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16"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15"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189" w:lineRule="exact"/>
        <w:rPr>
          <w:sz w:val="20"/>
          <w:szCs w:val="20"/>
          <w:color w:val="auto"/>
        </w:rPr>
      </w:pPr>
    </w:p>
    <w:p>
      <w:pPr>
        <w:ind w:left="1260" w:right="599"/>
        <w:spacing w:after="0" w:line="362" w:lineRule="auto"/>
        <w:rPr>
          <w:sz w:val="20"/>
          <w:szCs w:val="20"/>
          <w:color w:val="auto"/>
        </w:rPr>
      </w:pPr>
      <w:r>
        <w:rPr>
          <w:rFonts w:ascii="Arial" w:cs="Arial" w:eastAsia="Arial" w:hAnsi="Arial"/>
          <w:sz w:val="15"/>
          <w:szCs w:val="15"/>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2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Our business is highly dependent on maintaining effective information systems as well as the integrity and of the data we use to serve our customers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partners regard as significant. If our data were found to be inaccurate or unreliable due to fraud or other error, or if we, or any of the third-party service providers we engage, were to fail to maintain information systems and data integrity effectively, we could experience operational disruptions that may impact our operations and hinder our ability to provide services, establish appropriate pricing for services, establish reserves, report financial results timely and accurately and maintain regulatory compliance, among other things. If any such failure of our data integrity were to result in the theft, corruption or other harm to the data of our customers, our ability to retain and attract partners or customers may be harmed.</w:t>
      </w:r>
    </w:p>
    <w:p>
      <w:pPr>
        <w:spacing w:after="0" w:line="11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We must continue to invest in long-term solutions that will enable us to anticipate customer needs and expectations, enhance the customer experience, act as a differentiator in the market, and protect against cybersecurity risks and threats.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Such attacks or security breaches may be perpetrated by bad actors internally or externally (including computer hackers, persons involved with organized crime, or foreign state or foreign state-supported actors). Cybersecurity threat actors employ a wide variety of methods and techniques that are constantly evolving, increasingly sophisticated, and difficult to detect and successfully defend against. We have experienced such incidents in the past, and any future incidents could expose us to claims, litigation, regulatory or other governmental investigations, administrative fines, and potential liability. Any system failure, accident, or security breach could result in disruptions to our operations. A material network breach in the security of our IT systems could include the theft of our trade secrets, customer information, human resources information, or other confidential data, including but not limited to personally identifiable information.</w:t>
      </w:r>
    </w:p>
    <w:p>
      <w:pPr>
        <w:spacing w:after="0" w:line="118" w:lineRule="exact"/>
        <w:rPr>
          <w:sz w:val="20"/>
          <w:szCs w:val="20"/>
          <w:color w:val="auto"/>
        </w:rPr>
      </w:pPr>
    </w:p>
    <w:p>
      <w:pPr>
        <w:ind w:left="1260" w:right="539" w:firstLine="360"/>
        <w:spacing w:after="0" w:line="293" w:lineRule="auto"/>
        <w:rPr>
          <w:sz w:val="20"/>
          <w:szCs w:val="20"/>
          <w:color w:val="auto"/>
        </w:rPr>
      </w:pPr>
      <w:r>
        <w:rPr>
          <w:rFonts w:ascii="Arial" w:cs="Arial" w:eastAsia="Arial" w:hAnsi="Arial"/>
          <w:sz w:val="16"/>
          <w:szCs w:val="16"/>
          <w:color w:val="auto"/>
        </w:rPr>
        <w:t>Although past incidents have not had a material effect on our business operations or financial performance, to the extent that any disruption or security breach results in a loss or damage to our data, or an inappropriate disclosure of confidential, proprietary or customer information, it could cause significant damage to our reputation, affect our relationships with our customers and strategic partners, lead to claims against us from governments and private plaintiffs, and adversely affect our business. We cannot guarantee that future cyberattacks, if successful, will not have a material effect on our business or financial results.</w:t>
      </w:r>
    </w:p>
    <w:p>
      <w:pPr>
        <w:spacing w:after="0" w:line="83"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Many governments have enacted laws requiring companies to provide notice of cyber incidents involving certain types of data, including personal data. These laws may be subject to alterations and revisions, and if we fail to comply with our obligations under such laws in the jurisdictions in which we operate, we could be subject to regulatory action and lawsuits.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Any compromise of our security could also result in a violation of applicable domestic and foreign security, privacy or data protection, consumer protection, and other laws, regulatory or other governmental investigations, enforcement actions, and legal and financial exposure, including potential</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79"/>
        <w:spacing w:after="0" w:line="261" w:lineRule="auto"/>
        <w:rPr>
          <w:sz w:val="20"/>
          <w:szCs w:val="20"/>
          <w:color w:val="auto"/>
        </w:rPr>
      </w:pPr>
      <w:r>
        <w:rPr>
          <w:rFonts w:ascii="Arial" w:cs="Arial" w:eastAsia="Arial" w:hAnsi="Arial"/>
          <w:sz w:val="18"/>
          <w:szCs w:val="18"/>
          <w:color w:val="auto"/>
        </w:rPr>
        <w:t>contractual liability. In addition, we may be required to incur significant costs to protect against and remediate damage caused by these disruptions or security breaches in the future.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utilize open-source software, which may pose particular risks to our proprietary software and solutions.</w:t>
      </w:r>
    </w:p>
    <w:p>
      <w:pPr>
        <w:spacing w:after="0" w:line="167"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7"/>
          <w:szCs w:val="17"/>
          <w:color w:val="auto"/>
        </w:rPr>
        <w:t>We use open-source software in our solutions and will use open- source software in the future. Companies that incorporate open-source software into their solutions have, from time to time, faced claims challenging the use of open-source software and compliance with open-source license terms. Some licenses governing the use of open-source software contain requirements that we make available source code for modifications or derivative works we create based upon the open -source software, and that we license such modifications or derivative works under the terms of a particular open-source license or other license granting third parties certain rights of further use. By the terms of certain open-source licenses, we could be required to release the source code of our proprietary software, and to make our proprietary software available under open- source licenses to third parties at no cost, if we combine our proprietary software with open-source software in certain manners. Although we monitor our use of open-source software, we cannot assure you that all open-source software is reviewed prior to use in our solutions, that our developers have not incorporated open-source software into our solutions, or that they will not do so in the future. Additionally, the terms of many open-source licenses to which we are subject have not been interpreted by U.S. or foreign courts. There is a risk that open- source software licenses could be construed in a manner that imposes unanticipated conditions or restrictions on our ability to market or provide our solutions as currently marketed or provided.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our software. In addition, the terms of open-source software licenses may require us to provide source code that we develop using such open-source software to others on unfavorable license terms. As a result of our current or future use of open-source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open-source software can lead to greater risks than use of third-party commercial software, as open-source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06" w:lineRule="exact"/>
        <w:rPr>
          <w:sz w:val="20"/>
          <w:szCs w:val="20"/>
          <w:color w:val="auto"/>
        </w:rPr>
      </w:pPr>
    </w:p>
    <w:p>
      <w:pPr>
        <w:ind w:left="1260" w:right="559"/>
        <w:spacing w:after="0" w:line="308" w:lineRule="auto"/>
        <w:rPr>
          <w:sz w:val="20"/>
          <w:szCs w:val="20"/>
          <w:color w:val="auto"/>
        </w:rPr>
      </w:pPr>
      <w:r>
        <w:rPr>
          <w:rFonts w:ascii="Arial" w:cs="Arial" w:eastAsia="Arial" w:hAnsi="Arial"/>
          <w:sz w:val="15"/>
          <w:szCs w:val="15"/>
          <w:b w:val="1"/>
          <w:bCs w:val="1"/>
          <w:i w:val="1"/>
          <w:iCs w:val="1"/>
          <w:color w:val="auto"/>
        </w:rPr>
        <w:t>If we fail to comply with our obligations under license or technology agreements with third parties, we may be required to pay damages, and we could lose license rights that are critical to our business. If we fail to comply with our obligations under license and technology agreements with AES and Siemens, we could lose license rights, including to patents and patent applications, which may prove to be material to our business.</w:t>
      </w:r>
    </w:p>
    <w:p>
      <w:pPr>
        <w:spacing w:after="0" w:line="7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license certain intellectual property, including patents, technologies and software from third parties, including AES and Siemens,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is found to be invalid or unenforceable, if the licensed intellectual property expires or if we are unable to enter into necessary licenses on acceptable terms. In addition, our rights to certain intellectual property, technologies, and software, are licensed to us on a non-exclusive basis. The owners of these non-exclusively licensed technologies are therefore free to license them to third parties, including our competitors, on terms that may be superior</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3" w:lineRule="auto"/>
        <w:rPr>
          <w:sz w:val="20"/>
          <w:szCs w:val="20"/>
          <w:color w:val="auto"/>
        </w:rPr>
      </w:pPr>
      <w:r>
        <w:rPr>
          <w:rFonts w:ascii="Arial" w:cs="Arial" w:eastAsia="Arial" w:hAnsi="Arial"/>
          <w:sz w:val="17"/>
          <w:szCs w:val="17"/>
          <w:color w:val="auto"/>
        </w:rPr>
        <w:t>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4"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b w:val="1"/>
          <w:bCs w:val="1"/>
          <w:i w:val="1"/>
          <w:iCs w:val="1"/>
          <w:color w:val="auto"/>
        </w:rPr>
        <w:t>If we cannot license rights to use technologies on reasonable terms, we may not be able to commercialize new solutions or services in the future.</w:t>
      </w:r>
    </w:p>
    <w:p>
      <w:pPr>
        <w:spacing w:after="0" w:line="90"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 -exclusive,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or if the licensed intellectual property rights expire, our business, financial condition, results of operations, and prospects could be affected. If licenses to third -party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229"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b w:val="1"/>
          <w:bCs w:val="1"/>
          <w:i w:val="1"/>
          <w:iCs w:val="1"/>
          <w:color w:val="auto"/>
        </w:rPr>
        <w:t>Certain provisions of Delaware law and antitakeover provisions in our organizational documents could delay or prevent a change of control.</w:t>
      </w:r>
    </w:p>
    <w:p>
      <w:pPr>
        <w:spacing w:after="0" w:line="103"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6"/>
          <w:szCs w:val="16"/>
          <w:color w:val="auto"/>
        </w:rPr>
        <w:t>Certain provisions of Delaware law, our amended and restated certificate of incorporation, amended and restated bylaws, and our Stockholders Agreement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51"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90"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for nominations of directors by stockholders and for stockholders to include matters to be considered at our annual meetings;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90" w:lineRule="exact"/>
        <w:rPr>
          <w:rFonts w:ascii="Arial" w:cs="Arial" w:eastAsia="Arial" w:hAnsi="Arial"/>
          <w:sz w:val="18"/>
          <w:szCs w:val="18"/>
          <w:color w:val="auto"/>
        </w:rPr>
      </w:pPr>
    </w:p>
    <w:p>
      <w:pPr>
        <w:ind w:left="1800" w:right="499" w:hanging="180"/>
        <w:spacing w:after="0" w:line="22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certain provisions of amended and restated certificate of incorporation may be amended only by the affirmative vote of at least 66 </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voting power represented by our then-outstanding common stock;</w:t>
      </w: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7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 of each of AES Grid Stability, Siemens Industry, and the Blocker Shareholder to nominate certain of our directors;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shares of our Class B-1 common stock that will be held by our Founders entitle them to five votes per share on all matters presented to our stockholders generally; and</w:t>
      </w:r>
    </w:p>
    <w:p>
      <w:pPr>
        <w:spacing w:after="0" w:line="62" w:lineRule="exact"/>
        <w:rPr>
          <w:rFonts w:ascii="Arial" w:cs="Arial" w:eastAsia="Arial" w:hAnsi="Arial"/>
          <w:sz w:val="18"/>
          <w:szCs w:val="18"/>
          <w:color w:val="auto"/>
        </w:rPr>
      </w:pPr>
    </w:p>
    <w:p>
      <w:pPr>
        <w:ind w:left="1800" w:right="639" w:hanging="180"/>
        <w:spacing w:after="0" w:line="30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consent rights of the Continuing Equity Owners in the Stockholders Agreement as described in “Certain Relationships and Related Party Transactions — Stockholders Agreement.”</w:t>
      </w:r>
    </w:p>
    <w:p>
      <w:pPr>
        <w:spacing w:after="0" w:line="79"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addition,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(any stockholder with 15% or more of our voting stock) for a period of three years following the date on which the stockholder became an “interested” stockholder is prohibited, subject to certain exceptions. See “Description of Capital Stock.”</w:t>
      </w:r>
    </w:p>
    <w:p>
      <w:pPr>
        <w:spacing w:after="0" w:line="192" w:lineRule="exact"/>
        <w:rPr>
          <w:sz w:val="20"/>
          <w:szCs w:val="20"/>
          <w:color w:val="auto"/>
        </w:rPr>
      </w:pPr>
    </w:p>
    <w:p>
      <w:pPr>
        <w:ind w:left="1260" w:right="519"/>
        <w:spacing w:after="0" w:line="411" w:lineRule="auto"/>
        <w:rPr>
          <w:sz w:val="20"/>
          <w:szCs w:val="20"/>
          <w:color w:val="auto"/>
        </w:rPr>
      </w:pPr>
      <w:r>
        <w:rPr>
          <w:rFonts w:ascii="Arial" w:cs="Arial" w:eastAsia="Arial" w:hAnsi="Arial"/>
          <w:sz w:val="13"/>
          <w:szCs w:val="13"/>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1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79" w:lineRule="exact"/>
        <w:rPr>
          <w:sz w:val="20"/>
          <w:szCs w:val="20"/>
          <w:color w:val="auto"/>
        </w:rPr>
      </w:pPr>
    </w:p>
    <w:p>
      <w:pPr>
        <w:ind w:left="1800" w:right="4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$1.07 billion or more;</w:t>
      </w:r>
    </w:p>
    <w:p>
      <w:pPr>
        <w:spacing w:after="0" w:line="117"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$1.07 billion in nonconvertible debt; and</w:t>
      </w:r>
    </w:p>
    <w:p>
      <w:pPr>
        <w:spacing w:after="0" w:line="62" w:lineRule="exact"/>
        <w:rPr>
          <w:rFonts w:ascii="Arial" w:cs="Arial" w:eastAsia="Arial" w:hAnsi="Arial"/>
          <w:sz w:val="18"/>
          <w:szCs w:val="18"/>
          <w:color w:val="auto"/>
        </w:rPr>
      </w:pPr>
    </w:p>
    <w:p>
      <w:pPr>
        <w:ind w:left="1800" w:right="579" w:hanging="180"/>
        <w:spacing w:after="0" w:line="268"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or the Exchange Act, for a period of at least 12 months, and</w:t>
      </w:r>
    </w:p>
    <w:p>
      <w:pPr>
        <w:spacing w:after="0" w:line="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(3) has filed at least one annual report pursuant to the Exchange Act.</w:t>
      </w:r>
    </w:p>
    <w:p>
      <w:pPr>
        <w:spacing w:after="0" w:line="143" w:lineRule="exact"/>
        <w:rPr>
          <w:sz w:val="20"/>
          <w:szCs w:val="20"/>
          <w:color w:val="auto"/>
        </w:rPr>
      </w:pPr>
    </w:p>
    <w:p>
      <w:pPr>
        <w:jc w:val="both"/>
        <w:ind w:left="1260" w:right="519" w:firstLine="360"/>
        <w:spacing w:after="0" w:line="286" w:lineRule="auto"/>
        <w:rPr>
          <w:sz w:val="20"/>
          <w:szCs w:val="20"/>
          <w:color w:val="auto"/>
        </w:rPr>
      </w:pPr>
      <w:r>
        <w:rPr>
          <w:rFonts w:ascii="Arial" w:cs="Arial" w:eastAsia="Arial" w:hAnsi="Arial"/>
          <w:sz w:val="17"/>
          <w:szCs w:val="17"/>
          <w:color w:val="auto"/>
        </w:rPr>
        <w:t>Under this definition, we will be an “emerging growth company” upon completion of this offering and could remain an “emerging growth company” until as late as the fifth anniversary of the completion of this offering. For so long as we are an “emerging growth company,” we will, among other things:</w:t>
      </w:r>
    </w:p>
    <w:p>
      <w:pPr>
        <w:spacing w:after="0" w:line="57" w:lineRule="exact"/>
        <w:rPr>
          <w:sz w:val="20"/>
          <w:szCs w:val="20"/>
          <w:color w:val="auto"/>
        </w:rPr>
      </w:pPr>
    </w:p>
    <w:p>
      <w:pPr>
        <w:ind w:left="1800" w:right="117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be required to comply with the auditor attestation requirements of Section 404(b) of the Sarbanes-Oxley Act;</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be required to hold a nonbinding advisory stockholder vote on executive compensation pursuant to Section 14A(a) of the Exchange Act;</w:t>
      </w:r>
    </w:p>
    <w:p>
      <w:pPr>
        <w:spacing w:after="0" w:line="75"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spacing w:after="0" w:line="62"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exempt from the requirement of the Public Company Accounting Oversight Board, or PCAOB, regarding the communication of critical audit matters in the auditor’s report on the financial statements; and</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7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76"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99"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161" w:lineRule="exact"/>
        <w:rPr>
          <w:sz w:val="20"/>
          <w:szCs w:val="20"/>
          <w:color w:val="auto"/>
        </w:rPr>
      </w:pPr>
    </w:p>
    <w:p>
      <w:pPr>
        <w:jc w:val="both"/>
        <w:ind w:left="1260" w:right="899"/>
        <w:spacing w:after="0" w:line="248"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87"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We do not anticipate paying any regular cash dividends on our Class A common stock following this offering.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 See “Dividend Policy” for more detail.</w:t>
      </w:r>
    </w:p>
    <w:p>
      <w:pPr>
        <w:spacing w:after="0" w:line="157"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b w:val="1"/>
          <w:bCs w:val="1"/>
          <w:i w:val="1"/>
          <w:iCs w:val="1"/>
          <w:color w:val="auto"/>
        </w:rPr>
        <w:t>We cannot predict the effect our multiple class structure may have on the market price of our Class A common stock.</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cannot predict whether our multiple class structure will result in a lower or more volatile market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price of our Class A common stock, in adverse publicity, or other adverse consequences. For example,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certain index providers have announced restrictions on including companies with multiple-class share</w:t>
      </w:r>
    </w:p>
    <w:p>
      <w:pPr>
        <w:ind w:left="1260"/>
        <w:spacing w:after="0"/>
        <w:rPr>
          <w:sz w:val="20"/>
          <w:szCs w:val="20"/>
          <w:color w:val="auto"/>
        </w:rPr>
      </w:pPr>
      <w:r>
        <w:rPr>
          <w:rFonts w:ascii="Arial" w:cs="Arial" w:eastAsia="Arial" w:hAnsi="Arial"/>
          <w:sz w:val="17"/>
          <w:szCs w:val="17"/>
          <w:color w:val="auto"/>
        </w:rPr>
        <w:t>structures in certain of their indices. In July 2017, FTSE Russell announced that it plans to require new</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constituents of its indices to have greater than 5% of the company’s voting rights in the hands of public</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stockholders, and S&amp;P Dow Jones announced that it will no longer admit companies with multiple-class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 structures to certain of its indices. Affected indices include the Russell 2000 and the S&amp;P 500, S&amp;P</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MidCap 400, and S&amp;P SmallCap 600, which together make up the S&amp;P Composite 1500. Also in 2017,</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MSCI, a leading stock index provider, opened public consultations on their treatment of no-vote and multi-</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structures and temporarily barred new multi-class listings from certain of its indices and in</w:t>
      </w:r>
    </w:p>
    <w:p>
      <w:pPr>
        <w:ind w:left="1260"/>
        <w:spacing w:after="0"/>
        <w:rPr>
          <w:sz w:val="20"/>
          <w:szCs w:val="20"/>
          <w:color w:val="auto"/>
        </w:rPr>
      </w:pPr>
      <w:r>
        <w:rPr>
          <w:rFonts w:ascii="Arial" w:cs="Arial" w:eastAsia="Arial" w:hAnsi="Arial"/>
          <w:sz w:val="17"/>
          <w:szCs w:val="17"/>
          <w:color w:val="auto"/>
        </w:rPr>
        <w:t>October 2018, MSCI announced its decision to include equity securities “with unequal voting structures” 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its indices and to launch a new index that specifically includes voting rights in its eligibility criteria. Under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such announced policies, the multiple class structure of our stock would make us ineligible for inclusion 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certain indices and, as a result, mutual funds, exchange-traded funds, and other investment vehicles that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attempt to track those indices would not invest in our Class A common stock. These policies are relatively</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and it is unclear what effect, if any, they will have on the valuations of publicly traded companies</w:t>
      </w:r>
    </w:p>
    <w:p>
      <w:pPr>
        <w:ind w:left="1260"/>
        <w:spacing w:after="0"/>
        <w:rPr>
          <w:sz w:val="20"/>
          <w:szCs w:val="20"/>
          <w:color w:val="auto"/>
        </w:rPr>
      </w:pPr>
      <w:r>
        <w:rPr>
          <w:rFonts w:ascii="Arial" w:cs="Arial" w:eastAsia="Arial" w:hAnsi="Arial"/>
          <w:sz w:val="17"/>
          <w:szCs w:val="17"/>
          <w:color w:val="auto"/>
        </w:rPr>
        <w:t>excluded from such indices, but it is possible they may depress valuations, compared to similar companies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are included. Given the sustained flow of investment funds into passive strategies that seek to track</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certain indices, exclusion from certain stock indices would likely preclude investment by many of these</w:t>
      </w:r>
    </w:p>
    <w:p>
      <w:pPr>
        <w:ind w:left="1260"/>
        <w:spacing w:after="0"/>
        <w:rPr>
          <w:sz w:val="20"/>
          <w:szCs w:val="20"/>
          <w:color w:val="auto"/>
        </w:rPr>
      </w:pPr>
      <w:r>
        <w:rPr>
          <w:rFonts w:ascii="Arial" w:cs="Arial" w:eastAsia="Arial" w:hAnsi="Arial"/>
          <w:sz w:val="17"/>
          <w:szCs w:val="17"/>
          <w:color w:val="auto"/>
        </w:rPr>
        <w:t>funds and could make our Class A common stock less attractive to other investors. As a result, the market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price of our Class A common stock could be adversely affected.</w:t>
      </w:r>
    </w:p>
    <w:p>
      <w:pPr>
        <w:spacing w:after="0" w:line="155" w:lineRule="exact"/>
        <w:rPr>
          <w:sz w:val="20"/>
          <w:szCs w:val="20"/>
          <w:color w:val="auto"/>
        </w:rPr>
      </w:pPr>
    </w:p>
    <w:p>
      <w:pPr>
        <w:ind w:left="1260" w:right="479"/>
        <w:spacing w:after="0" w:line="322"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48"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After the consummation of the Transactions, our Continuing Equity Owners will have more than 50% of the voting power for the election of directors, and, as a result, we will be considered a “controlled</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9" w:lineRule="auto"/>
        <w:rPr>
          <w:sz w:val="20"/>
          <w:szCs w:val="20"/>
          <w:color w:val="auto"/>
        </w:rPr>
      </w:pPr>
      <w:r>
        <w:rPr>
          <w:rFonts w:ascii="Arial" w:cs="Arial" w:eastAsia="Arial" w:hAnsi="Arial"/>
          <w:sz w:val="17"/>
          <w:szCs w:val="17"/>
          <w:color w:val="auto"/>
        </w:rPr>
        <w:t>company” for the purposes of the Nasdaq rules. As such, we will qualify for, and intend to rely on, exemptions from certain corporate governance requirements, including the requirements to have a majority of independent directors on our board of directors, an entirely independent compensation committee or to have director nominations be made, or recommended to the full board of directors, by its independent directors or by a nominations committee that is composed entirely of independent directors.</w:t>
      </w:r>
    </w:p>
    <w:p>
      <w:pPr>
        <w:spacing w:after="0" w:line="9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corporate governance requirements and, specifically, the independence standards are intended to ensure directors who are considered independent are free of any conflicting interest that could influence their actions as directors. Following this offering, we intend to utilize certain exemptions afforded to a “controlled company.” As a result, we will not be subject to certain corporate governance requirements, including that a majority of our board of directors consists of “independent directors,” as defined under the rules of the Nasdaq. In addition, we are not required to have director nominations be made, or recommended to the full board of directors, by its independent directors or by a nominations committee that is composed entirely of independent directors.</w:t>
      </w:r>
    </w:p>
    <w:p>
      <w:pPr>
        <w:spacing w:after="0" w:line="126"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188" w:lineRule="exact"/>
        <w:rPr>
          <w:sz w:val="20"/>
          <w:szCs w:val="20"/>
          <w:color w:val="auto"/>
        </w:rPr>
      </w:pPr>
    </w:p>
    <w:p>
      <w:pPr>
        <w:ind w:left="1260" w:right="559"/>
        <w:spacing w:after="0" w:line="322" w:lineRule="auto"/>
        <w:rPr>
          <w:sz w:val="20"/>
          <w:szCs w:val="20"/>
          <w:color w:val="auto"/>
        </w:rPr>
      </w:pPr>
      <w:r>
        <w:rPr>
          <w:rFonts w:ascii="Arial" w:cs="Arial" w:eastAsia="Arial" w:hAnsi="Arial"/>
          <w:sz w:val="15"/>
          <w:szCs w:val="15"/>
          <w:b w:val="1"/>
          <w:bCs w:val="1"/>
          <w:i w:val="1"/>
          <w:iCs w:val="1"/>
          <w:color w:val="auto"/>
        </w:rPr>
        <w:t>No market currently exists for our Class A common stock, and an active, liquid trading market for our Class A common stock may not develop, which may cause our Class A common stock to trade at a discount from the initial offering price and make it difficult for you to sell the Class A common stock you purchase.</w:t>
      </w:r>
    </w:p>
    <w:p>
      <w:pPr>
        <w:spacing w:after="0" w:line="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Prior to this offering, there has not been a public market for our Class A common stock. We cannot predict the extent to which investor interest in us will lead to the development of a trading market or how active and liquid that market may become. If an active and liquid trading market does not develop or continue, you may have difficulty selling any of our Class A common stock that you purchase at a price above the price you purchase it or at all. The initial public offering price for the shares was determined by negotiations between us and the underwriters and may not be indicative of prices that will prevail in the open market following this offering. The failure of an active and liquid trading market to develop and continue would likely have a material adverse effect on the value of our Class A common stock. The market price of our Class A common stock may decline below the initial offering price, and you may not be able to sell your shares of our Class A common stock at or above the price you paid in this offering, or at all. An inactive market may also impair our ability to raise capital to continue to fund operations by selling shares and may impair our ability to acquire other companies or technologies by using our shares as consideration.</w:t>
      </w:r>
    </w:p>
    <w:p>
      <w:pPr>
        <w:spacing w:after="0" w:line="183" w:lineRule="exact"/>
        <w:rPr>
          <w:sz w:val="20"/>
          <w:szCs w:val="20"/>
          <w:color w:val="auto"/>
        </w:rPr>
      </w:pPr>
    </w:p>
    <w:p>
      <w:pPr>
        <w:ind w:left="1260" w:right="759"/>
        <w:spacing w:after="0" w:line="320"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provide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6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177" w:lineRule="exact"/>
        <w:rPr>
          <w:sz w:val="20"/>
          <w:szCs w:val="20"/>
          <w:color w:val="auto"/>
        </w:rPr>
      </w:pPr>
    </w:p>
    <w:p>
      <w:pPr>
        <w:ind w:left="1260" w:right="459"/>
        <w:spacing w:after="0" w:line="381"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doctrine of “corporate opportunity” will not apply with respect to any director or stockholder who is not employed by us or our subsidiaries.</w:t>
      </w:r>
    </w:p>
    <w:p>
      <w:pPr>
        <w:spacing w:after="0" w:line="1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Any director or stockholder who is not employed by us or our subsidiaries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17"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As a result, certain of our stockholders, directors, and their respective affiliates, including AES Grid Stability, Siemens Industry, the Blocker Shareholder, and any of our directors nominated by them that is not employed by us or our subsidiaries,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77" w:lineRule="exact"/>
        <w:rPr>
          <w:sz w:val="20"/>
          <w:szCs w:val="20"/>
          <w:color w:val="auto"/>
        </w:rPr>
      </w:pPr>
    </w:p>
    <w:p>
      <w:pPr>
        <w:ind w:left="1260" w:right="679"/>
        <w:spacing w:after="0" w:line="381" w:lineRule="auto"/>
        <w:rPr>
          <w:sz w:val="20"/>
          <w:szCs w:val="20"/>
          <w:color w:val="auto"/>
        </w:rPr>
      </w:pPr>
      <w:r>
        <w:rPr>
          <w:rFonts w:ascii="Arial" w:cs="Arial" w:eastAsia="Arial" w:hAnsi="Arial"/>
          <w:sz w:val="15"/>
          <w:szCs w:val="15"/>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3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1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187" w:lineRule="exact"/>
        <w:rPr>
          <w:sz w:val="20"/>
          <w:szCs w:val="20"/>
          <w:color w:val="auto"/>
        </w:rPr>
      </w:pPr>
    </w:p>
    <w:p>
      <w:pPr>
        <w:ind w:left="1260" w:right="479"/>
        <w:spacing w:after="0" w:line="342" w:lineRule="auto"/>
        <w:rPr>
          <w:sz w:val="20"/>
          <w:szCs w:val="20"/>
          <w:color w:val="auto"/>
        </w:rPr>
      </w:pPr>
      <w:r>
        <w:rPr>
          <w:rFonts w:ascii="Arial" w:cs="Arial" w:eastAsia="Arial" w:hAnsi="Arial"/>
          <w:sz w:val="16"/>
          <w:szCs w:val="16"/>
          <w:b w:val="1"/>
          <w:bCs w:val="1"/>
          <w:i w:val="1"/>
          <w:iCs w:val="1"/>
          <w:color w:val="auto"/>
        </w:rPr>
        <w:t>Future sales, or the perception of future sales, by us or our existing stockholders in the public market following this offering could cause the market price for our Class A common stock to decline.</w:t>
      </w:r>
    </w:p>
    <w:p>
      <w:pPr>
        <w:spacing w:after="0" w:line="56"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color w:val="auto"/>
        </w:rPr>
        <w:t>After this offering, the sale of shares of our Class A common stock in the public market, or the perception that such sales could occur, could harm the prevailing market price of shares of our Class A</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common stock. These sales, or the possibility that these sales may occur, also might make it more difficult for us to sell equity securities in the future at a time and at a price that we deem appropriate.</w:t>
      </w:r>
    </w:p>
    <w:p>
      <w:pPr>
        <w:spacing w:after="0" w:line="9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Upon consummation of the Transactions, we will have outstanding a total of 49,493,275 shares of Class A common stock. Of the outstanding shares, the 31,000,000 shares sold in this offering (or 35,650,000 shares if the underwriters exercise in full their option to purchase additional shares) will be freely tradable without restriction or further registration under the Securities Act, other than any shares held by our affiliates. In addition, the shares of Class A common stock issued to the Blocker Shareholder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w:t>
      </w:r>
    </w:p>
    <w:p>
      <w:pPr>
        <w:spacing w:after="0" w:line="124"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Our directors and executive officers, and substantially all of our stockholders have entered into lock-up agreements with the underwriters prior to the commencement of this offering pursuant to which each of these persons or entities, subject to certain exceptions, for a period of 180 days after the date of this prospectus, may not, without the prior written consent of J.P. Morgan Securities LLC and Morgan Stanley &amp; Co. LLC on behalf of the underwriters, (1) offer, pledge, sell, contract to sell, sell any option or contract to purchase, purchase any option or contract to sell, grant any option, right or warrant to purchase, lend, or otherwise transfer or dispose of, directly or indirectly, any Class A common stock or any securities convertible into or exercisable or exchangeable for Class A common stock; or (2) file any registration statement with the Securities and Exchange Commission relating to the offering of any Class A common stock or any securities convertible into or exercisable or exchangeable for Class A common stock; or</w:t>
      </w:r>
    </w:p>
    <w:p>
      <w:pPr>
        <w:spacing w:after="0" w:line="8" w:lineRule="exact"/>
        <w:rPr>
          <w:sz w:val="20"/>
          <w:szCs w:val="20"/>
          <w:color w:val="auto"/>
        </w:rPr>
      </w:pPr>
    </w:p>
    <w:p>
      <w:pPr>
        <w:ind w:left="1260" w:right="459"/>
        <w:spacing w:after="0" w:line="253" w:lineRule="auto"/>
        <w:tabs>
          <w:tab w:leader="none" w:pos="15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Class A common stock, whether any such transaction described in clauses (1), (2), or (3) is to be settled by delivery of Class A common stock or such other securities, in cash or otherwise. See “Underwriting.”</w:t>
      </w:r>
    </w:p>
    <w:p>
      <w:pPr>
        <w:spacing w:after="0" w:line="125"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addition, we have reserved 12,267,403 shares of Class A common stock for issuance pursuant to equity incentives issued pursuant to the Existing Equity Plan which will convert upon effectiveness of this offering into options and other rights to acquire shares of Class A common stock. Further, we have reserved 2,220,968 shares of Class A common stock for issuance pursuant to phantom units issued pursuant to the Existing Phantom Equity Plan, which will convert into a right to receive cash or equity based upon the value of shares of Class A common stock. Finally, we have reserved 9,500,000 shares of Class A common stock for issuance under the 2021 Plan. Any Class A common stock that we issue under the 2021 Plan or other equity incentive plans that we may adopt in the future would dilute the percentage ownership held by the investors who purchase Class A common stock in this offering.</w:t>
      </w:r>
    </w:p>
    <w:p>
      <w:pPr>
        <w:spacing w:after="0" w:line="115"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0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92"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b w:val="1"/>
          <w:bCs w:val="1"/>
          <w:i w:val="1"/>
          <w:iCs w:val="1"/>
          <w:color w:val="auto"/>
        </w:rPr>
        <w:t>Our stock price may change significantly following the offering, and you may not be able to resell shares of our Class A common stock at or above the price you paid or at all, and you could lose all or part of your investment as a result.</w:t>
      </w:r>
    </w:p>
    <w:p>
      <w:pPr>
        <w:spacing w:after="0" w:line="116"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initial public offering price for the shares was determined by negotiations between us and the underwriters. You may not be able to resell your shares at or above the initial public offering price due to a number of factors included herein, including the following:</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results of operations that vary from the expectations of securities analysts and investors;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03"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technology changes, changes in consumer behavior in our industry;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security breaches related to our systems or those of our affiliates or strategic partners;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market valuations of, or earnings and other announcements by, companies in our industry;</w:t>
      </w:r>
    </w:p>
    <w:p>
      <w:pPr>
        <w:spacing w:after="0" w:line="140" w:lineRule="exact"/>
        <w:rPr>
          <w:rFonts w:ascii="Arial" w:cs="Arial" w:eastAsia="Arial" w:hAnsi="Arial"/>
          <w:sz w:val="16"/>
          <w:szCs w:val="16"/>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energy storage providers;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03"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our competitors or our strategic partners of significant contracts, new products, acquisitions,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energy storage environment;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sales of our Class A common stock or other securities;</w:t>
      </w:r>
    </w:p>
    <w:p>
      <w:pPr>
        <w:spacing w:after="0" w:line="103"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Class A common stock relative to other investment alternatives;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03"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system failures and disruptions, natural disasters, war, acts of terrorism, an outbreak of highly infectious or contagious diseases, such as the COVID-19 pandemic, or responses to these events.</w:t>
      </w:r>
    </w:p>
    <w:p>
      <w:pPr>
        <w:spacing w:after="0" w:line="103"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22" w:lineRule="exact"/>
        <w:rPr>
          <w:sz w:val="20"/>
          <w:szCs w:val="20"/>
          <w:color w:val="auto"/>
        </w:rPr>
      </w:pPr>
    </w:p>
    <w:p>
      <w:pPr>
        <w:jc w:val="both"/>
        <w:ind w:left="1260" w:right="639" w:firstLine="360"/>
        <w:spacing w:after="0" w:line="270"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164"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If you purchase shares of Class A common stock in this offering, you will suffer immediate and substantial dilution of your investment.</w:t>
      </w:r>
    </w:p>
    <w:p>
      <w:pPr>
        <w:spacing w:after="0" w:line="103" w:lineRule="exact"/>
        <w:rPr>
          <w:sz w:val="20"/>
          <w:szCs w:val="20"/>
          <w:color w:val="auto"/>
        </w:rPr>
      </w:pPr>
    </w:p>
    <w:p>
      <w:pPr>
        <w:ind w:left="1260" w:right="659" w:firstLine="360"/>
        <w:spacing w:after="0"/>
        <w:rPr>
          <w:sz w:val="20"/>
          <w:szCs w:val="20"/>
          <w:color w:val="auto"/>
        </w:rPr>
      </w:pPr>
      <w:r>
        <w:rPr>
          <w:rFonts w:ascii="Arial" w:cs="Arial" w:eastAsia="Arial" w:hAnsi="Arial"/>
          <w:sz w:val="18"/>
          <w:szCs w:val="18"/>
          <w:color w:val="auto"/>
        </w:rPr>
        <w:t>The initial public offering price of our Class A common stock is substantially higher than the net tangible book value per share of our Class A common stock. Therefore, if you purchase shares of our Class A common stock in this offering, you will pay a price per share that substantially exceeds our net tangible book value per share after this offering. You will experience immediate dilution of $23.47 per share, representing the difference between our net tangible book value per share after giving effect to this offering</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41" w:lineRule="auto"/>
        <w:rPr>
          <w:sz w:val="20"/>
          <w:szCs w:val="20"/>
          <w:color w:val="auto"/>
        </w:rPr>
      </w:pPr>
      <w:r>
        <w:rPr>
          <w:rFonts w:ascii="Arial" w:cs="Arial" w:eastAsia="Arial" w:hAnsi="Arial"/>
          <w:sz w:val="18"/>
          <w:szCs w:val="18"/>
          <w:color w:val="auto"/>
        </w:rPr>
        <w:t>and the initial public offering price. In addition, investors who purchase Class A common stock from us in this offering will have contributed 79.5% of the aggregate price paid by all purchasers of our outstanding equity but will own only approximately 18.6% of our outstanding equity after this offering. See “Dilution” for more detail, including the calculation of the net tangible book value per share of our Class A common stock.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Existing Shareholders</w:t>
      </w:r>
    </w:p>
    <w:p>
      <w:pPr>
        <w:spacing w:after="0" w:line="229"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Our articles of incorporation limit our Continuing Equity Owners’ and their directors’ and officers’ liability to us or you for breach of fiduciary duty and could also prevent us from benefiting from corporate opportunities that might otherwise have been available to us.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articles of incorporation will provide that, subject to any contractual provision to the contrary, our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Continuing Equity Owners will have no obligation to refrain from:</w:t>
      </w:r>
    </w:p>
    <w:p>
      <w:pPr>
        <w:spacing w:after="0" w:line="88"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engaging in the same or similar business activities or lines of business as we do;</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doing business with any of our clients, customers, vendors or lessors;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employing or otherwise engaging any of our officers or employees;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making investments in any property in which we may make investments.</w:t>
      </w:r>
    </w:p>
    <w:p>
      <w:pPr>
        <w:spacing w:after="0" w:line="144"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Under our articles of incorporation, neither Continuing Equity Owners nor any officer or director of Continuing Equity Owners, except as provided in our articles of incorporation, will be liable to us or to our stockholders for breach of any fiduciary duty by reason of any of these activities.</w:t>
      </w:r>
    </w:p>
    <w:p>
      <w:pPr>
        <w:spacing w:after="0" w:line="11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Any interests or expectancy in corporate opportunities which become known to (i) any of our directors or officers who are also directors, officers, employees or other affiliates of Continuing Equity Owners or their affiliates (except that we and our subsidiaries shall not be deemed affiliates of Continuing Equity Owners or its affiliates for the purposes of the provision), or dual persons, or (ii) our Continuing Equity Owners themselves, and which relate to the business of Fluence or may constitute a corporate opportunity for both our Continuing Equity Owners and us. Generally, neither our Continuing Equity Owners nor our directors or officers who are also dual persons will be liable to us or our stockholders for breach of any fiduciary duty by reason of the fact that any such person pursues or acquires any corporate opportunity for the account of our Continuing Equity Owners or their affiliates, directs, recommends, sells, assigns or otherwise transfers such corporate opportunity to Our Continuing Equity Owners or its affiliates, or does not communicate information regarding such corporate opportunity to us. The corporate opportunity provision may exacerbate conflicts of interest between our Continuing Equity Owners and us because the provision effectively permits one of our directors or officers who also serves as a director, officer, employee or other affiliate of Our Continuing Equity Owners to choose to direct a corporate opportunity to our Continuing Equity Owners instead of us.</w:t>
      </w:r>
    </w:p>
    <w:p>
      <w:pPr>
        <w:spacing w:after="0" w:line="32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Our Continuing Equity Owners will not be restricted from competing with us in the energy storage business, including as a result of acquiring a company that operates an energy storage business. Due to the significant resources of our Continuing Equity Owners, including their intellectual property (all of which our Continuing Equity Owners will retain and certain of which they will license to us under the IP License Agreements), financial resources, name recognition and know-how resulting from the previous management of our business, our Continuing Equity Owners could have a significant competitive advantage over us should it decide to utilize these resources to engage in the type of business we conduct, which may cause our operating results and financial condition to be materially adversely affected.</w:t>
      </w:r>
    </w:p>
    <w:p>
      <w:pPr>
        <w:spacing w:after="0" w:line="181"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b w:val="1"/>
          <w:bCs w:val="1"/>
          <w:i w:val="1"/>
          <w:iCs w:val="1"/>
          <w:color w:val="auto"/>
        </w:rPr>
        <w:t>We are controlled by the Continuing Equity Owners, whose interests may differ from those of our public stockholders.</w:t>
      </w:r>
    </w:p>
    <w:p>
      <w:pPr>
        <w:spacing w:after="0" w:line="9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Immediately following this offering and the application of net proceeds from this offering, the Continuing Equity Owners will control approximately 92.2% of the combined voting power of our common stock through their ownership of both Class A common stock and Class B-1 common stock. The Continuing Equity Owners will, for the foreseeable future, have the ability to substantially influence us through their ownership position over corporate management and affairs. The Continuing Equity Owners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are able to, subject to applicable law, and the voting arrangements described in “Certain Relationships and Related Party Transactions,”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 Continuing Equity Owners may in some circumstances conflict with our interests and the interests of our other stockholders, including you. For example, the Continuing Equity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 Continuing Equity Owners’ tax or other considerations, which may differ from the considerations of us or our other stockholders. See “Certain Relationships and Related Party Transactions— Tax Receivable Agreement.”</w:t>
      </w:r>
    </w:p>
    <w:p>
      <w:pPr>
        <w:spacing w:after="0" w:line="185"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Certain of our officers and directors may have actual or potential conflicts of interest because of their positions with our Continuing Equity Owners.</w:t>
      </w:r>
    </w:p>
    <w:p>
      <w:pPr>
        <w:spacing w:after="0" w:line="9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Following this offering, Julian Nebreda, Lisa Krueger, Barbara Humpton, Emma Falck, Axel Meier, Chris Shelton and Simon Smith will serve on our board of directors and will retain their positions with AES, Siemens, or QIA, as applicable. These individuals’ holdings in and compensation from the Continuing Equity Owners may be significant for some of these persons. Their positions at AES, Siemens, or QIA, their compensation from AES, Siemens or QIA and the ownership of any equity or equity awards in AES, Siemens, or QIA, as applicable, may create the appearance of conflicts of interest when these individuals are faced with decisions that could have different implications for our Continuing Equity Owners than the decisions have for us.</w:t>
      </w:r>
    </w:p>
    <w:p>
      <w:pPr>
        <w:spacing w:after="0" w:line="194" w:lineRule="exact"/>
        <w:rPr>
          <w:sz w:val="20"/>
          <w:szCs w:val="20"/>
          <w:color w:val="auto"/>
        </w:rPr>
      </w:pPr>
    </w:p>
    <w:p>
      <w:pPr>
        <w:ind w:left="1260" w:right="399"/>
        <w:spacing w:after="0" w:line="261" w:lineRule="auto"/>
        <w:rPr>
          <w:sz w:val="20"/>
          <w:szCs w:val="20"/>
          <w:color w:val="auto"/>
        </w:rPr>
      </w:pPr>
      <w:r>
        <w:rPr>
          <w:rFonts w:ascii="Arial" w:cs="Arial" w:eastAsia="Arial" w:hAnsi="Arial"/>
          <w:sz w:val="18"/>
          <w:szCs w:val="18"/>
          <w:b w:val="1"/>
          <w:bCs w:val="1"/>
          <w:i w:val="1"/>
          <w:iCs w:val="1"/>
          <w:color w:val="auto"/>
        </w:rPr>
        <w:t>We rely on our access to our Founders’ brands and reputation, some of our Founders’ relationships, and the brands and reputations of unaffiliated third parties.</w:t>
      </w:r>
    </w:p>
    <w:p>
      <w:pPr>
        <w:spacing w:after="0" w:line="103"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We believe the association with our Founders has contributed to our building relationships with our customers due to their recognized brands and products, as well as resources such as their intellectual property and access to third parties’ intellectual property. Any perceived loss of our Founders’ scale, capital base and financial strength as a result of this offering, or any actual loss in the future, may prompt business partners to reprice, modify or terminate their relationships with us. In addition, our Founders’ reduction of their ownership of our company may cause some of our existing agreements and licenses to be terminated. We cannot predict with certainty the effect that this offering will have on our business.</w:t>
      </w:r>
    </w:p>
    <w:p>
      <w:pPr>
        <w:spacing w:after="0" w:line="177"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Third parties may seek to hold us responsible for liabilities of our Founders, which could result in a decrease in our income.</w:t>
      </w:r>
    </w:p>
    <w:p>
      <w:pPr>
        <w:spacing w:after="0" w:line="103"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Third parties may seek to hold us responsible for our Founders’ liabilities. If those liabilities are significant and we are ultimately held liable for them, we cannot assure that we will be able to recover the full amount of our losses from our Founders.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required to pay additional taxes as a result of partnership tax audit rules.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may be required to pay additional taxes as a result of partnership audit rules under U.S. federal and other applicable income tax law. The Bipartisan Budget Act of 2015 changed the rules applicable to U.S. federal income tax audits of partnerships, including entities such as Fluence Energy, LLC. Under these rules (which generally are effective for taxable years beginning after December 31, 2017), subject to certain exceptions, audit adjustments to items of income, gain, loss, deduction, or credit of an entity (and any holder’s share thereof) are determined, and taxes, interest, and penalties attributable thereto, are assessed and collected, at the partnership level. Although there is uncertainty about how these rules will continue to be implemented, it is possible that they could result in Fluence Energy, LLC (or any of its subsidiaries that are</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or have been treated as partnerships for U.S. federal income tax purposes) being required to pay additional taxes, interest, and penalties as a result of an audit adjustment, and we, as an owner of Fluence Energy, LLC (or as an indirect owner of such other entities), could be required to indirectly bear the economic burden of those taxes, interest, and penalties even if they relate to periods prior to this offering and even though we may not otherwise have been required to pay additional corporate-level taxes as a result of the related audit adjustment.</w:t>
      </w:r>
    </w:p>
    <w:p>
      <w:pPr>
        <w:spacing w:after="0" w:line="192"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b w:val="1"/>
          <w:bCs w:val="1"/>
          <w:i w:val="1"/>
          <w:iCs w:val="1"/>
          <w:color w:val="auto"/>
        </w:rPr>
        <w:t>We may incur certain tax liabilities attributable to the Blocker Company as a result of the transactions contemplated to occur in connection with this offering.</w:t>
      </w:r>
    </w:p>
    <w:p>
      <w:pPr>
        <w:spacing w:after="0" w:line="8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connection with the Transactions and pursuant to the Blocker Mergers, the Blocker Company will merge with and into us. See “Our Organizational Structure.” As the successor to the Blocker Company, we will generally succeed to and be responsible for any outstanding or historical liabilities, including tax liabilities, of the Blocker Company, including any liabilities that might be incurred as a result of the Blocker Mergers. Any such liabilities for which we are responsible could have an adverse effect on our liquidity and financial condition.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not achieve some or all of the anticipated benefits of being a standalone public company.</w:t>
      </w:r>
    </w:p>
    <w:p>
      <w:pPr>
        <w:spacing w:after="0" w:line="169"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We may not be able to achieve all of the anticipated strategic and financial benefits expected as a result of being a standalone public company, or such benefits may be delayed or not occur at all. These anticipated benefits include the following:</w:t>
      </w:r>
    </w:p>
    <w:p>
      <w:pPr>
        <w:spacing w:after="0" w:line="76" w:lineRule="exact"/>
        <w:rPr>
          <w:sz w:val="20"/>
          <w:szCs w:val="20"/>
          <w:color w:val="auto"/>
        </w:rPr>
      </w:pPr>
    </w:p>
    <w:p>
      <w:pPr>
        <w:ind w:left="1800" w:right="5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allowing investors to evaluate the distinct merits, performance and future prospects of our business, independent of our Founders’ other businesses;</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strategic and operational flexibility and increasing management focus as we continue to implement our strategic plan and allowing us to respond more effectively to the competitive environment for our business;</w:t>
      </w:r>
    </w:p>
    <w:p>
      <w:pPr>
        <w:spacing w:after="0" w:line="75"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allowing us to adopt a capital structure better suited to our financial profile and business needs, without competing for capital with our Founders’ other businesses;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creating an independent equity structure that will facilitate our ability to effect future acquisitions utilizing our capital stock; and</w:t>
      </w:r>
    </w:p>
    <w:p>
      <w:pPr>
        <w:spacing w:after="0" w:line="62" w:lineRule="exact"/>
        <w:rPr>
          <w:rFonts w:ascii="Arial" w:cs="Arial" w:eastAsia="Arial" w:hAnsi="Arial"/>
          <w:sz w:val="18"/>
          <w:szCs w:val="18"/>
          <w:color w:val="auto"/>
        </w:rPr>
      </w:pPr>
    </w:p>
    <w:p>
      <w:pPr>
        <w:ind w:left="1800" w:right="619" w:hanging="180"/>
        <w:spacing w:after="0" w:line="259"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facilitating incentive compensation arrangements for employees more directly tied to the performance of our business, and enhancing employee hiring and retention by, among other things, improving the alignment of management and employee incentives with performance and growth objectives of our business.</w:t>
      </w:r>
    </w:p>
    <w:p>
      <w:pPr>
        <w:spacing w:after="0" w:line="119"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We may not achieve the anticipated benefits of being a standalone public company for a variety of reasons, and it could adversely affect our operating results and financial condition.</w:t>
      </w:r>
    </w:p>
    <w:p>
      <w:pPr>
        <w:spacing w:after="0" w:line="170" w:lineRule="exact"/>
        <w:rPr>
          <w:sz w:val="20"/>
          <w:szCs w:val="20"/>
          <w:color w:val="auto"/>
        </w:rPr>
      </w:pPr>
    </w:p>
    <w:p>
      <w:pPr>
        <w:ind w:left="1260" w:right="539"/>
        <w:spacing w:after="0" w:line="342" w:lineRule="auto"/>
        <w:rPr>
          <w:sz w:val="20"/>
          <w:szCs w:val="20"/>
          <w:color w:val="auto"/>
        </w:rPr>
      </w:pPr>
      <w:r>
        <w:rPr>
          <w:rFonts w:ascii="Arial" w:cs="Arial" w:eastAsia="Arial" w:hAnsi="Arial"/>
          <w:sz w:val="16"/>
          <w:szCs w:val="16"/>
          <w:b w:val="1"/>
          <w:bCs w:val="1"/>
          <w:i w:val="1"/>
          <w:iCs w:val="1"/>
          <w:color w:val="auto"/>
        </w:rPr>
        <w:t>The services that we receive from our Founders may not be sufficient for us to operate our business, and we would likely incur significant incremental costs if we lost access to our Founders’ services.</w:t>
      </w:r>
    </w:p>
    <w:p>
      <w:pPr>
        <w:spacing w:after="0" w:line="43"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Because we have not operated as an independent company, we have obtained, and will need to continue to obtain, services from our Founders relating to many important corporate functions including the support we receive from AES relating to clean energy project development and the access Siemens provides to its global sales channels, among various others. We will pay our Founders mutually agreed-upon fees for these services, which will be based on their costs of providing the services.</w:t>
      </w:r>
    </w:p>
    <w:p>
      <w:pPr>
        <w:spacing w:after="0" w:line="109"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If we lost access to the services provided to us by certain of our Founders, we would need to replicate or replace certain functions, systems, and infrastructure. We may also need to make investments or hire additional employees to operate without the same access to our Founders’ existing operational infrastructure and wide-ranging support. These initiatives may be costly to implement. Due to the scope and complexity of the underlying projects relative to these efforts, the amount of total costs could be materially higher than our estimate, and the timing of the incurrence of these costs could be subject to change.</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may not be able to replace these services or enter into appropriate third- party agreements on terms and conditions, including cost, comparable to those that we have received in the past and will continue to receive from our Founders. Additionally, if the agreements pursuant to which such services are provided are terminated, we may be unable to sustain the services at the same levels or obtain the same benefits as when we were receiving such services and benefits from our Founders. If we have to operate these functions separately, if we do not have our own adequate systems and business functions in place or if we are unable to obtain them from other providers, we may not be able to operate our business effectively or at comparable costs, and our profitability may decline. In addition, we have historically received informal support from certain of our Founders. The level of this informal support could diminish or be eliminated following this offering.</w:t>
      </w:r>
    </w:p>
    <w:p>
      <w:pPr>
        <w:spacing w:after="0" w:line="107"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While we are controlled by our Continuing Equity Owners, we may not have the leverage to negotiate amendments to our agreements with our Founders, if required, on terms as favorable to us as those we would negotiate with an unaffiliated third party.</w:t>
      </w:r>
    </w:p>
    <w:p>
      <w:pPr>
        <w:spacing w:after="0" w:line="182" w:lineRule="exact"/>
        <w:rPr>
          <w:sz w:val="20"/>
          <w:szCs w:val="20"/>
          <w:color w:val="auto"/>
        </w:rPr>
      </w:pPr>
    </w:p>
    <w:p>
      <w:pPr>
        <w:ind w:left="1260" w:right="1059"/>
        <w:spacing w:after="0" w:line="324" w:lineRule="auto"/>
        <w:rPr>
          <w:sz w:val="20"/>
          <w:szCs w:val="20"/>
          <w:color w:val="auto"/>
        </w:rPr>
      </w:pPr>
      <w:r>
        <w:rPr>
          <w:rFonts w:ascii="Arial" w:cs="Arial" w:eastAsia="Arial" w:hAnsi="Arial"/>
          <w:sz w:val="16"/>
          <w:szCs w:val="16"/>
          <w:b w:val="1"/>
          <w:bCs w:val="1"/>
          <w:i w:val="1"/>
          <w:iCs w:val="1"/>
          <w:color w:val="auto"/>
        </w:rPr>
        <w:t>Our historical financial results are not necessarily representative of the results we have or may achieve as a standalone company and may not be a reliable indicator of our future results.</w:t>
      </w:r>
    </w:p>
    <w:p>
      <w:pPr>
        <w:spacing w:after="0" w:line="57" w:lineRule="exact"/>
        <w:rPr>
          <w:sz w:val="20"/>
          <w:szCs w:val="20"/>
          <w:color w:val="auto"/>
        </w:rPr>
      </w:pPr>
    </w:p>
    <w:p>
      <w:pPr>
        <w:jc w:val="both"/>
        <w:ind w:left="1260" w:right="499" w:firstLine="360"/>
        <w:spacing w:after="0" w:line="270" w:lineRule="auto"/>
        <w:rPr>
          <w:sz w:val="20"/>
          <w:szCs w:val="20"/>
          <w:color w:val="auto"/>
        </w:rPr>
      </w:pPr>
      <w:r>
        <w:rPr>
          <w:rFonts w:ascii="Arial" w:cs="Arial" w:eastAsia="Arial" w:hAnsi="Arial"/>
          <w:sz w:val="17"/>
          <w:szCs w:val="17"/>
          <w:color w:val="auto"/>
        </w:rPr>
        <w:t>Our historical financial results included in this prospectus do not reflect the financial condition, results of operations or cash flows we would have achieved as a standalone company during the periods presented or those we will achieve in the future. This is primarily the result of the following factors:</w:t>
      </w:r>
    </w:p>
    <w:p>
      <w:pPr>
        <w:spacing w:after="0" w:line="56" w:lineRule="exact"/>
        <w:rPr>
          <w:sz w:val="20"/>
          <w:szCs w:val="20"/>
          <w:color w:val="auto"/>
        </w:rPr>
      </w:pPr>
    </w:p>
    <w:p>
      <w:pPr>
        <w:ind w:left="1800" w:right="41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historical financial results reflect charges for the use of certain proprietary and third-party intellectual property licensed or sublicensed from certain of our Founders under a prior intercompany intellectual property license agreement;</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cost of potential future debt and our capital structure will be different from that reflected in our historical financial statements;</w:t>
      </w:r>
    </w:p>
    <w:p>
      <w:pPr>
        <w:spacing w:after="0" w:line="62" w:lineRule="exact"/>
        <w:rPr>
          <w:rFonts w:ascii="Arial" w:cs="Arial" w:eastAsia="Arial" w:hAnsi="Arial"/>
          <w:sz w:val="18"/>
          <w:szCs w:val="18"/>
          <w:color w:val="auto"/>
        </w:rPr>
      </w:pPr>
    </w:p>
    <w:p>
      <w:pPr>
        <w:ind w:left="1800" w:right="679" w:hanging="180"/>
        <w:spacing w:after="0" w:line="30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will incur additional ongoing costs as a result of this offering, including costs related to public company reporting, investor relations, and compliance with the Sarbanes-Oxley Act; and</w:t>
      </w:r>
    </w:p>
    <w:p>
      <w:pPr>
        <w:spacing w:after="0" w:line="38" w:lineRule="exact"/>
        <w:rPr>
          <w:rFonts w:ascii="Arial" w:cs="Arial" w:eastAsia="Arial" w:hAnsi="Arial"/>
          <w:sz w:val="17"/>
          <w:szCs w:val="17"/>
          <w:color w:val="auto"/>
        </w:rPr>
      </w:pPr>
    </w:p>
    <w:p>
      <w:pPr>
        <w:ind w:left="1800" w:right="61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offering may have a material effect on our relationship with our players and our other business relationships, including supplier relationships.</w:t>
      </w:r>
    </w:p>
    <w:p>
      <w:pPr>
        <w:spacing w:after="0" w:line="103"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Our financial condition and future results of operations could be materially different from amounts reflected in our historical financial statements included elsewhere in this prospectus, so it may be difficult for investors to compare our future results to historical results or to evaluate our relative performance or trends in our business.</w:t>
      </w:r>
    </w:p>
    <w:p>
      <w:pPr>
        <w:spacing w:after="0" w:line="107"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Similarly, the pro forma financial information included in this prospectus includes adjustments based upon available information we believe to be reasonable. However, the assumptions may change and actual results may differ. In addition, we have not made pro forma adjustments to reflect changes that will occur in our cost structure, funding, and operations as a result of our transition to becoming a public company, including any changes that may occur in our employee base, potential increased costs associated with reduced economies of scale and increased costs associated with being a publicly traded, standalone company.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ind w:left="1260" w:right="639"/>
        <w:spacing w:after="0" w:line="262" w:lineRule="auto"/>
        <w:rPr>
          <w:sz w:val="20"/>
          <w:szCs w:val="20"/>
          <w:color w:val="auto"/>
        </w:rPr>
      </w:pPr>
      <w:r>
        <w:rPr>
          <w:rFonts w:ascii="Arial" w:cs="Arial" w:eastAsia="Arial" w:hAnsi="Arial"/>
          <w:sz w:val="17"/>
          <w:szCs w:val="17"/>
          <w:b w:val="1"/>
          <w:bCs w:val="1"/>
          <w:i w:val="1"/>
          <w:iCs w:val="1"/>
          <w:color w:val="auto"/>
        </w:rPr>
        <w:t>Our principal asset after the completion of this offering will be our interest in Fluence Energy, LLC, and, as a result, we will depend on distributions from Fluence Energy, LLC to pay our taxes and expenses, including payments under the Tax Receivable Agreement. Fluence Energy, LLC’s ability to make such distributions may be subject to various limitations and restrictions.</w:t>
      </w:r>
    </w:p>
    <w:p>
      <w:pPr>
        <w:spacing w:after="0" w:line="10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Fluence Energy, LLC and its subsidiaries and distributions we receive from Fluence Energy, LLC. There can be no assurance that Fluence Energy, LLC and its subsidiaries will generate sufficient cash flow to</w:t>
      </w:r>
    </w:p>
    <w:p>
      <w:pPr>
        <w:sectPr>
          <w:pgSz w:w="11900" w:h="16838" w:orient="portrait"/>
          <w:cols w:equalWidth="0" w:num="1">
            <w:col w:w="9879"/>
          </w:cols>
          <w:pgMar w:left="580" w:top="132"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distribute funds to us or that applicable state law and contractual restrictions, including negative covenants in our debt instruments, will permit such distributions. Although Fluence Energy, LLC is not currently subject to any debt instruments or other agreements that would restrict its ability to make distributions to us, our future debt agreements, including our Revolver, may restrict the ability of our subsidiaries to pay dividends to Fluence Energy, LLC.</w:t>
      </w:r>
    </w:p>
    <w:p>
      <w:pPr>
        <w:spacing w:after="0" w:line="107"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Fluence Energy, LLC will continue to be treated as a partnership for U.S. federal income tax purposes and, as such, generally will not be subject to any entity-level U.S. federal income tax. Instead, any taxable income of Fluence Energy, LLC will be allocated to holders of LLC Interests, including us. Accordingly, we will incur income taxes on our allocable share of any net taxable income of Fluence Energy, LLC. Following this offering, we expect to use distributions from Fluence Energy, LLC to fund any payments that we will be required to make under the Tax Receivable Agreement. Under the terms of the Fluence Energy LLC Agreement, Fluence Energy, LLC will be obligated, subject to various limitations and restrictions, including with respect to our debt agreements, to make tax distributions to holders of LLC Interests, including us, although tax distributions may not be paid in whole or in part in certain circumstances, including if Fluence Energy, LLC does not have available cash to make such distributions. In addition to tax expenses, we will also incur expenses related to our operations, including payments under the Tax Receivable Agreement, which we expect could be significant. See “Certain Relationships and Related Party Transactions—Tax Receivable Agreement.” We intend, as its managing member, to cause Fluence Energy, LLC to make cash distributions to the holders of LLC Interests in an amount sufficient to (1) fund all or part of their tax obligations in respect of taxable income allocated to them and (2) cover our operating expenses, including payments under the Tax Receivable Agreement. However, Fluence Energy, LLC’s ability to make such distributions may be subject to various limitations and restrictions, such as restrictions on distributions that would either violate any contract or agreement to which Fluence Energy, LLC is then a party, including debt agreements, or any applicable law, or that would have the effect of rendering Fluence Energy,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Party Transactions—Tax Receivable Agreement” and “Certain Relationships and Related Party Transactions—Fluence Energy LLC Agreement.” In addition, if Fluence Energy, LLC does not have sufficient funds to make distributions, our ability to declare and pay cash dividends will also be restricted or impaired. See “—Risks related to the offering and ownership of our Class A common stock” and “Dividend Policy.”</w:t>
      </w:r>
    </w:p>
    <w:p>
      <w:pPr>
        <w:spacing w:after="0" w:line="34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As a result of (1) potential differences in the amount of net taxable income allocable to us and to Fluence Energy, LLC’s other equityholders, (2) the lower tax rate applicable to corporations as opposed to individuals, and (3) certain tax benefits that we anticipate from (a) future redemptions or exchanges of LLC Interests from the Founders, (b) payments under the Tax Receivable Agreement and (c) certain other transactions, tax distributions to us may be in amounts that exceed our tax liabilities. Our board of directors will determine the appropriate uses for any excess cash so accumulated, which may include, among other uses, the payment of obligations under the Tax Receivable Agreement. We will have no obligation to distribute such cash (or other available cash) to our stockholders. No adjustments to the redemption or exchange ratio or price for LLC Interests and corresponding shares of Class B-1 or Class B-2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Fluence Energy, LLC or its subsidiaries, which may result in shares of our Class A common stock increasing in value relative to the value of LLC Interests. The holders of LLC Interests may benefit from any value attributable to such cash balances or loan receivables if they acquire shares of Class A common stock in exchange for their LLC Interests or otherwise exercise their rights to redeem or exchange their LLC Interests, notwithstanding that such holders may have participated previously as holders of LLC Interests in distributions by Fluence Energy, LLC that resulted in the excess cash balances.</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381" w:lineRule="auto"/>
        <w:rPr>
          <w:sz w:val="20"/>
          <w:szCs w:val="20"/>
          <w:color w:val="auto"/>
        </w:rPr>
      </w:pPr>
      <w:r>
        <w:rPr>
          <w:rFonts w:ascii="Arial" w:cs="Arial" w:eastAsia="Arial" w:hAnsi="Arial"/>
          <w:sz w:val="15"/>
          <w:szCs w:val="15"/>
          <w:b w:val="1"/>
          <w:bCs w:val="1"/>
          <w:i w:val="1"/>
          <w:iCs w:val="1"/>
          <w:color w:val="auto"/>
        </w:rPr>
        <w:t>The Tax Receivable Agreement with the Founders requires us to make cash payments to them in respect of certain tax benefits to which we may become entitled, and we expect that such payments will be substantial.</w:t>
      </w:r>
    </w:p>
    <w:p>
      <w:pPr>
        <w:spacing w:after="0" w:line="19"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In connection with the consummation of this offering, we will enter into a Tax Receivable Agreement with Fluence Energy, LLC and the Founders. Under the Tax Receivable Agreement, we will be required to make cash payments to such Founders equal to 85% of the tax benefits, if any, that we actually realize, or in certain circumstances are deemed to realize, as a result of (1) the increases in our share of the tax basis of assets of Fluence Energy, LLC and its subsidiaries resulting from any future redemptions or exchanges</w:t>
      </w:r>
    </w:p>
    <w:p>
      <w:pPr>
        <w:spacing w:after="0" w:line="3" w:lineRule="exact"/>
        <w:rPr>
          <w:sz w:val="20"/>
          <w:szCs w:val="20"/>
          <w:color w:val="auto"/>
        </w:rPr>
      </w:pPr>
    </w:p>
    <w:p>
      <w:pPr>
        <w:ind w:left="1260" w:right="419"/>
        <w:spacing w:after="0" w:line="266" w:lineRule="auto"/>
        <w:rPr>
          <w:sz w:val="20"/>
          <w:szCs w:val="20"/>
          <w:color w:val="auto"/>
        </w:rPr>
      </w:pPr>
      <w:r>
        <w:rPr>
          <w:rFonts w:ascii="Arial" w:cs="Arial" w:eastAsia="Arial" w:hAnsi="Arial"/>
          <w:sz w:val="17"/>
          <w:szCs w:val="17"/>
          <w:color w:val="auto"/>
        </w:rPr>
        <w:t>of LLC Interests from the Founders as described under “Certain Relationships and Related Party Transactions—Fluence Energy LLC Agreement” and certain distributions (or deemed distributions) by Fluence Energy, LLC; and (2) certain other tax benefits arising from payments under the Tax Receivable Agreement. We anticipate funding ordinary course payments under the Tax Receivable Agreement from cash flow from operations of our subsidiaries, available cash or available borrowings under any future debt agreements. We expect that the amount of the cash payments we will be required to make under the Tax Receivable Agreement will be substantial. Based on certain assumptions described in “Unaudited Pro Forma Consolidated Financial Information”, we estimate our Founders will be entitled to receive payments under the Tax Receivable Agreement (assuming all Founders exchange their LLC Interests for shares of Class A common stock on the date of this offering) totaling approximately $681.3 million. Any payments made by us to the Founders under the Tax Receivable Agreement will not be available for reinvestment in our business and will generally reduce the amount of overall cash flow that might have otherwise been available to us and have a substantial negative impact on our liquidity. To the extent that we are unable to make timely payments under the Tax Receivable Agreement for any reason, the unpaid amounts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The payments under the Tax Receivable Agreement are not conditioned upon continued ownership of us by the redeeming or exchanging Founders.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The actual increase in tax basis, and the actual utilization of any resulting tax benefits, as well as the amount and timing of any payments under the Tax Receivable Agreement, will vary depending upon a number of factors: including the timing of redemptions of exchanges by the Founders; the price of shares of our Class A common stock at the time of the exchange; the extent to which such redemptions or exchanges are taxable; the amount of gain recognized by such Founders;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83" w:lineRule="exact"/>
        <w:rPr>
          <w:sz w:val="20"/>
          <w:szCs w:val="20"/>
          <w:color w:val="auto"/>
        </w:rPr>
      </w:pPr>
    </w:p>
    <w:p>
      <w:pPr>
        <w:ind w:left="1260" w:right="499"/>
        <w:spacing w:after="0" w:line="465" w:lineRule="auto"/>
        <w:rPr>
          <w:sz w:val="20"/>
          <w:szCs w:val="20"/>
          <w:color w:val="auto"/>
        </w:rPr>
      </w:pPr>
      <w:r>
        <w:rPr>
          <w:rFonts w:ascii="Arial" w:cs="Arial" w:eastAsia="Arial" w:hAnsi="Arial"/>
          <w:sz w:val="13"/>
          <w:szCs w:val="13"/>
          <w:b w:val="1"/>
          <w:bCs w:val="1"/>
          <w:i w:val="1"/>
          <w:iCs w:val="1"/>
          <w:color w:val="auto"/>
        </w:rPr>
        <w:t>Our organizational structure, including the Tax Receivable Agreement, confers certain benefits upon the Founders that will not benefit holders of our Class A common stock to the same extent that it will benefit the Founders.</w:t>
      </w:r>
    </w:p>
    <w:p>
      <w:pPr>
        <w:spacing w:after="0" w:line="1"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Founders that will not benefit the holders of our Class A common stock to the same extent that it will benefit such Founders. We will enter into the Tax Receivable Agreement with Fluence Energy, LLC and certain Founders in connection with the completion of this offering and the Transactions, which will provide for the payment by us to such Founders of 85% of the amount of tax benefits, if any, that we actually realize, or in some circumstances are deemed to realize, as a result of (1) the increases in our share of the tax basis of assets of Fluence Energy, LLC and its subsidiaries resulting from any future redemptions or exchanges of LLC Interests from the Founders as described under “Certain Relationships and Related Party Transactions—Fluence Energy LLC Agreement” and certain distributions (or deemed distributions) by Fluence Energy, LLC and (2) certain other tax benefits arising from payments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the Class A common stock.</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362" w:lineRule="auto"/>
        <w:rPr>
          <w:sz w:val="20"/>
          <w:szCs w:val="20"/>
          <w:color w:val="auto"/>
        </w:rPr>
      </w:pPr>
      <w:r>
        <w:rPr>
          <w:rFonts w:ascii="Arial" w:cs="Arial" w:eastAsia="Arial" w:hAnsi="Arial"/>
          <w:sz w:val="15"/>
          <w:szCs w:val="15"/>
          <w:b w:val="1"/>
          <w:bCs w:val="1"/>
          <w:i w:val="1"/>
          <w:iCs w:val="1"/>
          <w:color w:val="auto"/>
        </w:rPr>
        <w:t>In certain cases, payments under the Tax Receivable Agreement may be accelerated or significantly exceed any actual benefits we realize in respect of the tax attributes subject to the Tax Receivable Agreement.</w:t>
      </w:r>
    </w:p>
    <w:p>
      <w:pPr>
        <w:spacing w:after="0" w:line="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Tax Receivable Agreement will provide that if (1) we materially breach any of our material obligations under the Tax Receivable Agreement and the Continuing Equity Owners elect an early termination of the Tax Receivable Agreement, (2) certain mergers, asset sales, other forms of business combinations or other changes of control were to occur after the consummation of this offering and the Continuing Equity Owners elect an early termination of the Tax Receivable Agreement, or (3) we elect, at any time,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16"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Founders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85"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b w:val="1"/>
          <w:bCs w:val="1"/>
          <w:i w:val="1"/>
          <w:iCs w:val="1"/>
          <w:color w:val="auto"/>
        </w:rPr>
        <w:t>We will not be reimbursed for any payments made under the Tax Receivable Agreement in the event that any tax benefits are disallowed.</w:t>
      </w:r>
    </w:p>
    <w:p>
      <w:pPr>
        <w:spacing w:after="0" w:line="103"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audit of us or our subsidiaries is reasonably expected to adversely affect the rights and obligations of the Continuing Equity Owners under the Tax Receivable Agreement in a material respect, then we will notify the Continuing Equity Owners of such audit, keep them reasonably informed with respect thereto, provide them with a reasonable opportunity to provide information and other input concerning the audit or the relevant portion thereof and consider such information and other input in good faith. The interests of such Founders in any such challenge may differ from or conflict with our interests and your interests, and the Founders may exercise their rights relating to any such challenge in a manner adverse to our interests and your interests. We will not be reimbursed for any cash payments previously made under the Tax Receivable Agreement in the event that any tax benefits initially claimed by us and for which payment has been made are subsequently challenged by a taxing authority and are ultimately disallowed. Instead, any excess cash payments made by us will be netted against any future cash payments we might otherwise be required to make to the applicable Founder under the terms of the Tax Receivable Agreement. However, we might not determine that we have effectively made an excess cash payment to a Founder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under the Tax Receivable Agreement significantly in excess of any actual cash tax savings that we realize in respect of the tax attributes that are the subject of the Tax Receivable Agreement.</w:t>
      </w:r>
    </w:p>
    <w:p>
      <w:pPr>
        <w:spacing w:after="0" w:line="170" w:lineRule="exact"/>
        <w:rPr>
          <w:sz w:val="20"/>
          <w:szCs w:val="20"/>
          <w:color w:val="auto"/>
        </w:rPr>
      </w:pPr>
    </w:p>
    <w:p>
      <w:pPr>
        <w:ind w:left="1260" w:right="419"/>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6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76"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5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5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tax laws, tax treaties, regulations or interpretations thereof; or</w:t>
      </w:r>
    </w:p>
    <w:p>
      <w:pPr>
        <w:spacing w:after="0" w:line="157" w:lineRule="exact"/>
        <w:rPr>
          <w:rFonts w:ascii="Arial" w:cs="Arial" w:eastAsia="Arial" w:hAnsi="Arial"/>
          <w:sz w:val="18"/>
          <w:szCs w:val="18"/>
          <w:color w:val="auto"/>
        </w:rPr>
      </w:pPr>
    </w:p>
    <w:p>
      <w:pPr>
        <w:ind w:left="1800" w:right="67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65"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184" w:lineRule="exact"/>
        <w:rPr>
          <w:sz w:val="20"/>
          <w:szCs w:val="20"/>
          <w:color w:val="auto"/>
        </w:rPr>
      </w:pPr>
    </w:p>
    <w:p>
      <w:pPr>
        <w:ind w:left="1260" w:right="659"/>
        <w:spacing w:after="0" w:line="259"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or the 1940 Act, including as a result of our ownership of Fluence Energy, LLC, applicable restrictions could make it impractical for us to continue our business as contemplated and could have a material adverse effect on our business.</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and Fluence Energy, LLC intend to conduct our operations so that we will not be deemed an investment company. As the sole managing member of Fluence Energy, LLC, we will control and operate Fluence Energy, LLC. On that basis, we believe that our interest in Fluence Energy, LLC is not an “investment security” as that term is used in the 1940 Act. However, if we were to cease participation in the management of Fluence Energy, LLC, or if Fluence Energy, LLC itself becomes an investment company, our interest in Fluence Energy, LLC could be deemed an “investment security” for purposes of the 1940 Act.</w:t>
      </w:r>
    </w:p>
    <w:p>
      <w:pPr>
        <w:spacing w:after="0" w:line="114"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We and Fluence Energy,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Prior to this offering, we operated on a private basis. After this offering, we will be subject to the reporting requirements of the Exchange Act, the Sarbanes-Oxley Act, the Dodd-Frank Act, the listing requirements of the exchange on which our securities are listed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187" w:lineRule="exact"/>
        <w:rPr>
          <w:sz w:val="20"/>
          <w:szCs w:val="20"/>
          <w:color w:val="auto"/>
        </w:rPr>
      </w:pPr>
    </w:p>
    <w:p>
      <w:pPr>
        <w:ind w:left="1260" w:right="439"/>
        <w:spacing w:after="0" w:line="295" w:lineRule="auto"/>
        <w:rPr>
          <w:sz w:val="20"/>
          <w:szCs w:val="20"/>
          <w:color w:val="auto"/>
        </w:rPr>
      </w:pPr>
      <w:r>
        <w:rPr>
          <w:rFonts w:ascii="Arial" w:cs="Arial" w:eastAsia="Arial" w:hAnsi="Arial"/>
          <w:sz w:val="15"/>
          <w:szCs w:val="15"/>
          <w:b w:val="1"/>
          <w:bCs w:val="1"/>
          <w:i w:val="1"/>
          <w:iCs w:val="1"/>
          <w:color w:val="auto"/>
        </w:rPr>
        <w:t>As a result of becoming a public company following our IPO, we will be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 over financial reporting for the foreseeable future.</w:t>
      </w:r>
    </w:p>
    <w:p>
      <w:pPr>
        <w:spacing w:after="0" w:line="8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We will become a public company following our IPO, and we will be required by Section 404 of the Sarbanes-Oxley Act to furnish a report by management on, among other things, the effectiveness of our internal control over financial reporting as of the year ending September 30, 2022. The process of designing and implementing internal control over financial reporting required to comply with this requirement will be time-consuming, costly, and complicated. If during the evaluation and testing process we identify one or more other material weaknesses in our internal control over financial reporting or determine that existing material weaknesses have not been remediated, our management will be unable to assert that our internal control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Even if our management concludes that our internal control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 over financial reporting pursuant to Section 404 of the Sarbanes-Oxley Act until the later of the filing of our second annual report following the completion of our IPO or the date we are no longer an “emerging growth company,” as defined in the JOBS Act. Accordingly, you will not be able to depend on any attestation concerning our internal control over financial reporting from our independent registered public accountants for the foreseeable future.</w:t>
      </w:r>
    </w:p>
    <w:p>
      <w:pPr>
        <w:spacing w:after="0" w:line="115"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During the fiscal year ended September 30, 2020, a material weakness in the internal control over revenue recognition process has been identified. The design and implementation of controls has not been sufficient to adequately interpret ASC 606 in the design of the accounting policy related to in-transit and delivered, but uninstalled equipment. We are in the process of developing a remediation plan which includes, without limitation, i) hiring additional experienced accounting, financial reporting and internal control personnel as we transition to being a public company and are required to comply with Section 404 of the Sarbanes-Oxley Act, ii) implementing controls to enhance our review of significant accounting transactions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and other new technical accounting and financial reporting issues and preparing and reviewing accounting memoranda addressing these issues, and iii) implementing controls to enable an effective and timely review of account analyses and account reconciliations. We have recently hired additional resources, and we are engaging with a third-party consulting firm to assist us with our formal internal control plan and provide staff augmentation of our internal audit function.</w:t>
      </w:r>
    </w:p>
    <w:p>
      <w:pPr>
        <w:spacing w:after="0" w:line="107"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material weaknesses will not be considered remediated until management designs and implements effective controls that operate for a sufficient period of time and management has concluded, through testing, that these controls are effective.</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and our independent registered public accounting firm were not required to, and did not, perform an evaluation of our internal control over financial reporting as of September 30, 2020, in accordance with Section 404(b)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w:t>
      </w:r>
    </w:p>
    <w:p>
      <w:pPr>
        <w:spacing w:after="0" w:line="125"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 See “—We will incur significant costs as a result of operating as a public company.”</w:t>
      </w:r>
    </w:p>
    <w:p>
      <w:pPr>
        <w:spacing w:after="0" w:line="196"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b w:val="1"/>
          <w:bCs w:val="1"/>
          <w:i w:val="1"/>
          <w:iCs w:val="1"/>
          <w:color w:val="auto"/>
        </w:rPr>
        <w:t>Future litigation or administrative proceedings could have a material adverse effect on our business, financial condition, and results of operations.</w:t>
      </w:r>
    </w:p>
    <w:p>
      <w:pPr>
        <w:spacing w:after="0" w:line="103"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We have been and continue to be involved in legal proceedings, administrative proceedings, claims, and other litigation. In addition, since our energy storage product is a new type of product in a nascent market, we have in the past needed and may in the future need to seek the amendment of existing regulations or, in some cases, the creation of new regulations, in order to operate our business in some jurisdictions. Such regulatory processes may require public hearings concerning our business, which could expose us to subsequent litigation. Unfavorable outcomes or developments relating to proceedings to which we are a party or transactions involving our products and services, such as judgments for monetary damages, injunctions, or denial or revocation of permits, could have a material adverse effect on our business, financial condition, and results of operations. In addition, settlement of claims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13"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Forward-looking statements contained in this prospectus include, but are not limited to, the following:</w:t>
      </w:r>
    </w:p>
    <w:p>
      <w:pPr>
        <w:spacing w:after="0" w:line="74"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financial performance, including our ability to achieve or maintain profitability;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execute our business and growth strategy;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develop new offerings and services, including digital applications;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optimize sales channels and market segmentation;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compete with existing and new competitors in existing and new markets and offerings;</w:t>
      </w:r>
    </w:p>
    <w:p>
      <w:pPr>
        <w:spacing w:after="0" w:line="128" w:lineRule="exact"/>
        <w:rPr>
          <w:rFonts w:ascii="Arial" w:cs="Arial" w:eastAsia="Arial" w:hAnsi="Arial"/>
          <w:sz w:val="17"/>
          <w:szCs w:val="17"/>
          <w:color w:val="auto"/>
        </w:rPr>
      </w:pPr>
    </w:p>
    <w:p>
      <w:pPr>
        <w:ind w:left="1800" w:right="5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the COVID-19 pandemic on our ground operations at project sites, our manufacturing facilities and our suppliers and vendors;</w:t>
      </w:r>
    </w:p>
    <w:p>
      <w:pPr>
        <w:spacing w:after="0" w:line="48"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customer contracts due to events and incidents relating to storage, delivery, installation, operation and shutdowns of our energy storage products, including events and incidents outside of our control;</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prevent defects, errors, or bugs in hardware or software of our products and technology as well as any product liability or other claims;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our global growth;</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our existing and future markets in which we compete;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concerning our relationships with third parties;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use of proceeds from this offering; and</w:t>
      </w:r>
    </w:p>
    <w:p>
      <w:pPr>
        <w:spacing w:after="0" w:line="117"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significant influence the Continuing Equity Owners will have over us after the Transactions, including control over decisions that require the approval of stockholders.</w:t>
      </w:r>
    </w:p>
    <w:p>
      <w:pPr>
        <w:spacing w:after="0" w:line="10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outcome of the events described in these forward-looking statements is subject to risks, uncertainties, and other factors described in the section titled “Risk Factors” and elsewhere in this prospectus. If one or more events related to such risks or uncertainties materialize, or if our underlying assumptions prove to be incorrect, actual results may differ materially from what we anticipate. Many of the important</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factors that will determine these results are beyond our ability to control or predict. Accordingly, you should not place undue reliance on any such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OUR ORGANIZATIONAL STRUCTURE</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Fluence Energy, Inc., a Delaware corporation, was formed on June 21, 2021 and is the issuer of the Class A common stock offered by this prospectus. Prior to this offering and the Transactions (as defined below), all of our business operations have been conducted through Fluence Energy, LLC and its direct and indirect subsidiaries and the Original LLC Owners are the only owners of Fluence Energy, LLC. We will consummate the Transactions, excluding this offering, prior to the consummation of this offering.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Existing Organization</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Fluence Energy, LLC is treated as a partnership for U.S. federal income tax purposes and, as such is generally not subject to any U.S. federal entity-level income taxes. Taxable income or loss of Fluence Energy, LLC is included in the U.S. federal income tax returns of Fluence Energy, LLC’s members. Prior to the consummation of this offering, the Original LLC Owners were the only members of Fluence Energy, LLC.</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w:t>
      </w:r>
    </w:p>
    <w:p>
      <w:pPr>
        <w:spacing w:after="0" w:line="162"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Prior to the Transactions, we expect there will initially be one holder of common stock of Fluence Energy, Inc. We will consummate the following organizational transactions in connection with this offering:</w:t>
      </w:r>
    </w:p>
    <w:p>
      <w:pPr>
        <w:spacing w:after="0" w:line="38" w:lineRule="exact"/>
        <w:rPr>
          <w:sz w:val="20"/>
          <w:szCs w:val="20"/>
          <w:color w:val="auto"/>
        </w:rPr>
      </w:pPr>
    </w:p>
    <w:p>
      <w:pPr>
        <w:ind w:left="1800" w:right="479" w:hanging="180"/>
        <w:spacing w:after="0" w:line="274"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amend and restate the existing limited liability company agreement of Fluence Energy, LLC, which will become effective prior to the consummation of this offering, to, among other things,</w:t>
      </w:r>
    </w:p>
    <w:p>
      <w:pPr>
        <w:ind w:left="1800" w:right="479"/>
        <w:spacing w:after="0" w:line="255" w:lineRule="auto"/>
        <w:rPr>
          <w:rFonts w:ascii="Arial" w:cs="Arial" w:eastAsia="Arial" w:hAnsi="Arial"/>
          <w:sz w:val="17"/>
          <w:szCs w:val="17"/>
          <w:color w:val="auto"/>
        </w:rPr>
      </w:pPr>
      <w:r>
        <w:rPr>
          <w:rFonts w:ascii="Arial" w:cs="Arial" w:eastAsia="Arial" w:hAnsi="Arial"/>
          <w:sz w:val="18"/>
          <w:szCs w:val="18"/>
          <w:color w:val="auto"/>
        </w:rPr>
        <w:t>(1) recapitalize all existing ownership interests in Fluence Energy, LLC into 135,666,665 LLC Interests and (2) appoint Fluence Energy, Inc. as the sole managing member of Fluence Energy, LLC upon its acquisition of LLC Interests in connection with this offering;</w:t>
      </w:r>
    </w:p>
    <w:p>
      <w:pPr>
        <w:spacing w:after="0" w:line="81" w:lineRule="exact"/>
        <w:rPr>
          <w:rFonts w:ascii="Arial" w:cs="Arial" w:eastAsia="Arial" w:hAnsi="Arial"/>
          <w:sz w:val="17"/>
          <w:szCs w:val="17"/>
          <w:color w:val="auto"/>
        </w:rPr>
      </w:pPr>
    </w:p>
    <w:p>
      <w:pPr>
        <w:ind w:left="1800" w:right="499" w:hanging="180"/>
        <w:spacing w:after="0" w:line="270"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amend and restate Fluence Energy, Inc.’s certificate of incorporation to, among other things, provide (1) for Class A common stock, with each share of our Class A common stock entitling its holder to one vote per share on all matters presented to our stockholders generally, (2) for Class B-1 common stock, with each share of our Class B-1 common stock entitling its holder to five votes per share on all matters presented to our stockholders generally, (3) for Class B-2 common stock, with each share of our Class B-2 common stock entitling its holder to one vote per share on all matters presented to our stockholders generally, and that shares of our Class B-1 and Class B-2 common stock may only be held by the Founders and their respective permitted transferees as described in “Description of Capital Stock—Common Stock—Class B-1 and Class B-2 Common Stock;”</w:t>
      </w:r>
    </w:p>
    <w:p>
      <w:pPr>
        <w:spacing w:after="0" w:line="72" w:lineRule="exact"/>
        <w:rPr>
          <w:rFonts w:ascii="Arial" w:cs="Arial" w:eastAsia="Arial" w:hAnsi="Arial"/>
          <w:sz w:val="17"/>
          <w:szCs w:val="17"/>
          <w:color w:val="auto"/>
        </w:rPr>
      </w:pPr>
    </w:p>
    <w:p>
      <w:pPr>
        <w:ind w:left="1800" w:right="439" w:hanging="180"/>
        <w:spacing w:after="0" w:line="263"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and will issue to the Blocker Shareholder 18,493,275 shares of our Class A common stock as consideration in the Blocker Mergers;</w:t>
      </w:r>
    </w:p>
    <w:p>
      <w:pPr>
        <w:spacing w:after="0" w:line="75"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issue 117,173,390 shares of our Class B-1 common stock to the Founders, which is equal to the number of LLC Interests held by such Founders, for nominal consideration;</w:t>
      </w:r>
    </w:p>
    <w:p>
      <w:pPr>
        <w:spacing w:after="0" w:line="62" w:lineRule="exact"/>
        <w:rPr>
          <w:rFonts w:ascii="Arial" w:cs="Arial" w:eastAsia="Arial" w:hAnsi="Arial"/>
          <w:sz w:val="18"/>
          <w:szCs w:val="18"/>
          <w:color w:val="auto"/>
        </w:rPr>
      </w:pPr>
    </w:p>
    <w:p>
      <w:pPr>
        <w:ind w:left="1800" w:right="579" w:hanging="180"/>
        <w:spacing w:after="0" w:line="273"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issue 31,000,000 shares of our Class A common stock to the purchasers in this offering (or 35,650,000 shares if the underwriters exercise in full their option to purchase additional shares of Class A common stock) in exchange for net proceeds of approximately $812.4 million (or approximately $935.8 million if the underwriters exercise in full their option to purchase additional shares of Class A common stock) based on the initial public offering price of $28.00 per share, less the underwriting discount and estimated offering expenses payable by us;</w:t>
      </w:r>
    </w:p>
    <w:p>
      <w:pPr>
        <w:spacing w:after="0" w:line="69" w:lineRule="exact"/>
        <w:rPr>
          <w:rFonts w:ascii="Arial" w:cs="Arial" w:eastAsia="Arial" w:hAnsi="Arial"/>
          <w:sz w:val="17"/>
          <w:szCs w:val="17"/>
          <w:color w:val="auto"/>
        </w:rPr>
      </w:pPr>
    </w:p>
    <w:p>
      <w:pPr>
        <w:ind w:left="1800" w:right="699" w:hanging="180"/>
        <w:spacing w:after="0" w:line="259"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Fluence Energy, LLC intends to use the net proceeds from the sale of LLC Interests to Fluence Energy, Inc. to repay all outstanding borrowings under our existing Line of Credit and the Promissory Notes, and the remainder for working capital and other general corporate purposes, as described under “Use of Proceeds;” and</w:t>
      </w:r>
    </w:p>
    <w:p>
      <w:pPr>
        <w:spacing w:after="0" w:line="78" w:lineRule="exact"/>
        <w:rPr>
          <w:rFonts w:ascii="Arial" w:cs="Arial" w:eastAsia="Arial" w:hAnsi="Arial"/>
          <w:sz w:val="18"/>
          <w:szCs w:val="18"/>
          <w:color w:val="auto"/>
        </w:rPr>
      </w:pPr>
    </w:p>
    <w:p>
      <w:pPr>
        <w:ind w:left="1800" w:right="579" w:hanging="180"/>
        <w:spacing w:after="0" w:line="275"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Fluence Energy, Inc. and the Continuing Equity Owners will enter into (1) the Stockholders Agreement and (2) the Registration Rights Agreement, and Fluence Energy, Inc., Fluence Energy, LLC and the Founders will enter into the Tax Receivable Agreement. For a description of the terms of the Stockholders Agreement, the Registration Rights Agreement and the Tax Receivable Agreement, see “Certain Relationships and Related Party Transactions.”</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the Transactions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Immediately following the consummation of the Transactions (including this offering):</w:t>
      </w:r>
    </w:p>
    <w:p>
      <w:pPr>
        <w:spacing w:after="0" w:line="131" w:lineRule="exact"/>
        <w:rPr>
          <w:sz w:val="20"/>
          <w:szCs w:val="20"/>
          <w:color w:val="auto"/>
        </w:rPr>
      </w:pPr>
    </w:p>
    <w:p>
      <w:pPr>
        <w:ind w:left="1800" w:right="419" w:hanging="180"/>
        <w:spacing w:after="0" w:line="308"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Fluence Energy, Inc. will be a holding company and its principal asset will consist of LLC Interests it purchases directly from Fluence Energy, LLC and acquires indirectly from the Blocker Shareholder;</w:t>
      </w:r>
    </w:p>
    <w:p>
      <w:pPr>
        <w:spacing w:after="0" w:line="38" w:lineRule="exact"/>
        <w:rPr>
          <w:rFonts w:ascii="Arial" w:cs="Arial" w:eastAsia="Arial" w:hAnsi="Arial"/>
          <w:sz w:val="17"/>
          <w:szCs w:val="17"/>
          <w:color w:val="auto"/>
        </w:rPr>
      </w:pPr>
    </w:p>
    <w:p>
      <w:pPr>
        <w:ind w:left="1800" w:right="47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Fluence Energy, Inc. will be the sole managing member of Fluence Energy, LLC and will control the business and affairs of Fluence Energy, LLC and its direct and indirect subsidiaries;</w:t>
      </w:r>
    </w:p>
    <w:p>
      <w:pPr>
        <w:spacing w:after="0" w:line="62" w:lineRule="exact"/>
        <w:rPr>
          <w:rFonts w:ascii="Arial" w:cs="Arial" w:eastAsia="Arial" w:hAnsi="Arial"/>
          <w:sz w:val="18"/>
          <w:szCs w:val="18"/>
          <w:color w:val="auto"/>
        </w:rPr>
      </w:pPr>
    </w:p>
    <w:p>
      <w:pPr>
        <w:ind w:left="1800" w:right="499" w:hanging="180"/>
        <w:spacing w:after="0" w:line="25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Fluence Energy, Inc. will own, directly or indirectly, 49,493,275 LLC Interests of Fluence Energy, LLC, representing approximately 29.7% of the economic interest in Fluence Energy, LLC (or 54,143,275 LLC Interests, representing approximately 31.6% of the economic interest in Fluence Energy, LLC if the underwriters exercise in full their option to purchase additional shares of Class A common stock);</w:t>
      </w:r>
    </w:p>
    <w:p>
      <w:pPr>
        <w:spacing w:after="0" w:line="79" w:lineRule="exact"/>
        <w:rPr>
          <w:rFonts w:ascii="Arial" w:cs="Arial" w:eastAsia="Arial" w:hAnsi="Arial"/>
          <w:sz w:val="18"/>
          <w:szCs w:val="18"/>
          <w:color w:val="auto"/>
        </w:rPr>
      </w:pPr>
    </w:p>
    <w:p>
      <w:pPr>
        <w:ind w:left="1800" w:right="419" w:hanging="180"/>
        <w:spacing w:after="0" w:line="269"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Founders will own (1) 117,173,390 LLC Interests of Fluence Energy, LLC, representing approximately 70.3% of the economic interest in Fluence Energy, LLC (or 117,173,390 LLC Interests, representing approximately 68.4% of the economic interest in Fluence Energy, LLC if the underwriters exercise in full their option to purchase additional shares of Class A common stock) and</w:t>
      </w:r>
    </w:p>
    <w:p>
      <w:pPr>
        <w:spacing w:after="0" w:line="1" w:lineRule="exact"/>
        <w:rPr>
          <w:rFonts w:ascii="Arial" w:cs="Arial" w:eastAsia="Arial" w:hAnsi="Arial"/>
          <w:sz w:val="17"/>
          <w:szCs w:val="17"/>
          <w:color w:val="auto"/>
        </w:rPr>
      </w:pPr>
    </w:p>
    <w:p>
      <w:pPr>
        <w:ind w:left="1800" w:right="479"/>
        <w:spacing w:after="0" w:line="253" w:lineRule="auto"/>
        <w:rPr>
          <w:rFonts w:ascii="Arial" w:cs="Arial" w:eastAsia="Arial" w:hAnsi="Arial"/>
          <w:sz w:val="17"/>
          <w:szCs w:val="17"/>
          <w:color w:val="auto"/>
        </w:rPr>
      </w:pPr>
      <w:r>
        <w:rPr>
          <w:rFonts w:ascii="Arial" w:cs="Arial" w:eastAsia="Arial" w:hAnsi="Arial"/>
          <w:sz w:val="18"/>
          <w:szCs w:val="18"/>
          <w:color w:val="auto"/>
        </w:rPr>
        <w:t>(2) 117,173,390 shares of Class B-1 common stock of Fluence Energy, Inc., representing approximately 92.2% of the combined voting power of all of Fluence Energy, Inc.’s common stock (or 117,173,390 shares of Class B-1 common stock of Fluence Energy, Inc., representing approximately 91.5% if the underwriters exercise in full their option to purchase additional shares of Class A common stock);</w:t>
      </w:r>
    </w:p>
    <w:p>
      <w:pPr>
        <w:spacing w:after="0" w:line="96" w:lineRule="exact"/>
        <w:rPr>
          <w:rFonts w:ascii="Arial" w:cs="Arial" w:eastAsia="Arial" w:hAnsi="Arial"/>
          <w:sz w:val="17"/>
          <w:szCs w:val="17"/>
          <w:color w:val="auto"/>
        </w:rPr>
      </w:pPr>
    </w:p>
    <w:p>
      <w:pPr>
        <w:ind w:left="1800" w:right="599" w:hanging="180"/>
        <w:spacing w:after="0" w:line="269"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Blocker Shareholder will own (1) 18,493,275 shares of Class A common stock of Fluence Energy, Inc. (or 18,493,275 shares of Class A common stock of Fluence Energy, Inc. if the underwriters exercise in full their option to purchase additional shares of Class A common stock), representing approximately 2.9% of the combined voting power of all of Fluence Energy, Inc.’s common stock and approximately 37.4% of the economic interest in Fluence Energy, Inc. (or approximately 2.9% of the combined voting power and approximately 34.2% of the economic interest if the underwriters exercise in full their option to purchase additional shares of Class A common stock) and (2) directly and indirectly through Fluence Energy, Inc.’s ownership of LLC Interests, approximately 11.1% of the economic interest in Fluence Energy, LLC (or approximately 10.8% of the economic interest in Fluence Energy, LLC if the underwriters exercise in full their option to purchase additional shares of Class A common stock);</w:t>
      </w:r>
    </w:p>
    <w:p>
      <w:pPr>
        <w:spacing w:after="0" w:line="73" w:lineRule="exact"/>
        <w:rPr>
          <w:rFonts w:ascii="Arial" w:cs="Arial" w:eastAsia="Arial" w:hAnsi="Arial"/>
          <w:sz w:val="17"/>
          <w:szCs w:val="17"/>
          <w:color w:val="auto"/>
        </w:rPr>
      </w:pPr>
    </w:p>
    <w:p>
      <w:pPr>
        <w:ind w:left="1800" w:right="419" w:hanging="180"/>
        <w:spacing w:after="0" w:line="253"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purchasers in this offering will own (1) 31,000,000 shares of Class A common stock of Fluence Energy, Inc. (or 35,650,000 shares of Class A common stock of Fluence Energy, Inc. if the underwriters exercise in full their option to purchase additional shares of Class A common stock), representing approximately 4.9% of the combined voting power of all of Fluence Energy, Inc.’s common stock and approximately 62.6% of the economic interest in Fluence Energy, Inc. (or approximately 5.6% of the combined voting power and approximately 65.8% of the economic interest if the underwriters exercise in full their option to purchase additional shares of Class A common stock), and (2) through Fluence Energy, Inc.’s ownership of LLC Interests, indirectly will hold approximately 18.6% of the economic interest in Fluence Energy, LLC (or approximately 20.8% of the economic interest in Fluence Energy, LLC if the underwriters exercise in full their option to purchase additional shares of Class A common stock); and</w:t>
      </w:r>
    </w:p>
    <w:p>
      <w:pPr>
        <w:spacing w:after="0" w:line="83" w:lineRule="exact"/>
        <w:rPr>
          <w:rFonts w:ascii="Arial" w:cs="Arial" w:eastAsia="Arial" w:hAnsi="Arial"/>
          <w:sz w:val="18"/>
          <w:szCs w:val="18"/>
          <w:color w:val="auto"/>
        </w:rPr>
      </w:pPr>
    </w:p>
    <w:p>
      <w:pPr>
        <w:ind w:left="1800" w:right="599" w:hanging="180"/>
        <w:spacing w:after="0" w:line="342" w:lineRule="auto"/>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will have 23,988,372 shares of Class A common stock reserved for issuance pursuant to awards under our incentive compensation plans. See “Executive Compensation — Equity Compensation”.</w:t>
      </w:r>
    </w:p>
    <w:p>
      <w:pPr>
        <w:spacing w:after="0" w:line="56"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post-offering organizational structure, as described above, is commonly referred to as an umbrella partnership-C-corporation (or Up-C) structure. This organizational structure will allow our Founders to retain their equity ownership in Fluence Energy, LLC, an entity that is classified as a partnership for U.S. federal income tax purposes, in the form of LLC Interests. Investors in this offering and the Blocker Shareholder will, by contrast, hold their equity ownership in Fluence Energy, Inc., a Delaware corporation that is a domestic corporation for U.S. federal income tax purposes, in the form of shares of Class A common</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stock. This approach provides the Founders with the tax treatment of continuing to own interests in a pass-through structure and provides potential future tax benefits for both Fluence Energy, Inc. and the Founders when the Founders ultimately redeem their LLC Interests for shares of Class A common stock or cash from the sale of newly issued shares of Class A common stock. One of the tax benefits to the Founders associated with this structure is that the portion of Fluence Energy, LLC’s future taxable income that is allocated to the Founders will be taxed for U.S. federal income tax purposes on a flow-through basis and therefore will not be subject to corporate income taxes for such purposes at the Fluence Energy, LLC level. Additionally, because the Founders will be entitled to have their LLC Interests redeemed for newly issued shares of our Class A common stock on a one-for-one basis or, at our option, for cash from the sale of newly issued shares of Class A common stock, the Up-C structure also provides the Founders with potential liquidity that holders of non-publicly traded limited liability companies are not typically afforded.</w:t>
      </w:r>
    </w:p>
    <w:p>
      <w:pPr>
        <w:spacing w:after="0" w:line="10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Fluence Energy, Inc. also expects to benefit from the Up-C structure, in general, in the form of cash tax savings in amounts equal to 15% of certain tax benefits that Fluence Energy, Inc. actually realizes (or in some circumstances is deemed to have realized) arising from Basis Adjustments (as defined below) and certain other tax benefits related to our entering into the Tax Receivable Agreement, including tax benefits attributable to payments under the Tax Receivable Agreement. Such cash tax benefits and cash tax savings generally would not be available to Fluence Energy, Inc. without the Up-C structure. The Tax Receivable Agreement is discussed in “Certain Relationships and Related Party Transactions—Tax Receivable Agreement,” and the estimated payments with respect thereto are set forth in “—The Offering—Tax receivable agreement.” See “Risk Factors—Risks Related to Our Company and Our Organizational Structure.”</w:t>
      </w:r>
    </w:p>
    <w:p>
      <w:pPr>
        <w:spacing w:after="0" w:line="127"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99695</wp:posOffset>
            </wp:positionV>
            <wp:extent cx="3206115" cy="2837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This diagram excludes shares of Class A common stock reserved for issuance under options issued pursuant to the Existing Equity Plan which will convert upon effectiveness of this offering into options to acquire shares of Class A common stock, phantom units issued pursuant to the Existing Phantom Equity Plan, which will convert into a right to receive cash or equity based upon the value of shares of Class A common stock, or shares of Class A common stock reserved for issuance under our 2021 Equity Plan.</w:t>
      </w:r>
    </w:p>
    <w:p>
      <w:pPr>
        <w:spacing w:after="0" w:line="95"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As the sole managing member of Fluence Energy, LLC, we will operate and control all the business and affairs of Fluence Energy, LLC and, through Fluence Energy, LLC and its direct and indirect</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subsidiaries, conduct our business. Following the Transactions, including this offering, Fluence Energy, Inc. will control the management of Fluence Energy, LLC as its sole managing member. As a result, Fluence Energy, Inc. will consolidate Fluence Energy, LLC and record a significant non-controlling interest in a consolidated entity in Fluence Energy, Inc.’s consolidated financial statements for the economic interest in Fluence Energy, LLC held by the Founders.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Incorporation of Fluence Energy, Inc.</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Fluence Energy, Inc., the issuer of the Class A common stock offered by this prospectus, was incorporated as a Delaware corporation on June 21, 2021. Fluence Energy, Inc. has not engaged in any business transactions or activities to date and had no assets or liabilities during the periods presented in this prospectus, and will not engage in any activities prior to consummation of this offering except in connection with its formation and the Transactions. The amended and restated certificate of incorporation of Fluence Energy, Inc. that will become effective immediately prior to the consummation of this offering will, among other things, authorize three classes of common stock, Class A common stock, Class B-1 common stock and Class B-2 common stock, each having the terms described in “Description of Capital Stock.”</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Reclassification and Amendment and Restatement of the Fluence Energy LLC Agreement</w:t>
      </w:r>
    </w:p>
    <w:p>
      <w:pPr>
        <w:spacing w:after="0" w:line="16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Prior to the consummation of this offering, the existing limited liability company agreement of Fluence Energy, LLC will be amended and restated to, among other things, recapitalize its capital structure by creating a single new class of units that we refer to as “common units” and provide for a right of redemption of common units in exchange for, at our election (determined solely by our independent directors (within the meaning of the rules of the Nasdaq), who are disinterested), shares of our Class A common stock or cash from the sale of newly issued shares of Class A common stock. See “Certain Relationships and Related Party Transactions—Fluence Energy LLC Agreement.”</w:t>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Receivable Agreement</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Prior to the completion of this offering, we will enter into a Tax Receivable Agreement with our Founders that provides for the payment by Fluence Energy, Inc. to such Founders of 85% of the benefits, if any, that Fluence Energy, Inc. actually realizes, or is deemed to realize (calculated using certain assumptions), as a result of (i) increases in Fluence Energy, Inc.’s allocable share of the tax basis of the assets of Fluence Energy, LLC and its subsidiaries resulting from future redemptions or exchanges of LLC Interests by the Founders and (ii) certain other tax benefits related to our entering into the Tax Receivable Agreement, including tax benefits attributable to payments under the Tax Receivable Agreement. Future redemptions or exchanges of LLC Interests are expected to result in increases in the tax basis of the assets of Fluence Energy, LLC and certain of its subsidiaries. The increases in existing tax basis and the tax basis adjustments generated over time may increase (for tax purposes) the depreciation and amortization deductions available to Fluence Energy, Inc. and, therefore, may reduce the amount of U.S. federal, state and local tax that Fluence Energy, Inc. would otherwise be required to pay in the future. Actual tax benefits realized by Fluence Energy, Inc. may differ from tax benefits calculated under the Tax Receivable Agreement as a result of the use of certain assumptions in the Tax Receivable Agreement, including the use of an assumed state and local income tax rate to calculate tax benefits. This payment obligation is an obligation of Fluence Energy, Inc. and not of Fluence Energy, LLC, and is expected to be significant. We anticipate funding ordinary course payments under the Tax Receivable Agreement from cash flow from operations of our subsidiaries, available cash or available borrowings under any future debt agreements. We expect that the amount of the cash payments we will be required to make under the Tax Receivable Agreement will be substantial. We estimate our Founders will be entitled to receive payments under the Tax Receivable Agreement (assuming all Founders exchange their LLC Interests for shares of Class A common stock on the date of this offering) totaling approximately $ 681.3 million. Any payments made by us to the Founders under the Tax Receivable Agreement will not be available for reinvestment in our business and will generally reduce the amount of overall cash flow that might have otherwise been available to us and have a substantial negative impact on our liquidity. To the extent that we are unable to make timely payments under the Tax Receivable Agreement for any reason, the unpaid amounts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Person Transactions—Tax Receivable Agreement.”</w:t>
      </w: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estimate, based on the initial public offering price of $28.00 per share, that we will receive net proceeds from this offering of approximately $812.4 million (or $935.8 million if the underwriters exercise in full their option to purchase additional shares of Class A common stock), after deducting the underwriting discount and estimated offering expenses payable by us.</w:t>
      </w:r>
    </w:p>
    <w:p>
      <w:pPr>
        <w:spacing w:after="0" w:line="11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intend to use the net proceeds from this offering to purchase 31,000,000 newly issued LLC Interests (or 35,650,000 LLC Interests if the underwriters exercise in full their option to purchase additional shares of Class A common stock) directly from Fluence Energy, LLC at a price per unit equal to the initial public offering price per share of Class A common stock in this offering less the underwriting discount and estimated offering expenses payable by us.</w:t>
      </w:r>
    </w:p>
    <w:p>
      <w:pPr>
        <w:spacing w:after="0" w:line="120"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Fluence Energy, LLC intends to use the net proceeds from the sale of LLC Interests to Fluence Energy, Inc. to repay all outstanding amounts under our existing Line of Credit and the Promissory Notes (as defined below), and the remainder for working capital and other general corporate purposes.</w:t>
      </w:r>
    </w:p>
    <w:p>
      <w:pPr>
        <w:spacing w:after="0" w:line="8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On August 11, 2021, Fluence Energy, LLC entered into a promissory note with each of Siemens Industry (the “Siemens Promissory Note”) and AES Grid Stability, (the “AES Promissory Note” and together with the Siemens Promissory Note, the “Promissory Notes”), under which Fluence Energy, LLC received a bridge financing of an aggregate of $50.0 million. In connection with the bridge financing, Fluence Energy, LLC issued a $25.0 million promissory note to each of Siemens Industry and AES Grid Stability. The Promissory Notes are unsecured, the AES Promissory Note has a maturity date of August 11, 2022 and the Siemens Promissory Note has a maturity date of December 31, 2021. If we complete a private placement or public offering of certain equity securities prior to the maturity date, the Promissory Notes and all accrued interest thereunder will automatically and without notice be due and payable within five business days. The Promissory Notes bear interest at 2.86% per annum through and until the earliest of the maturity date thereunder and or a mandatory prepayment event (including consummation of this offering), at which time the interest rate will increase by an additional 2%. The proceeds from the Promissory Notes are being used by Fluence Energy, LLC to provide additional liquidity and to fund ongoing working capital needs.</w:t>
      </w:r>
    </w:p>
    <w:p>
      <w:pPr>
        <w:spacing w:after="0" w:line="130"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Fluence Energy, LLC will bear or reimburse Fluence Energy, Inc. for all of the expenses incurred in connection with the Transactions, including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The following table sets forth our cash and cash equivalents, and capitalization as of June 30, 2021, as follows:</w:t>
      </w:r>
    </w:p>
    <w:p>
      <w:pPr>
        <w:spacing w:after="0" w:line="62"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 historical basis for Fluence Energy, LLC and its subsidiaries; and</w:t>
      </w:r>
    </w:p>
    <w:p>
      <w:pPr>
        <w:spacing w:after="0" w:line="117" w:lineRule="exact"/>
        <w:rPr>
          <w:rFonts w:ascii="Arial" w:cs="Arial" w:eastAsia="Arial" w:hAnsi="Arial"/>
          <w:sz w:val="18"/>
          <w:szCs w:val="18"/>
          <w:color w:val="auto"/>
        </w:rPr>
      </w:pPr>
    </w:p>
    <w:p>
      <w:pPr>
        <w:ind w:left="1800" w:right="579" w:hanging="180"/>
        <w:spacing w:after="0" w:line="25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 forma basis for Fluence Energy Inc., giving effect to the Transactions described under “Unaudited Consolidated Pro Forma Financial Information,” including the Reorganization Transactions, and application of the proceeds from this offering as described in “Use of Proceeds,” after deducting estimated underwriting discounts and commissions and estimated offering expenses and other related transaction costs payable by us.</w:t>
      </w:r>
    </w:p>
    <w:p>
      <w:pPr>
        <w:spacing w:after="0" w:line="120"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For more information, please see “Our Organizational Structure,” “Use of Proceeds” and “Unaudited Pro Forma Consolidated Financial Information” included elsewhere in this prospectus. You should read this information together with our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2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7"/>
              </w:rPr>
              <w:t>As of June 30, 2021</w:t>
            </w:r>
          </w:p>
        </w:tc>
      </w:t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89"/>
              </w:rPr>
              <w:t>(unaudited)</w:t>
            </w:r>
          </w:p>
        </w:tc>
      </w:tr>
      <w:tr>
        <w:trPr>
          <w:trHeight w:val="26"/>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r>
      <w:tr>
        <w:trPr>
          <w:trHeight w:val="173"/>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Fluence Energy,</w:t>
            </w:r>
          </w:p>
        </w:tc>
      </w:t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Fluence Energy,</w:t>
            </w:r>
          </w:p>
        </w:tc>
        <w:tc>
          <w:tcPr>
            <w:tcW w:w="11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Inc. Pro Forma</w:t>
            </w:r>
          </w:p>
        </w:tc>
      </w:tr>
      <w:tr>
        <w:trPr>
          <w:trHeight w:val="186"/>
        </w:trPr>
        <w:tc>
          <w:tcPr>
            <w:tcW w:w="566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20" w:type="dxa"/>
            <w:vAlign w:val="bottom"/>
          </w:tcPr>
          <w:p>
            <w:pPr>
              <w:spacing w:after="0"/>
              <w:rPr>
                <w:sz w:val="16"/>
                <w:szCs w:val="16"/>
                <w:color w:val="auto"/>
              </w:rPr>
            </w:pPr>
          </w:p>
        </w:tc>
        <w:tc>
          <w:tcPr>
            <w:tcW w:w="1200" w:type="dxa"/>
            <w:vAlign w:val="bottom"/>
            <w:gridSpan w:val="5"/>
          </w:tcPr>
          <w:p>
            <w:pPr>
              <w:ind w:left="140"/>
              <w:spacing w:after="0"/>
              <w:rPr>
                <w:sz w:val="20"/>
                <w:szCs w:val="20"/>
                <w:color w:val="auto"/>
              </w:rPr>
            </w:pPr>
            <w:r>
              <w:rPr>
                <w:rFonts w:ascii="Arial" w:cs="Arial" w:eastAsia="Arial" w:hAnsi="Arial"/>
                <w:sz w:val="14"/>
                <w:szCs w:val="14"/>
                <w:b w:val="1"/>
                <w:bCs w:val="1"/>
                <w:color w:val="auto"/>
              </w:rPr>
              <w:t>LLC Actual</w:t>
            </w:r>
          </w:p>
        </w:tc>
        <w:tc>
          <w:tcPr>
            <w:tcW w:w="1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As Adjusted</w:t>
            </w:r>
          </w:p>
        </w:tc>
      </w:tr>
      <w:tr>
        <w:trPr>
          <w:trHeight w:val="26"/>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5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58,497</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$862,970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364"/>
        </w:trPr>
        <w:tc>
          <w:tcPr>
            <w:tcW w:w="566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r>
      <w:tr>
        <w:trPr>
          <w:trHeight w:val="25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6"/>
              </w:rPr>
              <w:t>117,272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57"/>
        </w:trPr>
        <w:tc>
          <w:tcPr>
            <w:tcW w:w="566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members’ (deficit) equity</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2"/>
              </w:rPr>
              <w:t>(86,459)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57"/>
        </w:trPr>
        <w:tc>
          <w:tcPr>
            <w:tcW w:w="56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9"/>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Class A common stock – $0.00001 par value per share, 1,200,000,000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shares authorized on a pro forma basis, 49,493,275 shares issued and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on a pro forma basis</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29"/>
        </w:trPr>
        <w:tc>
          <w:tcPr>
            <w:tcW w:w="5660" w:type="dxa"/>
            <w:vAlign w:val="bottom"/>
          </w:tcPr>
          <w:p>
            <w:pPr>
              <w:ind w:left="180"/>
              <w:spacing w:after="0"/>
              <w:rPr>
                <w:sz w:val="20"/>
                <w:szCs w:val="20"/>
                <w:color w:val="auto"/>
              </w:rPr>
            </w:pPr>
            <w:r>
              <w:rPr>
                <w:rFonts w:ascii="Arial" w:cs="Arial" w:eastAsia="Arial" w:hAnsi="Arial"/>
                <w:sz w:val="18"/>
                <w:szCs w:val="18"/>
                <w:color w:val="auto"/>
                <w:w w:val="96"/>
              </w:rPr>
              <w:t>Class B-1 common stock – $0.00001 par value per share, 300,000,000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w w:val="92"/>
              </w:rPr>
              <w:t>shares authorized on a pro forma basis, 117,173,390 shares issued and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5660" w:type="dxa"/>
            <w:vAlign w:val="bottom"/>
          </w:tcPr>
          <w:p>
            <w:pPr>
              <w:ind w:left="360"/>
              <w:spacing w:after="0"/>
              <w:rPr>
                <w:sz w:val="20"/>
                <w:szCs w:val="20"/>
                <w:color w:val="auto"/>
              </w:rPr>
            </w:pPr>
            <w:r>
              <w:rPr>
                <w:rFonts w:ascii="Arial" w:cs="Arial" w:eastAsia="Arial" w:hAnsi="Arial"/>
                <w:sz w:val="18"/>
                <w:szCs w:val="18"/>
                <w:color w:val="auto"/>
              </w:rPr>
              <w:t>outstanding on a pro forma basis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Class B-2 common stock – $0.00001 par value per share, 300,000,000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on a pro forma basis, no shares issued and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on a pro forma basis</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56"/>
        </w:trPr>
        <w:tc>
          <w:tcPr>
            <w:tcW w:w="566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258,533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(15,127)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29"/>
        </w:trPr>
        <w:tc>
          <w:tcPr>
            <w:tcW w:w="56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members’/stockholders’ (deficit) equity attributable to Fluence</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Energy, LLC/Fluence Energy, Inc.</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w w:val="92"/>
              </w:rPr>
              <w:t>(86,459)</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243,408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576,259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83"/>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460" w:type="dxa"/>
            <w:vAlign w:val="bottom"/>
            <w:gridSpan w:val="3"/>
          </w:tcPr>
          <w:p>
            <w:pPr>
              <w:ind w:left="36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30,813</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$819,667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-402590</wp:posOffset>
            </wp:positionV>
            <wp:extent cx="51860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86045" cy="825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-3419475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-3419475</wp:posOffset>
            </wp:positionV>
            <wp:extent cx="44919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growth of our business, and therefore we do not anticipate declaring or paying any cash dividends on our Class A common stock in the foreseeable future. Holders of our Class B-1 and Class B-2 common stock are not entitled to participate in any dividends declared by our board of directors. Furthermore, because we are a holding company, our ability to pay cash dividends on our Class A common stock depends on our receipt of cash distributions from Fluence Energy, LLC and, through Fluence Energy, LLC, cash distributions and dividends from our other direct and indirect subsidiaries. Assuming Fluence Energy, LLC makes distributions out of earnings and profits (other than tax distributions and other distributions to pay expenses) to its members in any given year, we currently expect, subject to the determination of our board of directors, to pay dividends on our Class A common stock out of the portion of such distributions remaining after our payment of taxes, Tax Receivable Agreement payments and expenses, and subject to Delaware law. Our ability to pay dividends may be restricted by the terms of any future credit agreement or any future debt or preferred equity securities of us or our subsidiaries. See “Description of Capital Stock” and “Management’s Discussion and Analysis of Financial Condition and Results of Operation—Liquidity and Capital Resources.” Any future determination as to the declaration and payment of dividends, if any, will be at the discretion of our board of directors and subject to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Accordingly, you may need to sell your shares of our Class A common stock to realize a return on your investment, and you may not be able to sell your shares at or above the price you paid for them. See “Risk Factors—Risks related to the offering and ownership of our Class A common stock—Because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125"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Immediately following this offering, we will be a holding company, and our principal asset will be the LLC Interests we purchase from Fluence Energy, LLC and acquire indirectly from the Blocker Shareholder. If we decide to pay a dividend in the future, we may need to cause Fluence Energy, LLC to make distributions to us in an amount sufficient to cover such dividend. If Fluence Energy, LLC makes such distributions to us, the other holders of LLC Interests will be entitled to receive pro rata distributions, although tax distributions that Fluence Energy, LLC makes may not be pro rata. See “Risk Factors—Risks related to our organizational structure—Our principal asset after the completion of this offering will be our interest in Fluence Energy, LLC, and, as a result, we will depend on distributions from Fluence Energy, LLC to pay our taxes and expenses, including payments under the Tax Receivable Agreement. Fluence Energy, LLC’s ability to make such distributions may be subject to various limitations and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The Founders will own LLC Interests after the Transactions, and the Blocker Shareholder will receive shares of Class A common stock in the Transactions. We have presented dilution in pro forma net tangible book value per share both before and after this offering assuming that all of the holders of LLC Interests (other than Fluence Energy, Inc.) had their LLC Interests redeemed or exchanged for newly issued shares of Class A common stock on a one-for-one basis (rather than for cash) and the automatic transfer to the Company and cancellation for no consideration of all of their shares of Class B-1 and Class B-2 common stock (which are not entitled to receive distributions or dividends, whether cash or stock from Fluence Energy, Inc.) in order to more meaningfully present the dilutive impact on the investors in this offering. We refer to the assumed redemption or exchange of all LLC Interests for shares of Class A common stock as described in the previous sentence as the Assumed Redemption.</w:t>
      </w:r>
    </w:p>
    <w:p>
      <w:pPr>
        <w:spacing w:after="0" w:line="127"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Dilution is the amount by which the offering price paid by the purchasers of the Class A common stock in this offering exceeds the pro forma net tangible book value per share of Class A common stock after the offering. Fluence Energy, LLC’s pro forma net tangible book value as of June 30, 2021 prior to this offering and after giving effect to the other Transactions and the Assumed Redemption was a deficit of $15.3 million.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Assumed Redemption.</w:t>
      </w:r>
    </w:p>
    <w:p>
      <w:pPr>
        <w:spacing w:after="0" w:line="110"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0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Pro forma net tangible book value per share after this offering is determined by subtracting our total liabilities from the total book value of our tangible assets and dividing the difference by the number of shares of Class A common stock deemed to be outstanding, after giving effect to the Transactions, including this offering and the application of the net proceeds from this offering as described in “Use of Proceeds,” and the Assumed Redemption. Our pro forma net tangible book value as of June 30, 2021, after giving effect to this offering would have been approximately $773.5 million, or $4.64 per share of Class A common stock. This amount represents an immediate increase in pro forma net tangible book value of $4.53 per share to our existing stockholders and an immediate dilution in pro forma net tangible book value of approximately $23.47 per share to new investors purchasing shares 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75"/>
        </w:trPr>
        <w:tc>
          <w:tcPr>
            <w:tcW w:w="7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9"/>
        </w:trPr>
        <w:tc>
          <w:tcPr>
            <w:tcW w:w="7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Initial public offering price per share of common stock</w:t>
            </w:r>
          </w:p>
        </w:tc>
        <w:tc>
          <w:tcPr>
            <w:tcW w:w="12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$28.00</w:t>
            </w:r>
          </w:p>
        </w:tc>
      </w:tr>
      <w:tr>
        <w:trPr>
          <w:trHeight w:val="257"/>
        </w:trPr>
        <w:tc>
          <w:tcPr>
            <w:tcW w:w="7000" w:type="dxa"/>
            <w:vAlign w:val="bottom"/>
          </w:tcPr>
          <w:p>
            <w:pPr>
              <w:ind w:left="180"/>
              <w:spacing w:after="0"/>
              <w:rPr>
                <w:sz w:val="20"/>
                <w:szCs w:val="20"/>
                <w:color w:val="auto"/>
              </w:rPr>
            </w:pPr>
            <w:r>
              <w:rPr>
                <w:rFonts w:ascii="Arial" w:cs="Arial" w:eastAsia="Arial" w:hAnsi="Arial"/>
                <w:sz w:val="18"/>
                <w:szCs w:val="18"/>
                <w:color w:val="auto"/>
              </w:rPr>
              <w:t>Pro forma net tangible book value per share as of June 30, 2021</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w w:val="87"/>
              </w:rPr>
              <w:t>$(0.11)</w:t>
            </w:r>
          </w:p>
        </w:tc>
        <w:tc>
          <w:tcPr>
            <w:tcW w:w="500" w:type="dxa"/>
            <w:vAlign w:val="bottom"/>
          </w:tcPr>
          <w:p>
            <w:pPr>
              <w:spacing w:after="0"/>
              <w:rPr>
                <w:sz w:val="22"/>
                <w:szCs w:val="22"/>
                <w:color w:val="auto"/>
              </w:rPr>
            </w:pPr>
          </w:p>
        </w:tc>
      </w:tr>
      <w:tr>
        <w:trPr>
          <w:trHeight w:val="229"/>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Increase per share attributable to new investors purchasing shares of common stock in</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62"/>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this offering</w:t>
            </w:r>
          </w:p>
        </w:tc>
        <w:tc>
          <w:tcPr>
            <w:tcW w:w="7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4.64</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257"/>
        </w:trPr>
        <w:tc>
          <w:tcPr>
            <w:tcW w:w="7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460" w:type="dxa"/>
            <w:vAlign w:val="bottom"/>
            <w:tcBorders>
              <w:top w:val="single" w:sz="8" w:color="auto"/>
            </w:tcBorders>
          </w:tcPr>
          <w:p>
            <w:pPr>
              <w:spacing w:after="0"/>
              <w:rPr>
                <w:sz w:val="22"/>
                <w:szCs w:val="22"/>
                <w:color w:val="auto"/>
              </w:rPr>
            </w:pPr>
          </w:p>
        </w:tc>
        <w:tc>
          <w:tcPr>
            <w:tcW w:w="7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Dilution in pro forma as adjusted net tangible book value per share to new common stock</w:t>
            </w:r>
          </w:p>
        </w:tc>
        <w:tc>
          <w:tcPr>
            <w:tcW w:w="4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r>
      <w:tr>
        <w:trPr>
          <w:trHeight w:val="250"/>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investors in this offering</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-334010</wp:posOffset>
            </wp:positionV>
            <wp:extent cx="4886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20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following table summarizes, as of June 30, 2021, after giving effect to the Transactions (including this offering) and the Assumed Redemption, the number of shares of Class A common stock purchased from us, the total consideration paid, or to be paid, to us and the average price per share paid, or to be paid, by existing owners and by the new investors. The calculation below is based on the initial public offering price of $28.00 per share, before deducting the underwriting discounts and commissions and estimated offering expenses payable by us.</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82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4"/>
                <w:szCs w:val="14"/>
                <w:color w:val="auto"/>
              </w:rPr>
            </w:pPr>
          </w:p>
        </w:tc>
        <w:tc>
          <w:tcPr>
            <w:tcW w:w="18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92"/>
        </w:trPr>
        <w:tc>
          <w:tcPr>
            <w:tcW w:w="3080" w:type="dxa"/>
            <w:vAlign w:val="bottom"/>
          </w:tcPr>
          <w:p>
            <w:pPr>
              <w:spacing w:after="0"/>
              <w:rPr>
                <w:sz w:val="7"/>
                <w:szCs w:val="7"/>
                <w:color w:val="auto"/>
              </w:rPr>
            </w:pPr>
          </w:p>
        </w:tc>
        <w:tc>
          <w:tcPr>
            <w:tcW w:w="18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1"/>
              </w:rPr>
              <w:t>price per</w:t>
            </w: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080" w:type="dxa"/>
            <w:vAlign w:val="bottom"/>
          </w:tcPr>
          <w:p>
            <w:pPr>
              <w:spacing w:after="0"/>
              <w:rPr>
                <w:sz w:val="17"/>
                <w:szCs w:val="17"/>
                <w:color w:val="auto"/>
              </w:rPr>
            </w:pPr>
          </w:p>
        </w:tc>
        <w:tc>
          <w:tcPr>
            <w:tcW w:w="900" w:type="dxa"/>
            <w:vAlign w:val="bottom"/>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7"/>
                <w:szCs w:val="17"/>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5"/>
              </w:rPr>
              <w:t>Percent</w:t>
            </w:r>
          </w:p>
        </w:tc>
        <w:tc>
          <w:tcPr>
            <w:tcW w:w="80" w:type="dxa"/>
            <w:vAlign w:val="bottom"/>
          </w:tcPr>
          <w:p>
            <w:pPr>
              <w:spacing w:after="0"/>
              <w:rPr>
                <w:sz w:val="17"/>
                <w:szCs w:val="17"/>
                <w:color w:val="auto"/>
              </w:rPr>
            </w:pP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3"/>
              </w:rPr>
              <w:t>Percent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36"/>
              <w:spacing w:after="0"/>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26"/>
        </w:trPr>
        <w:tc>
          <w:tcPr>
            <w:tcW w:w="3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135,666,665</w:t>
            </w:r>
          </w:p>
        </w:tc>
        <w:tc>
          <w:tcPr>
            <w:tcW w:w="9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223,424,000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0"/>
                <w:szCs w:val="20"/>
                <w:color w:val="auto"/>
              </w:rPr>
            </w:pPr>
            <w:r>
              <w:rPr>
                <w:rFonts w:ascii="Arial" w:cs="Arial" w:eastAsia="Arial" w:hAnsi="Arial"/>
                <w:sz w:val="18"/>
                <w:szCs w:val="18"/>
                <w:color w:val="auto"/>
              </w:rPr>
              <w:t>New investors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31,000,000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868,000,000</w:t>
            </w: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22"/>
                <w:szCs w:val="22"/>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28.00</w:t>
            </w:r>
          </w:p>
        </w:tc>
        <w:tc>
          <w:tcPr>
            <w:tcW w:w="0" w:type="dxa"/>
            <w:vAlign w:val="bottom"/>
          </w:tcPr>
          <w:p>
            <w:pPr>
              <w:spacing w:after="0"/>
              <w:rPr>
                <w:sz w:val="1"/>
                <w:szCs w:val="1"/>
                <w:color w:val="auto"/>
              </w:rPr>
            </w:pPr>
          </w:p>
        </w:tc>
      </w:tr>
      <w:tr>
        <w:trPr>
          <w:trHeight w:val="20"/>
        </w:trPr>
        <w:tc>
          <w:tcPr>
            <w:tcW w:w="30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166,666,665</w:t>
            </w:r>
          </w:p>
        </w:tc>
        <w:tc>
          <w:tcPr>
            <w:tcW w:w="300" w:type="dxa"/>
            <w:vAlign w:val="bottom"/>
            <w:gridSpan w:val="2"/>
            <w:shd w:val="clear" w:color="auto" w:fill="CCEEFF"/>
          </w:tcPr>
          <w:p>
            <w:pPr>
              <w:spacing w:after="0"/>
              <w:rPr>
                <w:sz w:val="24"/>
                <w:szCs w:val="24"/>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1,091,424,000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-213995</wp:posOffset>
            </wp:positionV>
            <wp:extent cx="9258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-213995</wp:posOffset>
            </wp:positionV>
            <wp:extent cx="1885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27089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-556895</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-556895</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2665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-556895</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99" w:firstLine="360"/>
        <w:spacing w:after="0" w:line="287" w:lineRule="auto"/>
        <w:rPr>
          <w:sz w:val="20"/>
          <w:szCs w:val="20"/>
          <w:color w:val="auto"/>
        </w:rPr>
      </w:pPr>
      <w:r>
        <w:rPr>
          <w:rFonts w:ascii="Arial" w:cs="Arial" w:eastAsia="Arial" w:hAnsi="Arial"/>
          <w:sz w:val="16"/>
          <w:szCs w:val="16"/>
          <w:color w:val="auto"/>
        </w:rPr>
        <w:t>The number of shares of our Class A common stock outstanding after this offering as shown in the tables above is based on the number of shares outstanding as of September 30, 2021, after giving effect to the Transactions and the Assumed Redemption. The discussion and tables above exclude shares of Class B-</w:t>
      </w:r>
    </w:p>
    <w:p>
      <w:pPr>
        <w:spacing w:after="0" w:line="2" w:lineRule="exact"/>
        <w:rPr>
          <w:sz w:val="20"/>
          <w:szCs w:val="20"/>
          <w:color w:val="auto"/>
        </w:rPr>
      </w:pPr>
    </w:p>
    <w:p>
      <w:pPr>
        <w:ind w:left="1260" w:right="459"/>
        <w:spacing w:after="0" w:line="253" w:lineRule="auto"/>
        <w:tabs>
          <w:tab w:leader="none" w:pos="14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and Class B-2 common stock, because holders of the Class B-1 and Class B-2 common stock are not entitled to distributions or dividends, whether cash or stock, from Fluence Energy, Inc. To the extent that options are issued under our compensatory stock plans or we issue additional shares of common stock in the future, there will be further dilution to investors participating in this offering.</w:t>
      </w:r>
    </w:p>
    <w:p>
      <w:pPr>
        <w:spacing w:after="0" w:line="125"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Class A common stock. If the underwriters exercise in full their option to purchase additional shares of Class A common stock, the percentage of shares of Class A common stock held by the Continuing Equity Owners will decrease to approximately 34.2% of the total number of shares of our Class A common stock outstanding after this offering; and the number of shares held by new investors will increase to 35,650,000, or approximately 65.8% of the total number of shares of our Class A common stock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4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Fluence Energy, Inc. was formed on June 21, 2021 and does not have historical financial results. Fluence Energy, Inc. currently has no assets or liabilities and has conducted no operations. The following unaudited pro forma consolidated financial information reflects the impact of this offering, after giving effect to the Transactions discussed in “Our Organizational Structure.” Following the completion of the Transactions, Fluence Energy, Inc. will be a holding company whose principal asset will consist of 29.7% of the outstanding LLC Interests that it acquires directly from Fluence Energy, LLC and indirectly from the Blocker Shareholder in connection with this offering. The remaining LLC Interests will be held by the Founders. Fluence Energy, Inc. will act as the sole managing member of Fluence Energy, LLC. Fluence Energy, Inc. will operate and control the business and affairs of Fluence Energy, LLC and its direct and indirect subsidiaries, and, through Fluence Energy, LLC and its direct and indirect subsidiaries, conduct its business.</w:t>
      </w:r>
    </w:p>
    <w:p>
      <w:pPr>
        <w:spacing w:after="0" w:line="12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following unaudited pro forma consolidated statements of operations for the year ended September 30, 2020 and the nine months ended June 30, 2021 give effect to the Transactions, including this offering, as if the same had occurred on October 1, 2019. The unaudited pro forma consolidated balance sheet as of June 30, 2021 presents our unaudited pro forma balance sheet giving effect to the Transactions, including this offering, as if they had occurred as of June 30, 2021.</w:t>
      </w:r>
    </w:p>
    <w:p>
      <w:pPr>
        <w:spacing w:after="0" w:line="12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have derived the unaudited pro forma consolidated statement of operations and unaudited pro forma consolidated balance sheet from the consolidated financial statements of Fluence Energy, LLC and its subsidiaries included elsewhere in this prospectus. The unaudited consolidated pro forma financial information has been prepared on the basis that we will be taxed as a corporation for U.S. federal and state income tax purposes and, accordingly, will become a taxpaying entity subject to U.S. federal, state and foreign income taxes. The presentation of the unaudited consolidated pro forma financial information is prepared in conformity with Article 11 of Regulation S-X, as amended by the final rule, Release 33-10786 “Amendments to Financial Disclosures about Acquired and Disposed Businesses.” The unaudited consolidated pro forma financial information has been adjusted to include Transaction Accounting Adjustments, which reflect the application of the accounting required by generally accepted accounting principles in the United States (“GAAP”), linking the effects of the transactions listed above to the Company’s historical consolidated financial statements and is based on currently available information and certain estimates and assumptions. See the accompanying notes to the unaudited consolidated pro forma financial information for a discussion of assumptions made.</w:t>
      </w:r>
    </w:p>
    <w:p>
      <w:pPr>
        <w:spacing w:after="0" w:line="108"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We refer to the adjustments related to the Transactions, including the impact of the Transactions described in “Our Organizational Structure,” but excluding the adjustments related to the Offering, as the Pro Forma Transaction Adjustments.</w:t>
      </w:r>
    </w:p>
    <w:p>
      <w:pPr>
        <w:spacing w:after="0" w:line="114"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The adjustments related to this offering, which we refer to as the Pro Forma Offering Adjustments, are described in the notes to the unaudited pro forma consolidated financial information and principally include the following:</w:t>
      </w:r>
    </w:p>
    <w:p>
      <w:pPr>
        <w:spacing w:after="0" w:line="74" w:lineRule="exact"/>
        <w:rPr>
          <w:sz w:val="20"/>
          <w:szCs w:val="20"/>
          <w:color w:val="auto"/>
        </w:rPr>
      </w:pPr>
    </w:p>
    <w:p>
      <w:pPr>
        <w:ind w:left="1800" w:right="559" w:hanging="180"/>
        <w:spacing w:after="0" w:line="263"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amendment and restatement of the limited liability company agreement of Fluence Energy, LLC to, among other things, appoint Fluence Energy, Inc. as the sole managing member of Fluence Energy, LLC and provide certain redemption rights to the Founders;</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of 18,493,275 shares of our Class A common stock to the Blocker Shareholder in one or more mergers, pursuant to which we acquire their LLC Interests;</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execution of the Tax Receivable Agreement and recognition of the related payable under such agreement;</w:t>
      </w:r>
    </w:p>
    <w:p>
      <w:pPr>
        <w:spacing w:after="0" w:line="48"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of 31,000,000 shares of our Class A common stock to the investors in this offering in exchange for net proceeds of approximately $822.4 million (based on the initial public offering price of $28.00 per share, after deducting the underwriting discounts and commissions but before estimated offering expenses payable by us; and</w:t>
      </w:r>
    </w:p>
    <w:p>
      <w:pPr>
        <w:spacing w:after="0" w:line="78" w:lineRule="exact"/>
        <w:rPr>
          <w:rFonts w:ascii="Arial" w:cs="Arial" w:eastAsia="Arial" w:hAnsi="Arial"/>
          <w:sz w:val="18"/>
          <w:szCs w:val="18"/>
          <w:color w:val="auto"/>
        </w:rPr>
      </w:pPr>
    </w:p>
    <w:p>
      <w:pPr>
        <w:ind w:left="1800" w:right="439" w:hanging="180"/>
        <w:spacing w:after="0" w:line="342" w:lineRule="auto"/>
        <w:tabs>
          <w:tab w:leader="none" w:pos="1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payment of fees and expenses related to this offering and the application of the net proceeds from the sale of Class A common stock in this offering to purchase LLC Interests from Fluence Energy</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spacing w:after="0" w:line="263" w:lineRule="auto"/>
        <w:rPr>
          <w:sz w:val="20"/>
          <w:szCs w:val="20"/>
          <w:color w:val="auto"/>
        </w:rPr>
      </w:pPr>
      <w:r>
        <w:rPr>
          <w:rFonts w:ascii="Arial" w:cs="Arial" w:eastAsia="Arial" w:hAnsi="Arial"/>
          <w:sz w:val="18"/>
          <w:szCs w:val="18"/>
          <w:color w:val="auto"/>
        </w:rPr>
        <w:t>LLC and certain Continuing Equity Owners at a purchase price per unit equal to the initial public offering price per share of Class A common stock less the underwriting discounts and commissions, with such LLC Interests representing 29.7% of the outstanding LLC Interests.</w:t>
      </w:r>
    </w:p>
    <w:p>
      <w:pPr>
        <w:spacing w:after="0" w:line="103"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Except as otherwise indicated, the unaudited pro forma consolidated financial information presented assumes no exercise by the underwriters of their option to purchase additional shares of Class A common stock in the offering.</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124"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The unaudited pro forma consolidated financial information is included for informational purposes only. The unaudited pro forma consolidated financial information should not be relied upon as being indicative of our results of operations or financial condition had the Transactions, including this offering, occurred on the dates assumed. The unaudited pro forma consolidated financial information also does not project our results of operations or financial position for any future period or date. The unaudited pro forma consolidated statement of operations and balance sheet should be read in conjunction with the “Risk Factors,” “Management’s Discussion and Analysis of Financial Condition and Results of Operations” and our consolidated financial statements and related notes included elsewhere in this prospectus.</w:t>
      </w:r>
    </w:p>
    <w:p>
      <w:pPr>
        <w:spacing w:after="0" w:line="97"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expect to obtain an increase in the tax basis of our share of the assets of Fluence Energy, LLC and certain of its subsidiaries when common units are redeemed or exchanged by the Founders if the value of the common units redeemed or exchanged exceeds the existing tax basis of the corresponding share of the assets of Fluence Energy, LLC at the time of the redemption or exchange, and in other qualifying transactions. This increase in tax basis may have the effect of reducing the amounts that we would otherwise pay in the future to various tax authorities. The increase in tax basis may also decrease gains (or increase losses) on future dispositions of certain capital assets to the extent tax basis is allocated to those capital assets. In connection with the consummation of this offering, we will enter into a Tax Receivable Agreement with AES Grid Stability and Siemens Industry that will provide for the payment by us to AES Grid Stability and Siemens Industry of 85% of the amount of tax benefits, if any, that we actually realize or in some cases are deemed to realize as a result of certain increases in the tax basis of assets of Fluence Energy, LLC and its subsidiaries resulting from, redemptions or exchanges (or deemed exchanges) of LLC Interests or certain distributions (or deemed distributions) by Fluence Energy, LLC and (ii) certain additional tax benefits related to our entering into the Tax Receivable Agreement, including tax benefits attributable to payments that we make under the Tax Receivable Agreement. See “Related Party Transactions—Tax Receivable Agreement.”</w:t>
      </w:r>
    </w:p>
    <w:p>
      <w:pPr>
        <w:spacing w:after="0" w:line="330"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If all of the Founders were to exchange or redeem their LLC Interests for Class A common stock pursuant to the terms of the Fluence Energy LLC Agreement, we would recognize a deferred tax asset of approximately $1,026.5 million and a related liability for payments under the Tax Receivable Agreement of approximately $681.3 million, assuming, among other factors, (i) all exchanges occurred on the same day;</w:t>
      </w:r>
    </w:p>
    <w:p>
      <w:pPr>
        <w:spacing w:after="0" w:line="2" w:lineRule="exact"/>
        <w:rPr>
          <w:sz w:val="20"/>
          <w:szCs w:val="20"/>
          <w:color w:val="auto"/>
        </w:rPr>
      </w:pPr>
    </w:p>
    <w:p>
      <w:pPr>
        <w:ind w:left="1260" w:right="499"/>
        <w:spacing w:after="0" w:line="252" w:lineRule="auto"/>
        <w:tabs>
          <w:tab w:leader="none" w:pos="15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price of $28.00 per share of Class A common stock; (iii) a constant corporate tax rate of 27%; (iv) we will have sufficient taxable income to fully utilize the tax benefits; (v) Fluence Energy, LLC is able to fully depreciate or amortize its assets; and (vi) no material changes in applicable tax law. These amounts are estimates and have been prepared for informational purposes only. The actual amount of deferred tax assets and related liabilities that we will recognize will differ based on, among other things, the timing of the redemptions or exchanges, the price of our shares of Class A common stock at the time of the redemptions or exchanges and the tax rates then in effect.</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Fluence Energy, Inc. and subsidiaries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Unaudited pro forma consolidated balance sheet as of June 30,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Pro Forma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Fluence Energy, LLC,</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200" w:type="dxa"/>
            <w:vAlign w:val="bottom"/>
          </w:tcPr>
          <w:p>
            <w:pPr>
              <w:spacing w:after="0"/>
              <w:rPr>
                <w:sz w:val="14"/>
                <w:szCs w:val="14"/>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Pro Forma</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Historical</w:t>
            </w:r>
            <w:r>
              <w:rPr>
                <w:rFonts w:ascii="Arial" w:cs="Arial" w:eastAsia="Arial" w:hAnsi="Arial"/>
                <w:sz w:val="17"/>
                <w:szCs w:val="17"/>
                <w:b w:val="1"/>
                <w:bCs w:val="1"/>
                <w:color w:val="auto"/>
                <w:w w:val="87"/>
                <w:vertAlign w:val="superscript"/>
              </w:rPr>
              <w:t>(1)</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Fluence Energy, Inc.</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58,497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7"/>
                <w:szCs w:val="17"/>
                <w:color w:val="auto"/>
                <w:w w:val="91"/>
              </w:rPr>
              <w:t>804,473</w:t>
            </w:r>
            <w:r>
              <w:rPr>
                <w:rFonts w:ascii="Arial" w:cs="Arial" w:eastAsia="Arial" w:hAnsi="Arial"/>
                <w:sz w:val="25"/>
                <w:szCs w:val="25"/>
                <w:color w:val="auto"/>
                <w:w w:val="91"/>
                <w:vertAlign w:val="superscript"/>
              </w:rPr>
              <w:t>(4)(9)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862,970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61,456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61,456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122,994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122,994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Receivables from related parties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24,574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24,574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to suppliers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14,135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333,417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333,417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23,792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18"/>
                <w:szCs w:val="18"/>
                <w:color w:val="auto"/>
              </w:rPr>
              <w:t>(3,421)</w:t>
            </w:r>
            <w:r>
              <w:rPr>
                <w:rFonts w:ascii="Arial" w:cs="Arial" w:eastAsia="Arial" w:hAnsi="Arial"/>
                <w:sz w:val="26"/>
                <w:szCs w:val="26"/>
                <w:color w:val="auto"/>
                <w:vertAlign w:val="superscript"/>
              </w:rPr>
              <w:t>(6)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20,371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638,865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801,052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1,439,917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7,602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36,953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36,953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9,201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9,201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line="256" w:lineRule="exact"/>
              <w:rPr>
                <w:sz w:val="20"/>
                <w:szCs w:val="20"/>
                <w:color w:val="auto"/>
              </w:rPr>
            </w:pPr>
            <w:r>
              <w:rPr>
                <w:rFonts w:ascii="Arial" w:cs="Arial" w:eastAsia="Arial" w:hAnsi="Arial"/>
                <w:sz w:val="18"/>
                <w:szCs w:val="18"/>
                <w:color w:val="auto"/>
              </w:rPr>
              <w:t>1,950</w:t>
            </w:r>
            <w:r>
              <w:rPr>
                <w:rFonts w:ascii="Arial" w:cs="Arial" w:eastAsia="Arial" w:hAnsi="Arial"/>
                <w:sz w:val="26"/>
                <w:szCs w:val="26"/>
                <w:color w:val="auto"/>
                <w:vertAlign w:val="superscript"/>
              </w:rPr>
              <w:t>(9)</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2,305</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54,111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1,950</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56,061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692,976</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803,002</w:t>
            </w:r>
          </w:p>
        </w:tc>
        <w:tc>
          <w:tcPr>
            <w:tcW w:w="3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1,495,978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43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members’ equity (deficit)</w:t>
            </w:r>
          </w:p>
        </w:tc>
        <w:tc>
          <w:tcPr>
            <w:tcW w:w="3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68,204</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68,204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140,386</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140,386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Personnel related liabilities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8,304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8,304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provisions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266,823</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266,823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Payables and deferred revenue with related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parties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166,502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166,502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5,997</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5,997</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1,825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1,825</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658,041</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658,041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liabilities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3,150</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line="230" w:lineRule="exact"/>
              <w:rPr>
                <w:sz w:val="20"/>
                <w:szCs w:val="20"/>
                <w:color w:val="auto"/>
              </w:rPr>
            </w:pPr>
            <w:r>
              <w:rPr>
                <w:rFonts w:ascii="Arial" w:cs="Arial" w:eastAsia="Arial" w:hAnsi="Arial"/>
                <w:sz w:val="18"/>
                <w:szCs w:val="18"/>
                <w:color w:val="auto"/>
              </w:rPr>
              <w:t>14,148</w:t>
            </w:r>
            <w:r>
              <w:rPr>
                <w:rFonts w:ascii="Arial" w:cs="Arial" w:eastAsia="Arial" w:hAnsi="Arial"/>
                <w:sz w:val="26"/>
                <w:szCs w:val="26"/>
                <w:color w:val="auto"/>
                <w:vertAlign w:val="superscript"/>
              </w:rPr>
              <w:t>(5)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Accruals and provisions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662,163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14,148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676,311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8"/>
              </w:rPr>
              <w:t>Mezzanine equity (1,250,000 Class B units issued and</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5"/>
              </w:rPr>
              <w:t>(117,272)</w:t>
            </w:r>
            <w:r>
              <w:rPr>
                <w:rFonts w:ascii="Arial" w:cs="Arial" w:eastAsia="Arial" w:hAnsi="Arial"/>
                <w:sz w:val="26"/>
                <w:szCs w:val="26"/>
                <w:color w:val="auto"/>
                <w:w w:val="85"/>
                <w:vertAlign w:val="superscript"/>
              </w:rPr>
              <w:t>(2)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June 30, 2021)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117,272</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mezzanine equity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117,272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(117,272)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Capital contributions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106,152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line="230" w:lineRule="exact"/>
              <w:rPr>
                <w:sz w:val="20"/>
                <w:szCs w:val="20"/>
                <w:color w:val="auto"/>
              </w:rPr>
            </w:pPr>
            <w:r>
              <w:rPr>
                <w:rFonts w:ascii="Arial" w:cs="Arial" w:eastAsia="Arial" w:hAnsi="Arial"/>
                <w:sz w:val="18"/>
                <w:szCs w:val="18"/>
                <w:color w:val="auto"/>
                <w:w w:val="85"/>
              </w:rPr>
              <w:t>(106,152)</w:t>
            </w:r>
            <w:r>
              <w:rPr>
                <w:rFonts w:ascii="Arial" w:cs="Arial" w:eastAsia="Arial" w:hAnsi="Arial"/>
                <w:sz w:val="26"/>
                <w:szCs w:val="26"/>
                <w:color w:val="auto"/>
                <w:w w:val="85"/>
                <w:vertAlign w:val="superscript"/>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line="230" w:lineRule="exact"/>
              <w:rPr>
                <w:sz w:val="20"/>
                <w:szCs w:val="20"/>
                <w:color w:val="auto"/>
              </w:rPr>
            </w:pPr>
            <w:r>
              <w:rPr>
                <w:rFonts w:ascii="Arial" w:cs="Arial" w:eastAsia="Arial" w:hAnsi="Arial"/>
                <w:sz w:val="18"/>
                <w:szCs w:val="18"/>
                <w:color w:val="auto"/>
              </w:rPr>
              <w:t>509</w:t>
            </w:r>
            <w:r>
              <w:rPr>
                <w:rFonts w:ascii="Arial" w:cs="Arial" w:eastAsia="Arial" w:hAnsi="Arial"/>
                <w:sz w:val="26"/>
                <w:szCs w:val="26"/>
                <w:color w:val="auto"/>
                <w:vertAlign w:val="superscript"/>
              </w:rPr>
              <w:t>(3)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Deficit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(192,102)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w w:val="90"/>
              </w:rPr>
              <w:t>192,102</w:t>
            </w:r>
            <w:r>
              <w:rPr>
                <w:rFonts w:ascii="Arial" w:cs="Arial" w:eastAsia="Arial" w:hAnsi="Arial"/>
                <w:sz w:val="26"/>
                <w:szCs w:val="26"/>
                <w:color w:val="auto"/>
                <w:w w:val="90"/>
                <w:vertAlign w:val="superscript"/>
              </w:rPr>
              <w:t>(3)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4300" w:type="dxa"/>
            <w:vAlign w:val="bottom"/>
          </w:tcPr>
          <w:p>
            <w:pPr>
              <w:ind w:left="398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-2073910</wp:posOffset>
            </wp:positionV>
            <wp:extent cx="128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-2073910</wp:posOffset>
            </wp:positionV>
            <wp:extent cx="368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-2073910</wp:posOffset>
            </wp:positionV>
            <wp:extent cx="37204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-3016885</wp:posOffset>
            </wp:positionV>
            <wp:extent cx="128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-3016885</wp:posOffset>
            </wp:positionV>
            <wp:extent cx="368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-3016885</wp:posOffset>
            </wp:positionV>
            <wp:extent cx="37204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-4705350</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-4705350</wp:posOffset>
            </wp:positionV>
            <wp:extent cx="3683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-4705350</wp:posOffset>
            </wp:positionV>
            <wp:extent cx="37204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Pro Forma</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Fluence Energy, LLC,</w:t>
            </w:r>
          </w:p>
        </w:tc>
        <w:tc>
          <w:tcPr>
            <w:tcW w:w="11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Historical</w:t>
            </w:r>
            <w:r>
              <w:rPr>
                <w:rFonts w:ascii="Arial" w:cs="Arial" w:eastAsia="Arial" w:hAnsi="Arial"/>
                <w:sz w:val="17"/>
                <w:szCs w:val="17"/>
                <w:b w:val="1"/>
                <w:bCs w:val="1"/>
                <w:color w:val="auto"/>
                <w:w w:val="87"/>
                <w:vertAlign w:val="superscript"/>
              </w:rPr>
              <w:t>(1)</w:t>
            </w:r>
          </w:p>
        </w:tc>
        <w:tc>
          <w:tcPr>
            <w:tcW w:w="11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Adjustments</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Fluence Energy, Inc.</w:t>
            </w:r>
          </w:p>
        </w:tc>
        <w:tc>
          <w:tcPr>
            <w:tcW w:w="0" w:type="dxa"/>
            <w:vAlign w:val="bottom"/>
          </w:tcPr>
          <w:p>
            <w:pPr>
              <w:spacing w:after="0"/>
              <w:rPr>
                <w:sz w:val="1"/>
                <w:szCs w:val="1"/>
                <w:color w:val="auto"/>
              </w:rPr>
            </w:pPr>
          </w:p>
        </w:tc>
      </w:tr>
      <w:tr>
        <w:trPr>
          <w:trHeight w:val="263"/>
        </w:trPr>
        <w:tc>
          <w:tcPr>
            <w:tcW w:w="19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members’ deficit</w:t>
            </w: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(86,459)</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86,459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40" w:type="dxa"/>
            <w:vAlign w:val="bottom"/>
            <w:gridSpan w:val="2"/>
          </w:tcPr>
          <w:p>
            <w:pPr>
              <w:ind w:left="180"/>
              <w:spacing w:after="0"/>
              <w:rPr>
                <w:sz w:val="20"/>
                <w:szCs w:val="20"/>
                <w:color w:val="auto"/>
              </w:rPr>
            </w:pPr>
            <w:r>
              <w:rPr>
                <w:rFonts w:ascii="Arial" w:cs="Arial" w:eastAsia="Arial" w:hAnsi="Arial"/>
                <w:sz w:val="18"/>
                <w:szCs w:val="18"/>
                <w:color w:val="auto"/>
                <w:w w:val="99"/>
              </w:rPr>
              <w:t>Class A common stock—$0.00001 par value per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share, 1,200,000,000 shares authorized on a</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w w:val="97"/>
              </w:rPr>
              <w:t>pro forma basis, 49,493,275 shares issued and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vMerge w:val="restart"/>
          </w:tcPr>
          <w:p>
            <w:pPr>
              <w:jc w:val="right"/>
              <w:ind w:right="140"/>
              <w:spacing w:after="0"/>
              <w:rPr>
                <w:sz w:val="20"/>
                <w:szCs w:val="20"/>
                <w:color w:val="auto"/>
              </w:rPr>
            </w:pPr>
            <w:r>
              <w:rPr>
                <w:rFonts w:ascii="Arial" w:cs="Arial" w:eastAsia="Arial" w:hAnsi="Arial"/>
                <w:sz w:val="35"/>
                <w:szCs w:val="35"/>
                <w:color w:val="auto"/>
                <w:vertAlign w:val="subscript"/>
              </w:rPr>
              <w:t>0</w:t>
            </w:r>
            <w:r>
              <w:rPr>
                <w:rFonts w:ascii="Arial" w:cs="Arial" w:eastAsia="Arial" w:hAnsi="Arial"/>
                <w:sz w:val="13"/>
                <w:szCs w:val="13"/>
                <w:color w:val="auto"/>
              </w:rPr>
              <w:t>(2)(4)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outstanding on a pro forma basis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gridSpan w:val="4"/>
            <w:vMerge w:val="continue"/>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Class B-1 common stock—$0.00001 par value per</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300,000,000 shares authorized on a</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pro forma basis, 117,173,390 shares issued and</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35"/>
                <w:szCs w:val="35"/>
                <w:color w:val="auto"/>
                <w:vertAlign w:val="subscript"/>
              </w:rPr>
              <w:t>1</w:t>
            </w:r>
            <w:r>
              <w:rPr>
                <w:rFonts w:ascii="Arial" w:cs="Arial" w:eastAsia="Arial" w:hAnsi="Arial"/>
                <w:sz w:val="13"/>
                <w:szCs w:val="13"/>
                <w:color w:val="auto"/>
              </w:rPr>
              <w:t>(3)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outstanding on a pro forma basis</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gridSpan w:val="4"/>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40" w:type="dxa"/>
            <w:vAlign w:val="bottom"/>
            <w:gridSpan w:val="2"/>
          </w:tcPr>
          <w:p>
            <w:pPr>
              <w:ind w:left="180"/>
              <w:spacing w:after="0"/>
              <w:rPr>
                <w:sz w:val="20"/>
                <w:szCs w:val="20"/>
                <w:color w:val="auto"/>
              </w:rPr>
            </w:pPr>
            <w:r>
              <w:rPr>
                <w:rFonts w:ascii="Arial" w:cs="Arial" w:eastAsia="Arial" w:hAnsi="Arial"/>
                <w:sz w:val="18"/>
                <w:szCs w:val="18"/>
                <w:color w:val="auto"/>
                <w:w w:val="94"/>
              </w:rPr>
              <w:t>Class B-2 common stock – $0.00001 par value per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w w:val="97"/>
              </w:rPr>
              <w:t>share, 300,000,000 shares authorized on a pro</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w w:val="98"/>
              </w:rPr>
              <w:t>forma basis, no shares issued and outstanding</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on a pro forma basis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80"/>
              <w:spacing w:after="0" w:line="216" w:lineRule="exact"/>
              <w:rPr>
                <w:sz w:val="20"/>
                <w:szCs w:val="20"/>
                <w:color w:val="auto"/>
              </w:rPr>
            </w:pPr>
            <w:r>
              <w:rPr>
                <w:rFonts w:ascii="Arial" w:cs="Arial" w:eastAsia="Arial" w:hAnsi="Arial"/>
                <w:sz w:val="17"/>
                <w:szCs w:val="17"/>
                <w:color w:val="auto"/>
              </w:rPr>
              <w:t>258,533</w:t>
            </w:r>
            <w:r>
              <w:rPr>
                <w:rFonts w:ascii="Arial" w:cs="Arial" w:eastAsia="Arial" w:hAnsi="Arial"/>
                <w:sz w:val="25"/>
                <w:szCs w:val="25"/>
                <w:color w:val="auto"/>
                <w:vertAlign w:val="superscript"/>
              </w:rPr>
              <w:t>(7)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258,533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20"/>
              <w:spacing w:after="0" w:line="243" w:lineRule="exact"/>
              <w:rPr>
                <w:sz w:val="20"/>
                <w:szCs w:val="20"/>
                <w:color w:val="auto"/>
              </w:rPr>
            </w:pPr>
            <w:r>
              <w:rPr>
                <w:rFonts w:ascii="Arial" w:cs="Arial" w:eastAsia="Arial" w:hAnsi="Arial"/>
                <w:sz w:val="18"/>
                <w:szCs w:val="18"/>
                <w:color w:val="auto"/>
              </w:rPr>
              <w:t>(15,127)</w:t>
            </w:r>
            <w:r>
              <w:rPr>
                <w:rFonts w:ascii="Arial" w:cs="Arial" w:eastAsia="Arial" w:hAnsi="Arial"/>
                <w:sz w:val="26"/>
                <w:szCs w:val="26"/>
                <w:color w:val="auto"/>
                <w:vertAlign w:val="superscript"/>
              </w:rPr>
              <w:t>(5)</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(15,127)</w:t>
            </w:r>
          </w:p>
        </w:tc>
        <w:tc>
          <w:tcPr>
            <w:tcW w:w="0" w:type="dxa"/>
            <w:vAlign w:val="bottom"/>
          </w:tcPr>
          <w:p>
            <w:pPr>
              <w:spacing w:after="0"/>
              <w:rPr>
                <w:sz w:val="1"/>
                <w:szCs w:val="1"/>
                <w:color w:val="auto"/>
              </w:rPr>
            </w:pPr>
          </w:p>
        </w:tc>
      </w:tr>
      <w:tr>
        <w:trPr>
          <w:trHeight w:val="190"/>
        </w:trPr>
        <w:tc>
          <w:tcPr>
            <w:tcW w:w="404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Total members’/stockholders’ equity attributable to</w:t>
            </w: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Fluence Energy, LLC/Fluence Energy, Inc.</w:t>
            </w:r>
            <w:r>
              <w:rPr>
                <w:rFonts w:ascii="Arial" w:cs="Arial" w:eastAsia="Arial" w:hAnsi="Arial"/>
                <w:sz w:val="23"/>
                <w:szCs w:val="23"/>
                <w:color w:val="auto"/>
                <w:vertAlign w:val="superscript"/>
              </w:rPr>
              <w:t>(a)</w:t>
            </w:r>
          </w:p>
        </w:tc>
        <w:tc>
          <w:tcPr>
            <w:tcW w:w="520" w:type="dxa"/>
            <w:vAlign w:val="bottom"/>
            <w:gridSpan w:val="2"/>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(86,459)</w:t>
            </w:r>
          </w:p>
        </w:tc>
        <w:tc>
          <w:tcPr>
            <w:tcW w:w="20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329,867</w:t>
            </w: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243,408</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576,259</w:t>
            </w:r>
          </w:p>
        </w:tc>
        <w:tc>
          <w:tcPr>
            <w:tcW w:w="4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3"/>
                <w:szCs w:val="13"/>
                <w:color w:val="auto"/>
                <w:w w:val="87"/>
              </w:rPr>
              <w:t>(8)</w:t>
            </w: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576,259</w:t>
            </w: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members’/stockholders’ deficit</w:t>
            </w: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(86,459)</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906,126</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819,667</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liabilities, members’ equity, and mezzanine</w:t>
            </w: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equity</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$ 692,976</w:t>
            </w:r>
          </w:p>
        </w:tc>
        <w:tc>
          <w:tcPr>
            <w:tcW w:w="2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89"/>
              </w:rPr>
              <w:t>$ 803,002</w:t>
            </w:r>
          </w:p>
        </w:tc>
        <w:tc>
          <w:tcPr>
            <w:tcW w:w="4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1,495,978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-1104900</wp:posOffset>
            </wp:positionV>
            <wp:extent cx="1289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-1104900</wp:posOffset>
            </wp:positionV>
            <wp:extent cx="4114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-1104900</wp:posOffset>
            </wp:positionV>
            <wp:extent cx="36944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14" w:lineRule="exact"/>
        <w:rPr>
          <w:sz w:val="20"/>
          <w:szCs w:val="20"/>
          <w:color w:val="auto"/>
        </w:rPr>
      </w:pPr>
    </w:p>
    <w:p>
      <w:pPr>
        <w:ind w:left="1620" w:hanging="360"/>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historical amounts, represents total members’ deficit attributable to Fluence Energy, LLC. For</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Pro Forma amounts, represents total members’/stockholders’ equity attributable to Fluence Energy, Inc.</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Fluence Energy, Inc. and subsidiaries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Notes to unaudited pro forma consolidated balance sheet</w:t>
      </w:r>
    </w:p>
    <w:p>
      <w:pPr>
        <w:spacing w:after="0" w:line="144" w:lineRule="exact"/>
        <w:rPr>
          <w:sz w:val="20"/>
          <w:szCs w:val="20"/>
          <w:color w:val="auto"/>
        </w:rPr>
      </w:pPr>
    </w:p>
    <w:p>
      <w:pPr>
        <w:ind w:left="1620" w:right="539" w:hanging="360"/>
        <w:spacing w:after="0" w:line="263"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Fluence Energy, Inc. was formed on June 21, 2021 and will have no material assets or results of operations until the consummation of the Transactions, and therefore its historical financial position is not shown in a separate column in this unaudited pro forma balance sheet.</w:t>
      </w:r>
    </w:p>
    <w:p>
      <w:pPr>
        <w:spacing w:after="0" w:line="116"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connection with this offering the Class B membership units will be recapitalized and converted into Class A common stock of Fluence Energy, Inc. As a result, no Class B membership units will be outstanding following the offering.</w:t>
      </w:r>
    </w:p>
    <w:p>
      <w:pPr>
        <w:spacing w:after="0" w:line="102" w:lineRule="exact"/>
        <w:rPr>
          <w:rFonts w:ascii="Arial" w:cs="Arial" w:eastAsia="Arial" w:hAnsi="Arial"/>
          <w:sz w:val="18"/>
          <w:szCs w:val="18"/>
          <w:color w:val="auto"/>
        </w:rPr>
      </w:pPr>
    </w:p>
    <w:p>
      <w:pPr>
        <w:ind w:left="1620" w:right="499" w:hanging="360"/>
        <w:spacing w:after="0" w:line="273"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 a result of the Transactions, we will hold a significant equity interest in Fluence Energy, LLC. and will be the managing member of Fluence Energy, LLC. Accordingly, we will operate and control all of the business and affairs of Fluence Energy, LLC and, through Fluence Energy, LLC. and its operating subsidiaries, conduct Fluence Energy, Inc.’s business. As a result, we will consolidate the financial results of Fluence Energy, LLC and will report a non-controlling interest related to the LLC Units held by the Continuing Equity Owners on our consolidated balance sheet.</w:t>
      </w:r>
    </w:p>
    <w:p>
      <w:pPr>
        <w:spacing w:after="0" w:line="110" w:lineRule="exact"/>
        <w:rPr>
          <w:rFonts w:ascii="Arial" w:cs="Arial" w:eastAsia="Arial" w:hAnsi="Arial"/>
          <w:sz w:val="17"/>
          <w:szCs w:val="17"/>
          <w:color w:val="auto"/>
        </w:rPr>
      </w:pPr>
    </w:p>
    <w:p>
      <w:pPr>
        <w:ind w:left="1620" w:right="519"/>
        <w:spacing w:after="0" w:line="261" w:lineRule="auto"/>
        <w:rPr>
          <w:rFonts w:ascii="Arial" w:cs="Arial" w:eastAsia="Arial" w:hAnsi="Arial"/>
          <w:sz w:val="17"/>
          <w:szCs w:val="17"/>
          <w:color w:val="auto"/>
        </w:rPr>
      </w:pPr>
      <w:r>
        <w:rPr>
          <w:rFonts w:ascii="Arial" w:cs="Arial" w:eastAsia="Arial" w:hAnsi="Arial"/>
          <w:sz w:val="18"/>
          <w:szCs w:val="18"/>
          <w:color w:val="auto"/>
        </w:rPr>
        <w:t>The computation of the non-controlling interest following the consummation of this offering, based on the initial public offering price of $28.00 per share, is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Units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Percentage</w:t>
            </w:r>
          </w:p>
        </w:tc>
      </w:tr>
      <w:tr>
        <w:trPr>
          <w:trHeight w:val="25"/>
        </w:trPr>
        <w:tc>
          <w:tcPr>
            <w:tcW w:w="5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in Fluence Energy, LLC held by Fluence Energy,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49,493,275</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2"/>
        </w:trPr>
        <w:tc>
          <w:tcPr>
            <w:tcW w:w="5860" w:type="dxa"/>
            <w:vAlign w:val="bottom"/>
          </w:tcPr>
          <w:p>
            <w:pPr>
              <w:spacing w:after="0"/>
              <w:rPr>
                <w:sz w:val="20"/>
                <w:szCs w:val="20"/>
                <w:color w:val="auto"/>
              </w:rPr>
            </w:pPr>
            <w:r>
              <w:rPr>
                <w:rFonts w:ascii="Arial" w:cs="Arial" w:eastAsia="Arial" w:hAnsi="Arial"/>
                <w:sz w:val="18"/>
                <w:szCs w:val="18"/>
                <w:color w:val="auto"/>
              </w:rPr>
              <w:t>Non-controlling interest in Fluence Energy, LLC held by Continuing</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Equity Owners</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117,173,390</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-462280</wp:posOffset>
            </wp:positionV>
            <wp:extent cx="44405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1300"/>
        <w:spacing w:after="0" w:line="248" w:lineRule="auto"/>
        <w:rPr>
          <w:sz w:val="20"/>
          <w:szCs w:val="20"/>
          <w:color w:val="auto"/>
        </w:rPr>
      </w:pPr>
      <w:r>
        <w:rPr>
          <w:rFonts w:ascii="Arial" w:cs="Arial" w:eastAsia="Arial" w:hAnsi="Arial"/>
          <w:sz w:val="18"/>
          <w:szCs w:val="18"/>
          <w:color w:val="auto"/>
        </w:rPr>
        <w:t>In connection with this offering, we will issue 117,173,390 shares of Class B-1 common stock to the Continuing Equity Owners, on a one to-one basis with the number of common units of Fluence Energy, LLC they own for nominal consideration.</w:t>
      </w:r>
    </w:p>
    <w:p>
      <w:pPr>
        <w:spacing w:after="0" w:line="101" w:lineRule="exact"/>
        <w:rPr>
          <w:sz w:val="20"/>
          <w:szCs w:val="20"/>
          <w:color w:val="auto"/>
        </w:rPr>
      </w:pPr>
    </w:p>
    <w:p>
      <w:pPr>
        <w:ind w:left="1620" w:right="1860"/>
        <w:spacing w:after="0" w:line="261" w:lineRule="auto"/>
        <w:rPr>
          <w:sz w:val="20"/>
          <w:szCs w:val="20"/>
          <w:color w:val="auto"/>
        </w:rPr>
      </w:pPr>
      <w:r>
        <w:rPr>
          <w:rFonts w:ascii="Arial" w:cs="Arial" w:eastAsia="Arial" w:hAnsi="Arial"/>
          <w:sz w:val="18"/>
          <w:szCs w:val="18"/>
          <w:color w:val="auto"/>
        </w:rPr>
        <w:t>The following table includes a reconciliation of the impact of this adjustment to non-controlling interest:</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$(86,459)</w:t>
            </w:r>
          </w:p>
        </w:tc>
        <w:tc>
          <w:tcPr>
            <w:tcW w:w="140" w:type="dxa"/>
            <w:vAlign w:val="bottom"/>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Issuance of Class B-1 common stock at par value</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Members’ deficit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(86,460)</w:t>
            </w:r>
          </w:p>
        </w:tc>
        <w:tc>
          <w:tcPr>
            <w:tcW w:w="140" w:type="dxa"/>
            <w:vAlign w:val="bottom"/>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Percentage of non-controlling interest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70.3%</w:t>
            </w: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to non-controlling interest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$(60,785)</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-144780</wp:posOffset>
            </wp:positionV>
            <wp:extent cx="43287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-419100</wp:posOffset>
            </wp:positionV>
            <wp:extent cx="43287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ind w:left="1620" w:right="1340" w:hanging="360"/>
        <w:spacing w:after="0" w:line="255"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Reflects the net effect on cash of the receipt of offering proceeds to us of $812.4 based on the sale of shares of Class A common stock at the initial public offering of $28.00 per share, after deducting the underwriting discounts and commissions and estimated offering expenses payable by us. These amounts, as described in “Use of Proceeds,” will be used by Fluence Energy, LLC to repay any future outstanding borrowings under our existing Line of Credit and the Promissory Notes, and the remainder for working capital and other general corporate purposes.</w:t>
      </w:r>
    </w:p>
    <w:p>
      <w:pPr>
        <w:spacing w:after="0" w:line="30" w:lineRule="exact"/>
        <w:rPr>
          <w:rFonts w:ascii="Arial" w:cs="Arial" w:eastAsia="Arial" w:hAnsi="Arial"/>
          <w:sz w:val="18"/>
          <w:szCs w:val="18"/>
          <w:color w:val="auto"/>
        </w:rPr>
      </w:pPr>
    </w:p>
    <w:p>
      <w:pPr>
        <w:ind w:left="1620" w:right="1280" w:hanging="360"/>
        <w:spacing w:after="0" w:line="25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adjustment relates to: (a) the cumulative catch-up for the services provided under both the Options and Phantoms of $14.3 million, (b) a modification of historical grants to the former CEO, (c) a modification of historical grants to executives of the Company, and (d) a Day 1 liability related to the liability classified awards of $14.1 million, all of which we expect to incur following the completion of this offering. Below is a further breakdown of the four components, respectively:</w:t>
      </w:r>
    </w:p>
    <w:p>
      <w:pPr>
        <w:spacing w:after="0" w:line="120" w:lineRule="exact"/>
        <w:rPr>
          <w:rFonts w:ascii="Arial" w:cs="Arial" w:eastAsia="Arial" w:hAnsi="Arial"/>
          <w:sz w:val="18"/>
          <w:szCs w:val="18"/>
          <w:color w:val="auto"/>
        </w:rPr>
      </w:pPr>
    </w:p>
    <w:p>
      <w:pPr>
        <w:ind w:left="1620" w:right="1460" w:firstLine="360"/>
        <w:spacing w:after="0" w:line="248" w:lineRule="auto"/>
        <w:tabs>
          <w:tab w:leader="none" w:pos="2336" w:val="left"/>
        </w:tabs>
        <w:numPr>
          <w:ilvl w:val="1"/>
          <w:numId w:val="50"/>
        </w:numPr>
        <w:rPr>
          <w:rFonts w:ascii="Arial" w:cs="Arial" w:eastAsia="Arial" w:hAnsi="Arial"/>
          <w:sz w:val="18"/>
          <w:szCs w:val="18"/>
          <w:color w:val="auto"/>
        </w:rPr>
      </w:pPr>
      <w:r>
        <w:rPr>
          <w:rFonts w:ascii="Arial" w:cs="Arial" w:eastAsia="Arial" w:hAnsi="Arial"/>
          <w:sz w:val="18"/>
          <w:szCs w:val="18"/>
          <w:color w:val="auto"/>
        </w:rPr>
        <w:t>Options and Phantom awards which meet their performance condition upon the IPO and are adjusted based on their original grant date fair value representing a cumulative adjustment of the service to-date on outstanding awards since grant; and</w:t>
      </w:r>
    </w:p>
    <w:p>
      <w:pPr>
        <w:spacing w:after="0" w:line="114" w:lineRule="exact"/>
        <w:rPr>
          <w:rFonts w:ascii="Arial" w:cs="Arial" w:eastAsia="Arial" w:hAnsi="Arial"/>
          <w:sz w:val="18"/>
          <w:szCs w:val="18"/>
          <w:color w:val="auto"/>
        </w:rPr>
      </w:pPr>
    </w:p>
    <w:p>
      <w:pPr>
        <w:ind w:left="1620" w:right="1500" w:firstLine="360"/>
        <w:spacing w:after="0" w:line="241" w:lineRule="auto"/>
        <w:tabs>
          <w:tab w:leader="none" w:pos="2346" w:val="left"/>
        </w:tabs>
        <w:numPr>
          <w:ilvl w:val="1"/>
          <w:numId w:val="50"/>
        </w:numPr>
        <w:rPr>
          <w:rFonts w:ascii="Arial" w:cs="Arial" w:eastAsia="Arial" w:hAnsi="Arial"/>
          <w:sz w:val="18"/>
          <w:szCs w:val="18"/>
          <w:color w:val="auto"/>
        </w:rPr>
      </w:pPr>
      <w:r>
        <w:rPr>
          <w:rFonts w:ascii="Arial" w:cs="Arial" w:eastAsia="Arial" w:hAnsi="Arial"/>
          <w:sz w:val="18"/>
          <w:szCs w:val="18"/>
          <w:color w:val="auto"/>
        </w:rPr>
        <w:t>Immediately prior to this offering, the existing Options and Phantoms will be modified, qualifying as an improbable to improbable modification under ASC 718, to remove their required service condition and change their performance condition settlement to be paid in cash at the time of IPO. The $6.0 million charge represents the value of the Options and Phantoms as of the new measurement date;</w:t>
      </w:r>
    </w:p>
    <w:p>
      <w:pPr>
        <w:spacing w:after="0" w:line="108" w:lineRule="exact"/>
        <w:rPr>
          <w:rFonts w:ascii="Arial" w:cs="Arial" w:eastAsia="Arial" w:hAnsi="Arial"/>
          <w:sz w:val="18"/>
          <w:szCs w:val="18"/>
          <w:color w:val="auto"/>
        </w:rPr>
      </w:pPr>
    </w:p>
    <w:p>
      <w:pPr>
        <w:ind w:left="1620" w:right="1260" w:firstLine="360"/>
        <w:spacing w:after="0" w:line="241" w:lineRule="auto"/>
        <w:tabs>
          <w:tab w:leader="none" w:pos="2336" w:val="left"/>
        </w:tabs>
        <w:numPr>
          <w:ilvl w:val="1"/>
          <w:numId w:val="50"/>
        </w:numPr>
        <w:rPr>
          <w:rFonts w:ascii="Arial" w:cs="Arial" w:eastAsia="Arial" w:hAnsi="Arial"/>
          <w:sz w:val="18"/>
          <w:szCs w:val="18"/>
          <w:color w:val="auto"/>
        </w:rPr>
      </w:pPr>
      <w:r>
        <w:rPr>
          <w:rFonts w:ascii="Arial" w:cs="Arial" w:eastAsia="Arial" w:hAnsi="Arial"/>
          <w:sz w:val="18"/>
          <w:szCs w:val="18"/>
          <w:color w:val="auto"/>
        </w:rPr>
        <w:t>Immediately prior to this offering, the existing Phantom awards for executive members of the Company will be modified, qualifying as an improbable to improbable modification under ASC 718, to extend their required service condition after the performance condition has been met. The $16.5 million charge represents the value of the Phantoms as of the new measurement date which is based on the initial public offering price of $28.00 per share; and</w:t>
      </w:r>
    </w:p>
    <w:p>
      <w:pPr>
        <w:spacing w:after="0" w:line="121" w:lineRule="exact"/>
        <w:rPr>
          <w:rFonts w:ascii="Arial" w:cs="Arial" w:eastAsia="Arial" w:hAnsi="Arial"/>
          <w:sz w:val="18"/>
          <w:szCs w:val="18"/>
          <w:color w:val="auto"/>
        </w:rPr>
      </w:pPr>
    </w:p>
    <w:p>
      <w:pPr>
        <w:ind w:left="1620" w:right="1340" w:firstLine="360"/>
        <w:spacing w:after="0" w:line="248" w:lineRule="auto"/>
        <w:tabs>
          <w:tab w:leader="none" w:pos="2346" w:val="left"/>
        </w:tabs>
        <w:numPr>
          <w:ilvl w:val="1"/>
          <w:numId w:val="50"/>
        </w:numPr>
        <w:rPr>
          <w:rFonts w:ascii="Arial" w:cs="Arial" w:eastAsia="Arial" w:hAnsi="Arial"/>
          <w:sz w:val="18"/>
          <w:szCs w:val="18"/>
          <w:color w:val="auto"/>
        </w:rPr>
      </w:pPr>
      <w:r>
        <w:rPr>
          <w:rFonts w:ascii="Arial" w:cs="Arial" w:eastAsia="Arial" w:hAnsi="Arial"/>
          <w:sz w:val="18"/>
          <w:szCs w:val="18"/>
          <w:color w:val="auto"/>
        </w:rPr>
        <w:t>Options and Phantom awards which are liability classified and will be cash settled at the initial public offering of $28.00 per share, after deducting the underwriting discounts and commissions but before estimated offering expenses payable by us.</w:t>
      </w:r>
    </w:p>
    <w:p>
      <w:pPr>
        <w:spacing w:after="0" w:line="33" w:lineRule="exact"/>
        <w:rPr>
          <w:rFonts w:ascii="Arial" w:cs="Arial" w:eastAsia="Arial" w:hAnsi="Arial"/>
          <w:sz w:val="18"/>
          <w:szCs w:val="18"/>
          <w:color w:val="auto"/>
        </w:rPr>
      </w:pPr>
    </w:p>
    <w:p>
      <w:pPr>
        <w:ind w:left="1620" w:right="1500" w:hanging="360"/>
        <w:spacing w:after="0" w:line="259"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are deferring certain costs associated with this offering, including certain legal, accounting, and other related expenses, which have been recorded in other assets on our consolidated balance sheet. Upon completion of this offering, these deferred costs will be charged against the proceeds from this offering with a corresponding reduction to additional paid-in capital.</w:t>
      </w:r>
    </w:p>
    <w:p>
      <w:pPr>
        <w:spacing w:after="0" w:line="24" w:lineRule="exact"/>
        <w:rPr>
          <w:rFonts w:ascii="Arial" w:cs="Arial" w:eastAsia="Arial" w:hAnsi="Arial"/>
          <w:sz w:val="18"/>
          <w:szCs w:val="18"/>
          <w:color w:val="auto"/>
        </w:rPr>
      </w:pPr>
    </w:p>
    <w:p>
      <w:pPr>
        <w:ind w:left="1620" w:hanging="360"/>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table is a reconciliation of the Offering Adjustments impacting additional paid-in-capital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540" w:type="dxa"/>
            <w:vAlign w:val="bottom"/>
            <w:gridSpan w:val="2"/>
          </w:tcPr>
          <w:p>
            <w:pPr>
              <w:ind w:left="16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June 30, 2021</w:t>
            </w:r>
          </w:p>
        </w:tc>
        <w:tc>
          <w:tcPr>
            <w:tcW w:w="50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Note</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59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Reclassification of Mezzanine equity</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34,825</w:t>
            </w: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(2)</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5920" w:type="dxa"/>
            <w:vAlign w:val="bottom"/>
          </w:tcPr>
          <w:p>
            <w:pPr>
              <w:spacing w:after="0" w:line="176" w:lineRule="exact"/>
              <w:rPr>
                <w:sz w:val="20"/>
                <w:szCs w:val="20"/>
                <w:color w:val="auto"/>
              </w:rPr>
            </w:pPr>
            <w:r>
              <w:rPr>
                <w:rFonts w:ascii="Arial" w:cs="Arial" w:eastAsia="Arial" w:hAnsi="Arial"/>
                <w:sz w:val="18"/>
                <w:szCs w:val="18"/>
                <w:color w:val="auto"/>
              </w:rPr>
              <w:t>Reclassification of Members’ deficit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w w:val="95"/>
              </w:rPr>
              <w:t>(25,675)</w:t>
            </w:r>
          </w:p>
        </w:tc>
        <w:tc>
          <w:tcPr>
            <w:tcW w:w="500" w:type="dxa"/>
            <w:vAlign w:val="bottom"/>
            <w:gridSpan w:val="2"/>
          </w:tcPr>
          <w:p>
            <w:pPr>
              <w:jc w:val="center"/>
              <w:ind w:left="114"/>
              <w:spacing w:after="0" w:line="176" w:lineRule="exact"/>
              <w:rPr>
                <w:sz w:val="20"/>
                <w:szCs w:val="20"/>
                <w:color w:val="auto"/>
              </w:rPr>
            </w:pPr>
            <w:r>
              <w:rPr>
                <w:rFonts w:ascii="Arial" w:cs="Arial" w:eastAsia="Arial" w:hAnsi="Arial"/>
                <w:sz w:val="18"/>
                <w:szCs w:val="18"/>
                <w:color w:val="auto"/>
                <w:w w:val="99"/>
              </w:rPr>
              <w:t>(3)</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5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proceeds from offering of Class A Common Stock</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241,258</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center"/>
              <w:ind w:left="114"/>
              <w:spacing w:after="0" w:line="176" w:lineRule="exact"/>
              <w:rPr>
                <w:sz w:val="20"/>
                <w:szCs w:val="20"/>
                <w:color w:val="auto"/>
              </w:rPr>
            </w:pPr>
            <w:r>
              <w:rPr>
                <w:rFonts w:ascii="Arial" w:cs="Arial" w:eastAsia="Arial" w:hAnsi="Arial"/>
                <w:sz w:val="18"/>
                <w:szCs w:val="18"/>
                <w:color w:val="auto"/>
                <w:w w:val="99"/>
              </w:rPr>
              <w:t>(4)</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5920" w:type="dxa"/>
            <w:vAlign w:val="bottom"/>
          </w:tcPr>
          <w:p>
            <w:pPr>
              <w:spacing w:after="0" w:line="176" w:lineRule="exact"/>
              <w:rPr>
                <w:sz w:val="20"/>
                <w:szCs w:val="20"/>
                <w:color w:val="auto"/>
              </w:rPr>
            </w:pPr>
            <w:r>
              <w:rPr>
                <w:rFonts w:ascii="Arial" w:cs="Arial" w:eastAsia="Arial" w:hAnsi="Arial"/>
                <w:sz w:val="18"/>
                <w:szCs w:val="18"/>
                <w:color w:val="auto"/>
              </w:rPr>
              <w:t>Day 1 Compensation Charge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4,243</w:t>
            </w:r>
          </w:p>
        </w:tc>
        <w:tc>
          <w:tcPr>
            <w:tcW w:w="80" w:type="dxa"/>
            <w:vAlign w:val="bottom"/>
          </w:tcPr>
          <w:p>
            <w:pPr>
              <w:spacing w:after="0"/>
              <w:rPr>
                <w:sz w:val="15"/>
                <w:szCs w:val="15"/>
                <w:color w:val="auto"/>
              </w:rPr>
            </w:pPr>
          </w:p>
        </w:tc>
        <w:tc>
          <w:tcPr>
            <w:tcW w:w="500" w:type="dxa"/>
            <w:vAlign w:val="bottom"/>
            <w:gridSpan w:val="2"/>
          </w:tcPr>
          <w:p>
            <w:pPr>
              <w:jc w:val="center"/>
              <w:ind w:left="114"/>
              <w:spacing w:after="0" w:line="176" w:lineRule="exact"/>
              <w:rPr>
                <w:sz w:val="20"/>
                <w:szCs w:val="20"/>
                <w:color w:val="auto"/>
              </w:rPr>
            </w:pPr>
            <w:r>
              <w:rPr>
                <w:rFonts w:ascii="Arial" w:cs="Arial" w:eastAsia="Arial" w:hAnsi="Arial"/>
                <w:sz w:val="18"/>
                <w:szCs w:val="18"/>
                <w:color w:val="auto"/>
                <w:w w:val="99"/>
              </w:rPr>
              <w:t>(5)</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costs incurred in this offering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(1,016)</w:t>
            </w:r>
          </w:p>
        </w:tc>
        <w:tc>
          <w:tcPr>
            <w:tcW w:w="500" w:type="dxa"/>
            <w:vAlign w:val="bottom"/>
            <w:gridSpan w:val="2"/>
            <w:shd w:val="clear" w:color="auto" w:fill="CCEEFF"/>
          </w:tcPr>
          <w:p>
            <w:pPr>
              <w:jc w:val="center"/>
              <w:ind w:left="114"/>
              <w:spacing w:after="0" w:line="202" w:lineRule="exact"/>
              <w:rPr>
                <w:sz w:val="20"/>
                <w:szCs w:val="20"/>
                <w:color w:val="auto"/>
              </w:rPr>
            </w:pPr>
            <w:r>
              <w:rPr>
                <w:rFonts w:ascii="Arial" w:cs="Arial" w:eastAsia="Arial" w:hAnsi="Arial"/>
                <w:sz w:val="18"/>
                <w:szCs w:val="18"/>
                <w:color w:val="auto"/>
                <w:w w:val="99"/>
              </w:rPr>
              <w:t>(6)</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59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additional paid-in capital pro forma adjustment</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253,635</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54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75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-1413510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-1413510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hanging="360"/>
        <w:spacing w:after="0" w:line="259"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addition to the adjustments to additional paid-in capital above in Note (7), other accounts within stockholders’ equity, including accumulated deficit, are adjusted to reflect the approximately 70.3% ownership interest held by the noncontrolling interests. The following table is a reconciliation of the Offering Adjustments impacting noncontrolling interests: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5"/>
        </w:trPr>
        <w:tc>
          <w:tcPr>
            <w:tcW w:w="5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June 30, 2021</w:t>
            </w:r>
          </w:p>
        </w:tc>
        <w:tc>
          <w:tcPr>
            <w:tcW w:w="50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Note</w:t>
            </w:r>
          </w:p>
        </w:tc>
      </w:tr>
      <w:tr>
        <w:trPr>
          <w:trHeight w:val="196"/>
        </w:trPr>
        <w:tc>
          <w:tcPr>
            <w:tcW w:w="5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Reclassification of Mezzanine equity</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82,447</w:t>
            </w: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Reclassification of Members’ deficit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5"/>
              </w:rPr>
              <w:t>(60,785)</w:t>
            </w:r>
          </w:p>
        </w:tc>
        <w:tc>
          <w:tcPr>
            <w:tcW w:w="500" w:type="dxa"/>
            <w:vAlign w:val="bottom"/>
            <w:gridSpan w:val="2"/>
          </w:tcPr>
          <w:p>
            <w:pPr>
              <w:jc w:val="center"/>
              <w:ind w:left="114"/>
              <w:spacing w:after="0" w:line="202" w:lineRule="exact"/>
              <w:rPr>
                <w:sz w:val="20"/>
                <w:szCs w:val="20"/>
                <w:color w:val="auto"/>
              </w:rPr>
            </w:pPr>
            <w:r>
              <w:rPr>
                <w:rFonts w:ascii="Arial" w:cs="Arial" w:eastAsia="Arial" w:hAnsi="Arial"/>
                <w:sz w:val="18"/>
                <w:szCs w:val="18"/>
                <w:color w:val="auto"/>
                <w:w w:val="99"/>
              </w:rPr>
              <w:t>(3)</w:t>
            </w:r>
          </w:p>
        </w:tc>
      </w:tr>
      <w:tr>
        <w:trPr>
          <w:trHeight w:val="202"/>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net proceeds from offering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571,172</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left="114"/>
              <w:spacing w:after="0" w:line="202" w:lineRule="exact"/>
              <w:rPr>
                <w:sz w:val="20"/>
                <w:szCs w:val="20"/>
                <w:color w:val="auto"/>
              </w:rPr>
            </w:pPr>
            <w:r>
              <w:rPr>
                <w:rFonts w:ascii="Arial" w:cs="Arial" w:eastAsia="Arial" w:hAnsi="Arial"/>
                <w:sz w:val="18"/>
                <w:szCs w:val="18"/>
                <w:color w:val="auto"/>
                <w:w w:val="99"/>
              </w:rPr>
              <w:t>(4)</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Reclassification of liability classified awards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5"/>
              </w:rPr>
              <w:t>(14,170)</w:t>
            </w:r>
          </w:p>
        </w:tc>
        <w:tc>
          <w:tcPr>
            <w:tcW w:w="500" w:type="dxa"/>
            <w:vAlign w:val="bottom"/>
            <w:gridSpan w:val="2"/>
          </w:tcPr>
          <w:p>
            <w:pPr>
              <w:jc w:val="center"/>
              <w:ind w:left="114"/>
              <w:spacing w:after="0" w:line="202" w:lineRule="exact"/>
              <w:rPr>
                <w:sz w:val="20"/>
                <w:szCs w:val="20"/>
                <w:color w:val="auto"/>
              </w:rPr>
            </w:pPr>
            <w:r>
              <w:rPr>
                <w:rFonts w:ascii="Arial" w:cs="Arial" w:eastAsia="Arial" w:hAnsi="Arial"/>
                <w:sz w:val="18"/>
                <w:szCs w:val="18"/>
                <w:color w:val="auto"/>
                <w:w w:val="99"/>
              </w:rPr>
              <w:t>(5)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write-off of deferred costs incurred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w:t>
            </w:r>
          </w:p>
        </w:tc>
        <w:tc>
          <w:tcPr>
            <w:tcW w:w="50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(6)</w:t>
            </w:r>
          </w:p>
        </w:tc>
      </w:tr>
      <w:tr>
        <w:trPr>
          <w:trHeight w:val="209"/>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noncontrolling interests pro forma adjustment</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576,259</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-839470</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-839470</wp:posOffset>
            </wp:positionV>
            <wp:extent cx="137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ind w:left="1620" w:right="459" w:hanging="360"/>
        <w:spacing w:after="0" w:line="25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connection with the consummation of this offering, we expect to enter into the Revolver, pursuant to which we will be able to borrow up to $200.0 million. We expect the Revolver to be undrawn at the time of closing and will pay a 0.6% upfront fees to our lenders plus associated legal expenses. See “Management’s Discussion and Analysis of Financial Condition and Results of Operations — Liquidity and Capital Resources — Revolving Credit Facility.”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Fluence Energy, Inc. and subsidiaries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Unaudited pro forma consolidated statement of operations for the nine month period ended June 30, 2021</w:t>
      </w:r>
    </w:p>
    <w:p>
      <w:pPr>
        <w:spacing w:after="0" w:line="2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760" w:type="dxa"/>
            <w:vAlign w:val="bottom"/>
            <w:gridSpan w:val="6"/>
          </w:tcPr>
          <w:p>
            <w:pPr>
              <w:ind w:left="200"/>
              <w:spacing w:after="0" w:line="149" w:lineRule="exact"/>
              <w:rPr>
                <w:sz w:val="20"/>
                <w:szCs w:val="20"/>
                <w:color w:val="auto"/>
              </w:rPr>
            </w:pPr>
            <w:r>
              <w:rPr>
                <w:rFonts w:ascii="Arial" w:cs="Arial" w:eastAsia="Arial" w:hAnsi="Arial"/>
                <w:sz w:val="14"/>
                <w:szCs w:val="14"/>
                <w:b w:val="1"/>
                <w:bCs w:val="1"/>
                <w:color w:val="auto"/>
              </w:rPr>
              <w:t>Fluence Energy, LLC</w:t>
            </w:r>
          </w:p>
        </w:tc>
        <w:tc>
          <w:tcPr>
            <w:tcW w:w="920" w:type="dxa"/>
            <w:vAlign w:val="bottom"/>
            <w:gridSpan w:val="3"/>
          </w:tcPr>
          <w:p>
            <w:pPr>
              <w:jc w:val="right"/>
              <w:ind w:right="215"/>
              <w:spacing w:after="0" w:line="149" w:lineRule="exact"/>
              <w:rPr>
                <w:sz w:val="20"/>
                <w:szCs w:val="20"/>
                <w:color w:val="auto"/>
              </w:rPr>
            </w:pPr>
            <w:r>
              <w:rPr>
                <w:rFonts w:ascii="Arial" w:cs="Arial" w:eastAsia="Arial" w:hAnsi="Arial"/>
                <w:sz w:val="14"/>
                <w:szCs w:val="14"/>
                <w:b w:val="1"/>
                <w:bCs w:val="1"/>
                <w:color w:val="auto"/>
                <w:w w:val="80"/>
              </w:rPr>
              <w:t>Transaction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0"/>
              </w:rPr>
              <w:t>Historical</w:t>
            </w:r>
            <w:r>
              <w:rPr>
                <w:rFonts w:ascii="Arial" w:cs="Arial" w:eastAsia="Arial" w:hAnsi="Arial"/>
                <w:sz w:val="17"/>
                <w:szCs w:val="17"/>
                <w:b w:val="1"/>
                <w:bCs w:val="1"/>
                <w:color w:val="auto"/>
                <w:w w:val="90"/>
                <w:vertAlign w:val="superscript"/>
              </w:rPr>
              <w:t>(1)</w:t>
            </w: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Adjustments</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Fluence Energy, Inc.</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430,397</w:t>
            </w:r>
          </w:p>
        </w:tc>
        <w:tc>
          <w:tcPr>
            <w:tcW w:w="2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 from related parties</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62,164</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62,164</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492,561</w:t>
            </w: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502,644</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55"/>
              <w:spacing w:after="0" w:line="256" w:lineRule="exact"/>
              <w:rPr>
                <w:sz w:val="20"/>
                <w:szCs w:val="20"/>
                <w:color w:val="auto"/>
              </w:rPr>
            </w:pPr>
            <w:r>
              <w:rPr>
                <w:rFonts w:ascii="Arial" w:cs="Arial" w:eastAsia="Arial" w:hAnsi="Arial"/>
                <w:sz w:val="18"/>
                <w:szCs w:val="18"/>
                <w:color w:val="auto"/>
              </w:rPr>
              <w:t>1,214</w:t>
            </w:r>
            <w:r>
              <w:rPr>
                <w:rFonts w:ascii="Arial" w:cs="Arial" w:eastAsia="Arial" w:hAnsi="Arial"/>
                <w:sz w:val="26"/>
                <w:szCs w:val="26"/>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503,858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(1,214)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17,251</w:t>
            </w:r>
          </w:p>
        </w:tc>
        <w:tc>
          <w:tcPr>
            <w:tcW w:w="2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5"/>
              <w:spacing w:after="0" w:line="230" w:lineRule="exact"/>
              <w:rPr>
                <w:sz w:val="20"/>
                <w:szCs w:val="20"/>
                <w:color w:val="auto"/>
              </w:rPr>
            </w:pPr>
            <w:r>
              <w:rPr>
                <w:rFonts w:ascii="Arial" w:cs="Arial" w:eastAsia="Arial" w:hAnsi="Arial"/>
                <w:sz w:val="18"/>
                <w:szCs w:val="18"/>
                <w:color w:val="auto"/>
              </w:rPr>
              <w:t>1,524</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55"/>
              <w:spacing w:after="0" w:line="230" w:lineRule="exact"/>
              <w:rPr>
                <w:sz w:val="20"/>
                <w:szCs w:val="20"/>
                <w:color w:val="auto"/>
              </w:rPr>
            </w:pPr>
            <w:r>
              <w:rPr>
                <w:rFonts w:ascii="Arial" w:cs="Arial" w:eastAsia="Arial" w:hAnsi="Arial"/>
                <w:sz w:val="18"/>
                <w:szCs w:val="18"/>
                <w:color w:val="auto"/>
              </w:rPr>
              <w:t>1,784</w:t>
            </w:r>
            <w:r>
              <w:rPr>
                <w:rFonts w:ascii="Arial" w:cs="Arial" w:eastAsia="Arial" w:hAnsi="Arial"/>
                <w:sz w:val="26"/>
                <w:szCs w:val="26"/>
                <w:color w:val="auto"/>
                <w:vertAlign w:val="superscript"/>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2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5"/>
              <w:spacing w:after="0" w:line="230" w:lineRule="exact"/>
              <w:rPr>
                <w:sz w:val="20"/>
                <w:szCs w:val="20"/>
                <w:color w:val="auto"/>
              </w:rPr>
            </w:pPr>
            <w:r>
              <w:rPr>
                <w:rFonts w:ascii="Arial" w:cs="Arial" w:eastAsia="Arial" w:hAnsi="Arial"/>
                <w:sz w:val="18"/>
                <w:szCs w:val="18"/>
                <w:color w:val="auto"/>
              </w:rPr>
              <w:t>4,676</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(366)</w:t>
            </w:r>
            <w:r>
              <w:rPr>
                <w:rFonts w:ascii="Arial" w:cs="Arial" w:eastAsia="Arial" w:hAnsi="Arial"/>
                <w:sz w:val="26"/>
                <w:szCs w:val="26"/>
                <w:color w:val="auto"/>
                <w:vertAlign w:val="superscript"/>
              </w:rPr>
              <w:t>(5)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(71,930)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55"/>
              <w:spacing w:after="0"/>
              <w:rPr>
                <w:sz w:val="20"/>
                <w:szCs w:val="20"/>
                <w:color w:val="auto"/>
              </w:rPr>
            </w:pPr>
            <w:r>
              <w:rPr>
                <w:rFonts w:ascii="Arial" w:cs="Arial" w:eastAsia="Arial" w:hAnsi="Arial"/>
                <w:sz w:val="18"/>
                <w:szCs w:val="18"/>
                <w:color w:val="auto"/>
              </w:rPr>
              <w:t>(9,564)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(81,494)</w:t>
            </w:r>
          </w:p>
        </w:tc>
        <w:tc>
          <w:tcPr>
            <w:tcW w:w="0" w:type="dxa"/>
            <w:vAlign w:val="bottom"/>
          </w:tcPr>
          <w:p>
            <w:pPr>
              <w:spacing w:after="0"/>
              <w:rPr>
                <w:sz w:val="1"/>
                <w:szCs w:val="1"/>
                <w:color w:val="auto"/>
              </w:rPr>
            </w:pPr>
          </w:p>
        </w:tc>
      </w:tr>
      <w:tr>
        <w:trPr>
          <w:trHeight w:val="236"/>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w w:val="72"/>
              </w:rPr>
              <w:t>(3)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(74,804)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55"/>
              <w:spacing w:after="0"/>
              <w:rPr>
                <w:sz w:val="20"/>
                <w:szCs w:val="20"/>
                <w:color w:val="auto"/>
              </w:rPr>
            </w:pPr>
            <w:r>
              <w:rPr>
                <w:rFonts w:ascii="Arial" w:cs="Arial" w:eastAsia="Arial" w:hAnsi="Arial"/>
                <w:sz w:val="18"/>
                <w:szCs w:val="18"/>
                <w:color w:val="auto"/>
              </w:rPr>
              <w:t>(9,564)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(84,368)</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line="250" w:lineRule="exact"/>
              <w:rPr>
                <w:sz w:val="20"/>
                <w:szCs w:val="20"/>
                <w:color w:val="auto"/>
              </w:rPr>
            </w:pPr>
            <w:r>
              <w:rPr>
                <w:rFonts w:ascii="Arial" w:cs="Arial" w:eastAsia="Arial" w:hAnsi="Arial"/>
                <w:sz w:val="18"/>
                <w:szCs w:val="18"/>
                <w:color w:val="auto"/>
                <w:w w:val="86"/>
              </w:rPr>
              <w:t>(59,314)</w:t>
            </w:r>
            <w:r>
              <w:rPr>
                <w:rFonts w:ascii="Arial" w:cs="Arial" w:eastAsia="Arial" w:hAnsi="Arial"/>
                <w:sz w:val="26"/>
                <w:szCs w:val="26"/>
                <w:color w:val="auto"/>
                <w:w w:val="86"/>
                <w:vertAlign w:val="superscript"/>
              </w:rPr>
              <w:t>(4)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(59,314)</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Net loss attributable to Fluence Energy, Inc.</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(74,804)</w:t>
            </w:r>
          </w:p>
        </w:tc>
        <w:tc>
          <w:tcPr>
            <w:tcW w:w="2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49,750</w:t>
            </w:r>
          </w:p>
        </w:tc>
        <w:tc>
          <w:tcPr>
            <w:tcW w:w="20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(25,054)</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Pro Forma Net loss per share data:</w:t>
            </w:r>
            <w:r>
              <w:rPr>
                <w:rFonts w:ascii="Arial" w:cs="Arial" w:eastAsia="Arial" w:hAnsi="Arial"/>
                <w:sz w:val="23"/>
                <w:szCs w:val="23"/>
                <w:b w:val="1"/>
                <w:bCs w:val="1"/>
                <w:color w:val="auto"/>
                <w:vertAlign w:val="superscript"/>
              </w:rPr>
              <w:t>(5)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w w:val="96"/>
              </w:rPr>
              <w:t>Net income available to Class A common stock per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9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55"/>
              <w:spacing w:after="0"/>
              <w:rPr>
                <w:sz w:val="20"/>
                <w:szCs w:val="20"/>
                <w:color w:val="auto"/>
              </w:rPr>
            </w:pPr>
            <w:r>
              <w:rPr>
                <w:rFonts w:ascii="Arial" w:cs="Arial" w:eastAsia="Arial" w:hAnsi="Arial"/>
                <w:sz w:val="13"/>
                <w:szCs w:val="13"/>
                <w:color w:val="auto"/>
              </w:rPr>
              <w:t>(6)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101"/>
        </w:trPr>
        <w:tc>
          <w:tcPr>
            <w:tcW w:w="394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gridSpan w:val="2"/>
            <w:vMerge w:val="continue"/>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2"/>
            <w:vMerge w:val="restart"/>
          </w:tcPr>
          <w:p>
            <w:pPr>
              <w:jc w:val="right"/>
              <w:ind w:right="55"/>
              <w:spacing w:after="0"/>
              <w:rPr>
                <w:sz w:val="20"/>
                <w:szCs w:val="20"/>
                <w:color w:val="auto"/>
              </w:rPr>
            </w:pPr>
            <w:r>
              <w:rPr>
                <w:rFonts w:ascii="Arial" w:cs="Arial" w:eastAsia="Arial" w:hAnsi="Arial"/>
                <w:sz w:val="13"/>
                <w:szCs w:val="13"/>
                <w:color w:val="auto"/>
              </w:rPr>
              <w:t>(6)</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81"/>
        </w:trPr>
        <w:tc>
          <w:tcPr>
            <w:tcW w:w="3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980305" cy="299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80305" cy="2997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-1216660</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-1216660</wp:posOffset>
            </wp:positionV>
            <wp:extent cx="2654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-1216660</wp:posOffset>
            </wp:positionV>
            <wp:extent cx="36175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17595" cy="889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-1550670</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-1550670</wp:posOffset>
            </wp:positionV>
            <wp:extent cx="2654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-1550670</wp:posOffset>
            </wp:positionV>
            <wp:extent cx="36175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-2750820</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-2750820</wp:posOffset>
            </wp:positionV>
            <wp:extent cx="2654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-2750820</wp:posOffset>
            </wp:positionV>
            <wp:extent cx="36175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-3059430</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-3059430</wp:posOffset>
            </wp:positionV>
            <wp:extent cx="2654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-3059430</wp:posOffset>
            </wp:positionV>
            <wp:extent cx="36175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-3376930</wp:posOffset>
            </wp:positionV>
            <wp:extent cx="1289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-3376930</wp:posOffset>
            </wp:positionV>
            <wp:extent cx="1289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-3376930</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ind w:left="1620"/>
        <w:spacing w:after="0"/>
        <w:rPr>
          <w:sz w:val="20"/>
          <w:szCs w:val="20"/>
          <w:color w:val="auto"/>
        </w:rPr>
      </w:pPr>
      <w:r>
        <w:rPr>
          <w:rFonts w:ascii="Arial" w:cs="Arial" w:eastAsia="Arial" w:hAnsi="Arial"/>
          <w:sz w:val="16"/>
          <w:szCs w:val="16"/>
          <w:color w:val="auto"/>
        </w:rPr>
        <w:t>Weighted-average shares of Class A common stock</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outstanding:</w:t>
      </w:r>
    </w:p>
    <w:p>
      <w:pPr>
        <w:spacing w:after="0" w:line="6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98030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80305" cy="205740"/>
                    </a:xfrm>
                    <a:prstGeom prst="rect">
                      <a:avLst/>
                    </a:prstGeom>
                    <a:noFill/>
                  </pic:spPr>
                </pic:pic>
              </a:graphicData>
            </a:graphic>
          </wp:anchor>
        </w:drawing>
      </w:r>
    </w:p>
    <w:p>
      <w:pPr>
        <w:spacing w:after="0" w:line="9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521" w:hanging="521"/>
        <w:spacing w:after="0"/>
        <w:tabs>
          <w:tab w:leader="none" w:pos="521" w:val="left"/>
        </w:tabs>
        <w:numPr>
          <w:ilvl w:val="0"/>
          <w:numId w:val="53"/>
        </w:numPr>
        <w:rPr>
          <w:rFonts w:ascii="Arial" w:cs="Arial" w:eastAsia="Arial" w:hAnsi="Arial"/>
          <w:sz w:val="22"/>
          <w:szCs w:val="22"/>
          <w:color w:val="auto"/>
          <w:vertAlign w:val="superscript"/>
        </w:rPr>
      </w:pPr>
      <w:r>
        <w:rPr>
          <w:rFonts w:ascii="Arial" w:cs="Arial" w:eastAsia="Arial" w:hAnsi="Arial"/>
          <w:sz w:val="15"/>
          <w:szCs w:val="15"/>
          <w:u w:val="single" w:color="auto"/>
          <w:color w:val="auto"/>
        </w:rPr>
        <w:t>49,493,275</w:t>
      </w:r>
    </w:p>
    <w:p>
      <w:pPr>
        <w:spacing w:after="0" w:line="71" w:lineRule="exact"/>
        <w:rPr>
          <w:sz w:val="20"/>
          <w:szCs w:val="20"/>
          <w:color w:val="auto"/>
        </w:rPr>
      </w:pPr>
    </w:p>
    <w:p>
      <w:pPr>
        <w:ind w:left="521" w:hanging="521"/>
        <w:spacing w:after="0"/>
        <w:tabs>
          <w:tab w:leader="none" w:pos="521" w:val="left"/>
        </w:tabs>
        <w:numPr>
          <w:ilvl w:val="0"/>
          <w:numId w:val="54"/>
        </w:numPr>
        <w:rPr>
          <w:rFonts w:ascii="Arial" w:cs="Arial" w:eastAsia="Arial" w:hAnsi="Arial"/>
          <w:sz w:val="22"/>
          <w:szCs w:val="22"/>
          <w:color w:val="auto"/>
          <w:vertAlign w:val="superscript"/>
        </w:rPr>
      </w:pPr>
      <w:r>
        <w:rPr>
          <w:rFonts w:ascii="Arial" w:cs="Arial" w:eastAsia="Arial" w:hAnsi="Arial"/>
          <w:sz w:val="15"/>
          <w:szCs w:val="15"/>
          <w:u w:val="single" w:color="auto"/>
          <w:color w:val="auto"/>
        </w:rPr>
        <w:t>49,493,275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26035</wp:posOffset>
            </wp:positionV>
            <wp:extent cx="5746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59" w:space="720"/>
            <w:col w:w="1900"/>
          </w:cols>
          <w:pgMar w:left="580" w:top="131" w:right="1440" w:bottom="1440" w:gutter="0" w:footer="0" w:header="0"/>
          <w:type w:val="continuous"/>
        </w:sectPr>
      </w:pPr>
    </w:p>
    <w:p>
      <w:pPr>
        <w:spacing w:after="0" w:line="23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Unaudited pro forma consolidated statement of operations for the fiscal year ended September 30, 2020</w:t>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Fluence Energy, LLC</w:t>
            </w:r>
          </w:p>
        </w:tc>
        <w:tc>
          <w:tcPr>
            <w:tcW w:w="94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w w:val="83"/>
              </w:rPr>
              <w:t>Transaction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4"/>
              </w:rPr>
              <w:t>Historical</w:t>
            </w:r>
            <w:r>
              <w:rPr>
                <w:rFonts w:ascii="Arial" w:cs="Arial" w:eastAsia="Arial" w:hAnsi="Arial"/>
                <w:sz w:val="17"/>
                <w:szCs w:val="17"/>
                <w:b w:val="1"/>
                <w:bCs w:val="1"/>
                <w:color w:val="auto"/>
                <w:w w:val="84"/>
                <w:vertAlign w:val="superscript"/>
              </w:rPr>
              <w:t>(1)</w:t>
            </w:r>
          </w:p>
        </w:tc>
        <w:tc>
          <w:tcPr>
            <w:tcW w:w="2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Adjustments</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Fluence Energy, Inc.</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$401,676</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401,676</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Arial" w:cs="Arial" w:eastAsia="Arial" w:hAnsi="Arial"/>
                <w:sz w:val="18"/>
                <w:szCs w:val="18"/>
                <w:color w:val="auto"/>
              </w:rPr>
              <w:t>Revenue from related parties</w:t>
            </w:r>
          </w:p>
        </w:tc>
        <w:tc>
          <w:tcPr>
            <w:tcW w:w="520" w:type="dxa"/>
            <w:vAlign w:val="bottom"/>
            <w:gridSpan w:val="2"/>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159,647</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159,647</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 w:type="dxa"/>
            <w:vAlign w:val="bottom"/>
            <w:gridSpan w:val="2"/>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561,323</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561,323</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520" w:type="dxa"/>
            <w:vAlign w:val="bottom"/>
            <w:gridSpan w:val="2"/>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553,400</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75"/>
              <w:spacing w:after="0" w:line="270" w:lineRule="exact"/>
              <w:rPr>
                <w:sz w:val="20"/>
                <w:szCs w:val="20"/>
                <w:color w:val="auto"/>
              </w:rPr>
            </w:pPr>
            <w:r>
              <w:rPr>
                <w:rFonts w:ascii="Arial" w:cs="Arial" w:eastAsia="Arial" w:hAnsi="Arial"/>
                <w:sz w:val="18"/>
                <w:szCs w:val="18"/>
                <w:color w:val="auto"/>
              </w:rPr>
              <w:t>5,835</w:t>
            </w:r>
            <w:r>
              <w:rPr>
                <w:rFonts w:ascii="Arial" w:cs="Arial" w:eastAsia="Arial" w:hAnsi="Arial"/>
                <w:sz w:val="26"/>
                <w:szCs w:val="26"/>
                <w:color w:val="auto"/>
                <w:vertAlign w:val="superscript"/>
              </w:rPr>
              <w:t>(2)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520" w:type="dxa"/>
            <w:vAlign w:val="bottom"/>
            <w:gridSpan w:val="2"/>
            <w:shd w:val="clear" w:color="auto" w:fill="CCEEFF"/>
          </w:tcPr>
          <w:p>
            <w:pPr>
              <w:spacing w:after="0"/>
              <w:rPr>
                <w:sz w:val="21"/>
                <w:szCs w:val="21"/>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7,923</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(5,835)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11,535</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75"/>
              <w:spacing w:after="0" w:line="256" w:lineRule="exact"/>
              <w:rPr>
                <w:sz w:val="20"/>
                <w:szCs w:val="20"/>
                <w:color w:val="auto"/>
              </w:rPr>
            </w:pPr>
            <w:r>
              <w:rPr>
                <w:rFonts w:ascii="Arial" w:cs="Arial" w:eastAsia="Arial" w:hAnsi="Arial"/>
                <w:sz w:val="18"/>
                <w:szCs w:val="18"/>
                <w:color w:val="auto"/>
              </w:rPr>
              <w:t>5,509</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17,044</w:t>
            </w:r>
          </w:p>
        </w:tc>
        <w:tc>
          <w:tcPr>
            <w:tcW w:w="0" w:type="dxa"/>
            <w:vAlign w:val="bottom"/>
          </w:tcPr>
          <w:p>
            <w:pPr>
              <w:spacing w:after="0"/>
              <w:rPr>
                <w:sz w:val="1"/>
                <w:szCs w:val="1"/>
                <w:color w:val="auto"/>
              </w:rPr>
            </w:pPr>
          </w:p>
        </w:tc>
      </w:tr>
      <w:tr>
        <w:trPr>
          <w:trHeight w:val="257"/>
        </w:trPr>
        <w:tc>
          <w:tcPr>
            <w:tcW w:w="4260" w:type="dxa"/>
            <w:vAlign w:val="bottom"/>
          </w:tcPr>
          <w:p>
            <w:pPr>
              <w:ind w:left="180"/>
              <w:spacing w:after="0"/>
              <w:rPr>
                <w:sz w:val="20"/>
                <w:szCs w:val="20"/>
                <w:color w:val="auto"/>
              </w:rPr>
            </w:pPr>
            <w:r>
              <w:rPr>
                <w:rFonts w:ascii="Arial" w:cs="Arial" w:eastAsia="Arial" w:hAnsi="Arial"/>
                <w:sz w:val="18"/>
                <w:szCs w:val="18"/>
                <w:color w:val="auto"/>
              </w:rPr>
              <w:t>Sales and marketing expenses</w:t>
            </w:r>
          </w:p>
        </w:tc>
        <w:tc>
          <w:tcPr>
            <w:tcW w:w="1520" w:type="dxa"/>
            <w:vAlign w:val="bottom"/>
            <w:gridSpan w:val="4"/>
          </w:tcPr>
          <w:p>
            <w:pPr>
              <w:jc w:val="right"/>
              <w:ind w:right="320"/>
              <w:spacing w:after="0"/>
              <w:rPr>
                <w:sz w:val="20"/>
                <w:szCs w:val="20"/>
                <w:color w:val="auto"/>
              </w:rPr>
            </w:pPr>
            <w:r>
              <w:rPr>
                <w:rFonts w:ascii="Arial" w:cs="Arial" w:eastAsia="Arial" w:hAnsi="Arial"/>
                <w:sz w:val="18"/>
                <w:szCs w:val="18"/>
                <w:color w:val="auto"/>
              </w:rPr>
              <w:t>16,239</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75"/>
              <w:spacing w:after="0" w:line="256" w:lineRule="exact"/>
              <w:rPr>
                <w:sz w:val="20"/>
                <w:szCs w:val="20"/>
                <w:color w:val="auto"/>
              </w:rPr>
            </w:pPr>
            <w:r>
              <w:rPr>
                <w:rFonts w:ascii="Arial" w:cs="Arial" w:eastAsia="Arial" w:hAnsi="Arial"/>
                <w:sz w:val="18"/>
                <w:szCs w:val="18"/>
                <w:color w:val="auto"/>
              </w:rPr>
              <w:t>6,976</w:t>
            </w:r>
            <w:r>
              <w:rPr>
                <w:rFonts w:ascii="Arial" w:cs="Arial" w:eastAsia="Arial" w:hAnsi="Arial"/>
                <w:sz w:val="26"/>
                <w:szCs w:val="26"/>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23,215</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17,940</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75"/>
              <w:spacing w:after="0" w:line="256" w:lineRule="exact"/>
              <w:rPr>
                <w:sz w:val="20"/>
                <w:szCs w:val="20"/>
                <w:color w:val="auto"/>
              </w:rPr>
            </w:pPr>
            <w:r>
              <w:rPr>
                <w:rFonts w:ascii="Arial" w:cs="Arial" w:eastAsia="Arial" w:hAnsi="Arial"/>
                <w:sz w:val="18"/>
                <w:szCs w:val="18"/>
                <w:color w:val="auto"/>
                <w:w w:val="91"/>
              </w:rPr>
              <w:t>22,349</w:t>
            </w:r>
            <w:r>
              <w:rPr>
                <w:rFonts w:ascii="Arial" w:cs="Arial" w:eastAsia="Arial" w:hAnsi="Arial"/>
                <w:sz w:val="26"/>
                <w:szCs w:val="26"/>
                <w:color w:val="auto"/>
                <w:w w:val="91"/>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56"/>
        </w:trPr>
        <w:tc>
          <w:tcPr>
            <w:tcW w:w="42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20" w:type="dxa"/>
            <w:vAlign w:val="bottom"/>
            <w:gridSpan w:val="4"/>
          </w:tcPr>
          <w:p>
            <w:pPr>
              <w:jc w:val="right"/>
              <w:ind w:right="320"/>
              <w:spacing w:after="0"/>
              <w:rPr>
                <w:sz w:val="20"/>
                <w:szCs w:val="20"/>
                <w:color w:val="auto"/>
              </w:rPr>
            </w:pPr>
            <w:r>
              <w:rPr>
                <w:rFonts w:ascii="Arial" w:cs="Arial" w:eastAsia="Arial" w:hAnsi="Arial"/>
                <w:sz w:val="18"/>
                <w:szCs w:val="18"/>
                <w:color w:val="auto"/>
              </w:rPr>
              <w:t>3,018</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gridSpan w:val="2"/>
            <w:shd w:val="clear" w:color="auto" w:fill="CCEEFF"/>
          </w:tcPr>
          <w:p>
            <w:pPr>
              <w:spacing w:after="0"/>
              <w:rPr>
                <w:sz w:val="23"/>
                <w:szCs w:val="23"/>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w:t>
            </w:r>
          </w:p>
        </w:tc>
        <w:tc>
          <w:tcPr>
            <w:tcW w:w="2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5"/>
              <w:spacing w:after="0" w:line="270" w:lineRule="exact"/>
              <w:rPr>
                <w:sz w:val="20"/>
                <w:szCs w:val="20"/>
                <w:color w:val="auto"/>
              </w:rPr>
            </w:pPr>
            <w:r>
              <w:rPr>
                <w:rFonts w:ascii="Arial" w:cs="Arial" w:eastAsia="Arial" w:hAnsi="Arial"/>
                <w:sz w:val="18"/>
                <w:szCs w:val="18"/>
                <w:color w:val="auto"/>
              </w:rPr>
              <w:t>(488)</w:t>
            </w:r>
            <w:r>
              <w:rPr>
                <w:rFonts w:ascii="Arial" w:cs="Arial" w:eastAsia="Arial" w:hAnsi="Arial"/>
                <w:sz w:val="26"/>
                <w:szCs w:val="26"/>
                <w:color w:val="auto"/>
                <w:vertAlign w:val="superscript"/>
              </w:rPr>
              <w:t>(5)</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20" w:type="dxa"/>
            <w:vAlign w:val="bottom"/>
            <w:gridSpan w:val="2"/>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(40,289)</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75"/>
              <w:spacing w:after="0"/>
              <w:rPr>
                <w:sz w:val="20"/>
                <w:szCs w:val="20"/>
                <w:color w:val="auto"/>
              </w:rPr>
            </w:pPr>
            <w:r>
              <w:rPr>
                <w:rFonts w:ascii="Arial" w:cs="Arial" w:eastAsia="Arial" w:hAnsi="Arial"/>
                <w:sz w:val="18"/>
                <w:szCs w:val="18"/>
                <w:color w:val="auto"/>
                <w:w w:val="89"/>
              </w:rPr>
              <w:t>(41,156)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(81,445)</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w w:val="72"/>
              </w:rPr>
              <w:t>(3)</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gridSpan w:val="2"/>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6,421</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6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(46,710)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75"/>
              <w:spacing w:after="0"/>
              <w:rPr>
                <w:sz w:val="20"/>
                <w:szCs w:val="20"/>
                <w:color w:val="auto"/>
              </w:rPr>
            </w:pPr>
            <w:r>
              <w:rPr>
                <w:rFonts w:ascii="Arial" w:cs="Arial" w:eastAsia="Arial" w:hAnsi="Arial"/>
                <w:sz w:val="18"/>
                <w:szCs w:val="18"/>
                <w:color w:val="auto"/>
                <w:w w:val="89"/>
              </w:rPr>
              <w:t>(41,156)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(87,866)</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5"/>
              <w:spacing w:after="0" w:line="270" w:lineRule="exact"/>
              <w:rPr>
                <w:sz w:val="20"/>
                <w:szCs w:val="20"/>
                <w:color w:val="auto"/>
              </w:rPr>
            </w:pPr>
            <w:r>
              <w:rPr>
                <w:rFonts w:ascii="Arial" w:cs="Arial" w:eastAsia="Arial" w:hAnsi="Arial"/>
                <w:sz w:val="18"/>
                <w:szCs w:val="18"/>
                <w:color w:val="auto"/>
                <w:w w:val="86"/>
              </w:rPr>
              <w:t>(61,773)</w:t>
            </w:r>
            <w:r>
              <w:rPr>
                <w:rFonts w:ascii="Arial" w:cs="Arial" w:eastAsia="Arial" w:hAnsi="Arial"/>
                <w:sz w:val="26"/>
                <w:szCs w:val="26"/>
                <w:color w:val="auto"/>
                <w:w w:val="86"/>
                <w:vertAlign w:val="superscript"/>
              </w:rPr>
              <w:t>(4)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(61,773)</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Net loss attributable to Fluence Energy,</w:t>
            </w:r>
          </w:p>
        </w:tc>
        <w:tc>
          <w:tcPr>
            <w:tcW w:w="520" w:type="dxa"/>
            <w:vAlign w:val="bottom"/>
            <w:gridSpan w:val="2"/>
            <w:vMerge w:val="restart"/>
          </w:tcPr>
          <w:p>
            <w:pPr>
              <w:spacing w:after="0"/>
              <w:rPr>
                <w:sz w:val="19"/>
                <w:szCs w:val="19"/>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7"/>
              </w:rPr>
              <w:t>$ (46,710)</w:t>
            </w:r>
          </w:p>
        </w:tc>
        <w:tc>
          <w:tcPr>
            <w:tcW w:w="260" w:type="dxa"/>
            <w:vAlign w:val="bottom"/>
          </w:tcPr>
          <w:p>
            <w:pPr>
              <w:spacing w:after="0"/>
              <w:rPr>
                <w:sz w:val="19"/>
                <w:szCs w:val="19"/>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20,617</w:t>
            </w:r>
          </w:p>
        </w:tc>
        <w:tc>
          <w:tcPr>
            <w:tcW w:w="22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(26,093)</w:t>
            </w:r>
          </w:p>
        </w:tc>
        <w:tc>
          <w:tcPr>
            <w:tcW w:w="0" w:type="dxa"/>
            <w:vAlign w:val="bottom"/>
          </w:tcPr>
          <w:p>
            <w:pPr>
              <w:spacing w:after="0"/>
              <w:rPr>
                <w:sz w:val="1"/>
                <w:szCs w:val="1"/>
                <w:color w:val="auto"/>
              </w:rPr>
            </w:pPr>
          </w:p>
        </w:tc>
      </w:tr>
      <w:tr>
        <w:trPr>
          <w:trHeight w:val="237"/>
        </w:trPr>
        <w:tc>
          <w:tcPr>
            <w:tcW w:w="4260" w:type="dxa"/>
            <w:vAlign w:val="bottom"/>
          </w:tcPr>
          <w:p>
            <w:pPr>
              <w:ind w:left="180"/>
              <w:spacing w:after="0"/>
              <w:rPr>
                <w:sz w:val="20"/>
                <w:szCs w:val="20"/>
                <w:color w:val="auto"/>
              </w:rPr>
            </w:pPr>
            <w:r>
              <w:rPr>
                <w:rFonts w:ascii="Arial" w:cs="Arial" w:eastAsia="Arial" w:hAnsi="Arial"/>
                <w:sz w:val="18"/>
                <w:szCs w:val="18"/>
                <w:color w:val="auto"/>
              </w:rPr>
              <w:t>Inc.</w:t>
            </w:r>
          </w:p>
        </w:tc>
        <w:tc>
          <w:tcPr>
            <w:tcW w:w="52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spacing w:after="0" w:line="243" w:lineRule="exact"/>
              <w:rPr>
                <w:sz w:val="20"/>
                <w:szCs w:val="20"/>
                <w:color w:val="auto"/>
              </w:rPr>
            </w:pPr>
            <w:r>
              <w:rPr>
                <w:rFonts w:ascii="Arial" w:cs="Arial" w:eastAsia="Arial" w:hAnsi="Arial"/>
                <w:sz w:val="18"/>
                <w:szCs w:val="18"/>
                <w:b w:val="1"/>
                <w:bCs w:val="1"/>
                <w:color w:val="auto"/>
              </w:rPr>
              <w:t>Pro Forma Net loss per share data:</w:t>
            </w:r>
            <w:r>
              <w:rPr>
                <w:rFonts w:ascii="Arial" w:cs="Arial" w:eastAsia="Arial" w:hAnsi="Arial"/>
                <w:sz w:val="23"/>
                <w:szCs w:val="23"/>
                <w:b w:val="1"/>
                <w:bCs w:val="1"/>
                <w:color w:val="auto"/>
                <w:vertAlign w:val="superscript"/>
              </w:rPr>
              <w:t>(5)</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Net income available to Class A common stock per</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gridSpan w:val="2"/>
            <w:vMerge w:val="restart"/>
          </w:tcPr>
          <w:p>
            <w:pPr>
              <w:jc w:val="right"/>
              <w:ind w:right="75"/>
              <w:spacing w:after="0"/>
              <w:rPr>
                <w:sz w:val="20"/>
                <w:szCs w:val="20"/>
                <w:color w:val="auto"/>
              </w:rPr>
            </w:pPr>
            <w:r>
              <w:rPr>
                <w:rFonts w:ascii="Arial" w:cs="Arial" w:eastAsia="Arial" w:hAnsi="Arial"/>
                <w:sz w:val="13"/>
                <w:szCs w:val="13"/>
                <w:color w:val="auto"/>
              </w:rPr>
              <w:t>(6)</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2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0</wp:posOffset>
            </wp:positionV>
            <wp:extent cx="5746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-1345565</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-1345565</wp:posOffset>
            </wp:positionV>
            <wp:extent cx="274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-1345565</wp:posOffset>
            </wp:positionV>
            <wp:extent cx="38404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-1704975</wp:posOffset>
            </wp:positionV>
            <wp:extent cx="102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-1704975</wp:posOffset>
            </wp:positionV>
            <wp:extent cx="274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-1704975</wp:posOffset>
            </wp:positionV>
            <wp:extent cx="38404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-3042285</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-3042285</wp:posOffset>
            </wp:positionV>
            <wp:extent cx="274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-3042285</wp:posOffset>
            </wp:positionV>
            <wp:extent cx="38404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-3385185</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-3385185</wp:posOffset>
            </wp:positionV>
            <wp:extent cx="274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-3385185</wp:posOffset>
            </wp:positionV>
            <wp:extent cx="38404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-3728085</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-3728085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-3728085</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Weighted-average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-130175</wp:posOffset>
            </wp:positionV>
            <wp:extent cx="5212080" cy="291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outstanding:</w:t>
      </w:r>
    </w:p>
    <w:p>
      <w:pPr>
        <w:spacing w:after="0" w:line="7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31750</wp:posOffset>
            </wp:positionV>
            <wp:extent cx="5212080"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Diluted</w:t>
      </w: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Notes to unaudited pro forma consolidated statement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530" w:hanging="530"/>
        <w:spacing w:after="0"/>
        <w:tabs>
          <w:tab w:leader="none" w:pos="530" w:val="left"/>
        </w:tabs>
        <w:numPr>
          <w:ilvl w:val="0"/>
          <w:numId w:val="55"/>
        </w:numPr>
        <w:rPr>
          <w:rFonts w:ascii="Arial" w:cs="Arial" w:eastAsia="Arial" w:hAnsi="Arial"/>
          <w:sz w:val="22"/>
          <w:szCs w:val="22"/>
          <w:color w:val="auto"/>
          <w:vertAlign w:val="superscript"/>
        </w:rPr>
      </w:pPr>
      <w:r>
        <w:rPr>
          <w:rFonts w:ascii="Arial" w:cs="Arial" w:eastAsia="Arial" w:hAnsi="Arial"/>
          <w:sz w:val="15"/>
          <w:szCs w:val="15"/>
          <w:color w:val="auto"/>
        </w:rPr>
        <w:t>49,493,275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8255</wp:posOffset>
            </wp:positionV>
            <wp:extent cx="5746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51" w:lineRule="exact"/>
        <w:rPr>
          <w:sz w:val="20"/>
          <w:szCs w:val="20"/>
          <w:color w:val="auto"/>
        </w:rPr>
      </w:pPr>
    </w:p>
    <w:p>
      <w:pPr>
        <w:ind w:left="530" w:hanging="530"/>
        <w:spacing w:after="0"/>
        <w:tabs>
          <w:tab w:leader="none" w:pos="530" w:val="left"/>
        </w:tabs>
        <w:numPr>
          <w:ilvl w:val="0"/>
          <w:numId w:val="56"/>
        </w:numPr>
        <w:rPr>
          <w:rFonts w:ascii="Arial" w:cs="Arial" w:eastAsia="Arial" w:hAnsi="Arial"/>
          <w:sz w:val="22"/>
          <w:szCs w:val="22"/>
          <w:color w:val="auto"/>
          <w:vertAlign w:val="superscript"/>
        </w:rPr>
      </w:pPr>
      <w:r>
        <w:rPr>
          <w:rFonts w:ascii="Arial" w:cs="Arial" w:eastAsia="Arial" w:hAnsi="Arial"/>
          <w:sz w:val="15"/>
          <w:szCs w:val="15"/>
          <w:color w:val="auto"/>
        </w:rPr>
        <w:t>49,493,275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34290</wp:posOffset>
            </wp:positionV>
            <wp:extent cx="5746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715" w:lineRule="exact"/>
        <w:rPr>
          <w:sz w:val="20"/>
          <w:szCs w:val="20"/>
          <w:color w:val="auto"/>
        </w:rPr>
      </w:pPr>
    </w:p>
    <w:p>
      <w:pPr>
        <w:sectPr>
          <w:pgSz w:w="11900" w:h="16838" w:orient="portrait"/>
          <w:cols w:equalWidth="0" w:num="2">
            <w:col w:w="7250" w:space="720"/>
            <w:col w:w="1909"/>
          </w:cols>
          <w:pgMar w:left="580" w:top="131" w:right="1440" w:bottom="1440" w:gutter="0" w:footer="0" w:header="0"/>
          <w:type w:val="continuous"/>
        </w:sectPr>
      </w:pPr>
    </w:p>
    <w:p>
      <w:pPr>
        <w:ind w:left="1620" w:right="539" w:hanging="360"/>
        <w:spacing w:after="0" w:line="263"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Fluence Energy, Inc. was formed on June 21, 2021 and will have no material assets or results of operations until the consummation of the Transactions, and therefore its historical financial position is not shown in a separate column in this unaudited pro forma statement of operations.</w:t>
      </w:r>
    </w:p>
    <w:p>
      <w:pPr>
        <w:spacing w:after="0" w:line="116" w:lineRule="exact"/>
        <w:rPr>
          <w:rFonts w:ascii="Arial" w:cs="Arial" w:eastAsia="Arial" w:hAnsi="Arial"/>
          <w:sz w:val="18"/>
          <w:szCs w:val="18"/>
          <w:color w:val="auto"/>
        </w:rPr>
      </w:pPr>
    </w:p>
    <w:p>
      <w:pPr>
        <w:ind w:left="1620" w:right="439" w:hanging="360"/>
        <w:spacing w:after="0" w:line="269"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This adjustment relates to the compensation expense we expect to incur following the completion of this offering which relates to stock compensation expense related to the 827,590 option awards and 145,330 phantom units granted in April 2021 and outstanding as of June 30, 2021.These awards were subject to performance conditions, including a liquidity event such as an IPO. Accordingly, in connection with the IPO, the Company expects to record an accelerated charge of $14.3 million as explained in Note 5 (refer to Balance Sheet) related to the cumulative catch-up for the service provided and the modification of awards granted to the former CEO that will be settled in cash. The Company has calculated $40.7 million for the fiscal year 2020 annual period and $9.2 million for the nine months ended June 30, 2021 interim period using a graded vesting approach, which front loads the compensation expense over the service vesting term, causing a majority of the expense to be recognized in fiscal year 2020 assuming the awards had been granted on October 1, 2019.</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hanging="360"/>
        <w:spacing w:after="0" w:line="253"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Following the Transactions, we will be subject to United States federal income taxes, in addition to applicable state and local taxes, with respect to our allocable share of any net taxable income of Fluence Energy, LLC. Fluence Energy, LLC has been, and will continue to be, treated as a partnership for U.S. federal and state income tax purposes. As such, income generated by Fluence Energy, LLC will flow through to its partners, including us, and is generally not subject to tax at the Fluence Energy, LLC level. Given the historical losses of Fluence Energy, LLC, the deferred tax assets carry a full valuation allowance, and as such, the effective tax rate following the consummation of this offering is expected to be 3.4%. We will continue to assess the realizability of the deferred tax assets each reporting period.</w:t>
      </w:r>
    </w:p>
    <w:p>
      <w:pPr>
        <w:spacing w:after="0" w:line="115" w:lineRule="exact"/>
        <w:rPr>
          <w:rFonts w:ascii="Arial" w:cs="Arial" w:eastAsia="Arial" w:hAnsi="Arial"/>
          <w:sz w:val="18"/>
          <w:szCs w:val="18"/>
          <w:color w:val="auto"/>
        </w:rPr>
      </w:pPr>
    </w:p>
    <w:p>
      <w:pPr>
        <w:ind w:left="1620" w:right="419" w:hanging="360"/>
        <w:spacing w:after="0" w:line="270" w:lineRule="auto"/>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Upon completion of the Transactions, we will become the sole managing member of Fluence Energy, LLC. We will have the sole voting interest in, and control of the management of, Fluence Energy, LLC. As a result, we will consolidate the financial results of Fluence Energy, LLC and will report a non-controlling interest related to the interests in Fluence Energy, LLC held by the Founders on our consolidated balance sheet. Immediately following the Transactions, the economic interests held by the non-controlling interest will be approximately 70.3%. If the underwriters exercise their option to purchase additional shares of our Class A common stock in full, the economic interests held by the non-controlling interest will be approximately 68.4%. The impact of all adjustments to the Statement of Operations has been allocated between Fluence Energy, Inc. and non-controlling interests.</w:t>
      </w:r>
    </w:p>
    <w:p>
      <w:pPr>
        <w:spacing w:after="0" w:line="113" w:lineRule="exact"/>
        <w:rPr>
          <w:rFonts w:ascii="Arial" w:cs="Arial" w:eastAsia="Arial" w:hAnsi="Arial"/>
          <w:sz w:val="17"/>
          <w:szCs w:val="17"/>
          <w:color w:val="auto"/>
        </w:rPr>
      </w:pPr>
    </w:p>
    <w:p>
      <w:pPr>
        <w:ind w:left="1620" w:right="439" w:hanging="360"/>
        <w:spacing w:after="0" w:line="25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adjustment relates to amortization of the customary upfront fees paid in connection with the Revolver plus associated legal expenses. The upfront fees and associated legal expenses of $2.0 million are amortized over the four year term of the Revolver. See “Management’s Discussion and Analysis of Financial Condition and Results of Operations—Liquidity and Capital Resources—Revolving Credit Facility.”</w:t>
      </w:r>
    </w:p>
    <w:p>
      <w:pPr>
        <w:spacing w:after="0" w:line="120" w:lineRule="exact"/>
        <w:rPr>
          <w:rFonts w:ascii="Arial" w:cs="Arial" w:eastAsia="Arial" w:hAnsi="Arial"/>
          <w:sz w:val="18"/>
          <w:szCs w:val="18"/>
          <w:color w:val="auto"/>
        </w:rPr>
      </w:pPr>
    </w:p>
    <w:p>
      <w:pPr>
        <w:ind w:left="1620" w:right="419" w:hanging="360"/>
        <w:spacing w:after="0" w:line="286" w:lineRule="auto"/>
        <w:tabs>
          <w:tab w:leader="none" w:pos="1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 forma basic earnings per share is computed by dividing the net income available to Class A common stockholders by the weighted- average number of shares of Class A common stock outstanding during the period. Pro forma diluted earnings per share is computed by adjusting the net income available to Class A common stockholders and the weighted-average shares of Class A common stock outstanding to give effect to potentially dilutive securities. Shares of our Class B-1 and Class B-2 common stock are not entitled to receive any distributions or dividends and have no rights to convert into Class A common stock. When a common unit is exchanged for, at the holder’s election, cash or Class A common stock by a Founder who holds shares of our Class B-1 or Class B-2 common stock, such Founder will be required to surrender a share of Class B-1 common stock or Class B-2 common stock, as the case may be, which we will cancel for no consideration. Therefore, we did not include shares of our Class B-1 or Class B-2 common stock in the computation of pro forma basic earnings per share. As we have incurred losses for all periods presented, pro forma diluted loss per share is equal to pro forma basic loss per share because the effect of potentially dilutive securities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AND RESULTS OF OPERATIONS</w:t>
      </w:r>
    </w:p>
    <w:p>
      <w:pPr>
        <w:spacing w:after="0" w:line="130"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6"/>
          <w:szCs w:val="16"/>
          <w:color w:val="auto"/>
        </w:rPr>
        <w:t>The following discussion and analysis should be read in conjunction with our audited consolidated financial statements and related notes as of and for the fiscal years ended September 30, 2020 and 2019, as well as our unaudited condensed consolidated financial statements and the related notes as of and for the nine months ended June 30, 2021 and 2020 appearing elsewhere in this prospectus.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prospectus.</w:t>
      </w:r>
    </w:p>
    <w:p>
      <w:pPr>
        <w:spacing w:after="0" w:line="9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Historically, our business has been operated through Fluence Energy, LLC, together with its subsidiaries. Fluence Energy, Inc. was formed for the purpose of this offering and has engaged to date only in activities in contemplation of this offering. Upon the completion of this offering, all of our business will continue to be conducted through Fluence Energy, LLC, together with its subsidiaries, and the financial results of Fluence Energy, LLC will be consolidated in our financial statements. Fluence Energy, Inc. will be a holding company whose sole material asset will be the LLC Interests in Fluence Energy LLC. Fluence Energy LLC is, and will continue to be, taxed as a partnership for federal income tax purposes and, as a result, its members, including Fluence Energy, Inc. will pay income taxes with respect to their allocable shares of its net taxable income. For more information regarding the organizational transactions and holding company structure, see “Our Organizational Structure.” As of June 30, 2021, Fluence Energy, LLC had three subsidiaries: Fluence Energy GmbH in Germany, Fluence Energy Pty Ltd. in Australia, and Fluence Energy Inc. in the Philippines.</w:t>
      </w:r>
    </w:p>
    <w:p>
      <w:pPr>
        <w:spacing w:after="0" w:line="1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fiscal year begins on October 1 and ends on September 30.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are enabling the global clean energy transition with market-leading energy storage products and services and digital applications for renewables and storage. We believe energy storage is at the center of this transition and is becoming even more important as more renewables are added to the grid and the transportation sector moves towards electrification. We are driving change by delivering configurable energy storage product, service, and digital application packages, as well as our AI-enabled Fluence IQ Platform to optimize renewable and third-party storage assets. Our offerings help major utilities, developers, and C&amp;I customers around the world to deliver a more sustainable, reliable, and resilient electric grid in a repeatable, scalable way.</w:t>
      </w:r>
    </w:p>
    <w:p>
      <w:pPr>
        <w:spacing w:after="0" w:line="124"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Fluence Energy, LLC was established in January 2018 as a joint venture between AES Grid Stability and Siemens Industry. On December 27, 2020, we entered into a subscription agreement with QFH for the issuance of 1,250,000 Class B units for a total value of $125.0 million. Following the completion of the transaction on June 9, 2021, and as of June 30, 2021, AES Grid Stability holds 3,960,000 Class A units, or 43.2% of our limited liability interest, Siemens Industry holds 3,960,000 Class A units, or 43.2% of our limited liability interest and QFH holds 1,250,000 Class B units, or 13.6% of our limited liability interests.</w:t>
      </w:r>
    </w:p>
    <w:p>
      <w:pPr>
        <w:spacing w:after="0" w:line="110"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Since our inception in January 2018, we have focused on international growth and to further develop our energy storage product and delivery services, the operational services, and digital applications. We have incurred net operating losses each year since our inception. We have financed our operations with equity contributions from AES Grid Stability, Siemens Industry, and QFH, cash and cash equivalents, negative working capital, and short-term borrowings.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June 30, 2021, we deployed cumulative 942 MW of energy storage products, compared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460 MW as of September 30, 2020. We recognized revenue of $492.6 million, representing an increase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$170.7 million, or 53.0%, for the nine months ended June 30, 2021 compared to the nine months ended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June 30, 2020 as we expanded our sales in terms of the number of energy storage products sold as well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geographic footprint in 2021. Revenue generated from operations in the United States increased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$230.6 million in the nine months ended June 30, 2020 to $357.1 million in the nine months ended June 30,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2021, representing a 54.9% increase. Revenue generated from international operations increased from $91.3</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million</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in the nine months ended June 30, 2020 to $135.5 million in the nine months ended June 30, 2021, representing a 48.4% increase, which was driven by growth in existing international markets and expansion into new markets.</w:t>
      </w:r>
    </w:p>
    <w:p>
      <w:pPr>
        <w:spacing w:after="0" w:line="101" w:lineRule="exact"/>
        <w:rPr>
          <w:sz w:val="20"/>
          <w:szCs w:val="20"/>
          <w:color w:val="auto"/>
        </w:rPr>
      </w:pPr>
    </w:p>
    <w:p>
      <w:pPr>
        <w:jc w:val="both"/>
        <w:ind w:left="1260" w:right="559" w:firstLine="360"/>
        <w:spacing w:after="0" w:line="294" w:lineRule="auto"/>
        <w:rPr>
          <w:sz w:val="20"/>
          <w:szCs w:val="20"/>
          <w:color w:val="auto"/>
        </w:rPr>
      </w:pPr>
      <w:r>
        <w:rPr>
          <w:rFonts w:ascii="Arial" w:cs="Arial" w:eastAsia="Arial" w:hAnsi="Arial"/>
          <w:sz w:val="16"/>
          <w:szCs w:val="16"/>
          <w:color w:val="auto"/>
        </w:rPr>
        <w:t>Revenue and costs of goods and services both increased significantly due to increased sales volumes, while relatively greater weighted average cost of material and supplies, resulted in a decreased gross profit margin for the nine months ended June 30, 2021 compared to the nine months ended June 30, 2020.</w:t>
      </w:r>
    </w:p>
    <w:p>
      <w:pPr>
        <w:spacing w:after="0" w:line="80"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Research and development, sales and marketing, and general and administrative expenses all increased for the nine months ended June 30, 2021, compared to the nine months ended June 30, 2020 as we have been investing heavily in our human capital, technology, products and services to support significant increases in our operations and related revenues. We expect these expenses to increase for the foreseeable future as we experience continuing substantial growth and mature as a public company.</w:t>
      </w:r>
    </w:p>
    <w:p>
      <w:pPr>
        <w:spacing w:after="0" w:line="106"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We believe the anticipated proceeds of this offering along with cash flows from operations, short-term borrowing, and our June 2021 investment from QIA will be sufficient to meet our expense and capital requirements for the foreseeable future.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and Trends</w:t>
      </w:r>
    </w:p>
    <w:p>
      <w:pPr>
        <w:spacing w:after="0" w:line="14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discussed below and in the section of this prospectus titled “Risk Factors.”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Expected Decrease In Lithium-ion Battery Cost</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Our revenue growth is directly tied to the continued adoption of energy storage products by our customers. The cost of lithium-ion energy storage hardware has declined significantly in the last decade and has resulted in a large addressable market today. According to BloombergNEF, the component costs for lithium-ion battery packs are expected to fall from $161 per kilowatt hour (“kWh”) in 2020 to $73/kWh in 2030, an 8% annual reduction over this period. The market for energy storage is rapidly evolving, and while we believe costs will continue to decline, there is no guarantee that they will decline or decline at the rates we expect. If costs do not continue to decline, this could adversely affect our ability to increase our revenue or grow our business.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Increasing Deployment Of Renewable Energy</w:t>
      </w:r>
    </w:p>
    <w:p>
      <w:pPr>
        <w:spacing w:after="0" w:line="158"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Deployment of renewable energy resources has accelerated over the last decade, and solar and wind have become a low-cost energy source. BloombergNEF estimates that renewable energy is expected to represent 70% of all new global capacity installations over the next 10 years. Energy storage is critical to reducing the intermittency and volatility of solar and wind generation.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Competition</w:t>
      </w:r>
    </w:p>
    <w:p>
      <w:pPr>
        <w:spacing w:after="0" w:line="14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7"/>
          <w:szCs w:val="17"/>
          <w:color w:val="auto"/>
        </w:rPr>
        <w:t>We are a global energy storage leader. We intend to leverage our competitive strengths, technology, leadership, and market share position to help transform the way we power our world for a more sustainable future. The market for our products is competitive, and we may face increased competition as new and existing competitors introduce energy storage solutions and components. Furthermore, as we expand our services and digital applications in the future, we may face other competitors including software providers and some hardware manufacturers that offer software solutions. If our market share declines due to increased competition, our revenue and ability to generate profits in the future may be adversely affected.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Seasonality</w:t>
      </w:r>
    </w:p>
    <w:p>
      <w:pPr>
        <w:spacing w:after="0" w:line="158" w:lineRule="exact"/>
        <w:rPr>
          <w:sz w:val="20"/>
          <w:szCs w:val="20"/>
          <w:color w:val="auto"/>
        </w:rPr>
      </w:pPr>
    </w:p>
    <w:p>
      <w:pPr>
        <w:ind w:left="1260" w:right="779" w:firstLine="360"/>
        <w:spacing w:after="0"/>
        <w:rPr>
          <w:sz w:val="20"/>
          <w:szCs w:val="20"/>
          <w:color w:val="auto"/>
        </w:rPr>
      </w:pPr>
      <w:r>
        <w:rPr>
          <w:rFonts w:ascii="Arial" w:cs="Arial" w:eastAsia="Arial" w:hAnsi="Arial"/>
          <w:sz w:val="18"/>
          <w:szCs w:val="18"/>
          <w:color w:val="auto"/>
        </w:rPr>
        <w:t>We experience seasonality and typically see increased order intake in our third and fourth fiscal quarters (April – September), driven by demand in the Northern Hemisphere to install energy storage products before the summer of the following year. Combined third and fourth fiscal quarter order intake generally accounted for 80% or more of our total intake each year. As a result, revenue generation is typically significantly stronger in our third and fourth fiscal quarters as we provide the majority of our products to</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539"/>
        <w:spacing w:after="0" w:line="246" w:lineRule="auto"/>
        <w:rPr>
          <w:sz w:val="20"/>
          <w:szCs w:val="20"/>
          <w:color w:val="auto"/>
        </w:rPr>
      </w:pPr>
      <w:r>
        <w:rPr>
          <w:rFonts w:ascii="Arial" w:cs="Arial" w:eastAsia="Arial" w:hAnsi="Arial"/>
          <w:sz w:val="17"/>
          <w:szCs w:val="17"/>
          <w:color w:val="auto"/>
        </w:rPr>
        <w:t>customers during these periods. Cash flows historically have been negative in our first and second fiscal quarters, neutral to positive in our third fiscal quarter, and positive in our fourth fiscal quarter. See “Recent Developments — Preliminary Fourth Quarter Results.” Our services and digital applications and solutions offerings do not experience the same seasonality given their recurring nature.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Impact of the COVID-19 Pandemic</w:t>
      </w:r>
    </w:p>
    <w:p>
      <w:pPr>
        <w:spacing w:after="0" w:line="135" w:lineRule="exact"/>
        <w:rPr>
          <w:sz w:val="20"/>
          <w:szCs w:val="20"/>
          <w:color w:val="auto"/>
        </w:rPr>
      </w:pPr>
    </w:p>
    <w:p>
      <w:pPr>
        <w:ind w:left="1260" w:right="479" w:firstLine="360"/>
        <w:spacing w:after="0" w:line="222" w:lineRule="auto"/>
        <w:rPr>
          <w:sz w:val="20"/>
          <w:szCs w:val="20"/>
          <w:color w:val="auto"/>
        </w:rPr>
      </w:pPr>
      <w:r>
        <w:rPr>
          <w:rFonts w:ascii="Arial" w:cs="Arial" w:eastAsia="Arial" w:hAnsi="Arial"/>
          <w:sz w:val="18"/>
          <w:szCs w:val="18"/>
          <w:color w:val="auto"/>
        </w:rPr>
        <w:t>On March 11, 2020, the World Health Organization declared the outbreak of a strain of novel coronavirus disease, the COVID-19 pandemic, a global pandemic. Governments in affected areas and countries in which we operate have imposed a number of measures designed to contain the outbreak, including business closures, travel restrictions, quarantines, and cancellations of gatherings and events. We have implemented operational and protective measures to ensure the safety, health, and welfare of our employees and stakeholders. This includes implementing work from home policies for all office employees. We have also ensured that all employees and visitors that visit our facilities have access to personal protective equipment, and we strictly enforce social distancing. Many of the sites where our products and services are delivered have been declared critical infrastructure and remained open following the respective safety protocols. However, many of our customers’ project sites have experienced shutdowns and delays related to COVID-19. We will maintain these precautions and procedures until the COVID-19 pandemic is under adequate control. As of June 30, 2021, the COVID-19 pandemic has not had a material impact on our operations or financial condition.</w:t>
      </w:r>
    </w:p>
    <w:p>
      <w:pPr>
        <w:spacing w:after="0" w:line="117" w:lineRule="exact"/>
        <w:rPr>
          <w:sz w:val="20"/>
          <w:szCs w:val="20"/>
          <w:color w:val="auto"/>
        </w:rPr>
      </w:pPr>
    </w:p>
    <w:p>
      <w:pPr>
        <w:ind w:left="1260" w:right="479" w:firstLine="360"/>
        <w:spacing w:after="0" w:line="223" w:lineRule="auto"/>
        <w:rPr>
          <w:sz w:val="20"/>
          <w:szCs w:val="20"/>
          <w:color w:val="auto"/>
        </w:rPr>
      </w:pPr>
      <w:r>
        <w:rPr>
          <w:rFonts w:ascii="Arial" w:cs="Arial" w:eastAsia="Arial" w:hAnsi="Arial"/>
          <w:sz w:val="18"/>
          <w:szCs w:val="18"/>
          <w:color w:val="auto"/>
        </w:rPr>
        <w:t>The full impact of the COVID-19 pandemic on our financial condition and results of operations will depend on future developments, such as the ultimate duration and scope of the pandemic, its impact on our employees, customers, and vendors, in addition to how quickly normal economic conditions and operations resume and whether the pandemic impacts other risks disclosed in “Risk Factors” within this prospectus. Even after the pandemic has subsided, we may continue to experience adverse impacts to our business from any economic recession or depression that may occur as a result of the pandemic. Therefore, we cannot reasonably estimate the impact at this time. We continue to actively monitor the pandemic and may decide to take further actions that alter our business operations as may be required by federal, state, or local authorities or that we determine to be in the best interests of our employees, customers, vendors, and shareholders.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discussion describes certain line items in our Consolidated Statements of Operations.</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Total Revenue</w:t>
      </w:r>
    </w:p>
    <w:p>
      <w:pPr>
        <w:spacing w:after="0" w:line="144" w:lineRule="exact"/>
        <w:rPr>
          <w:sz w:val="20"/>
          <w:szCs w:val="20"/>
          <w:color w:val="auto"/>
        </w:rPr>
      </w:pPr>
    </w:p>
    <w:p>
      <w:pPr>
        <w:ind w:left="1260" w:right="559" w:firstLine="360"/>
        <w:spacing w:after="0" w:line="239" w:lineRule="auto"/>
        <w:rPr>
          <w:sz w:val="20"/>
          <w:szCs w:val="20"/>
          <w:color w:val="auto"/>
        </w:rPr>
      </w:pPr>
      <w:r>
        <w:rPr>
          <w:rFonts w:ascii="Arial" w:cs="Arial" w:eastAsia="Arial" w:hAnsi="Arial"/>
          <w:sz w:val="18"/>
          <w:szCs w:val="18"/>
          <w:color w:val="auto"/>
        </w:rPr>
        <w:t>We generate revenue from the sale of energy storage products, service agreements with customers to provide operational services related to battery-based energy storage products, and from digital application contracts after the acquisition of AMS in 2021. Fluence enters into contracts with utility companies, developers, and commercial and industrial customers. We derive the majority of our revenues from selling product solutions. When we sell a battery-based energy storage product, we enter into a contract with our customers covering the price, specifications, delivery dates and warranty for the products being purchased, among other things.</w:t>
      </w:r>
    </w:p>
    <w:p>
      <w:pPr>
        <w:spacing w:after="0" w:line="123"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w:t>
      </w:r>
    </w:p>
    <w:p>
      <w:pPr>
        <w:spacing w:after="0" w:line="120"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Our revenue growth is dependent on continued growth in the amount of battery-based energy storage products projects constructed each year and our ability to increase our share of demand in the geographies where we currently compete and plan to compete in the future as well as our ability to continue to develop and commercialize new and innovative products that address the changing technology and performance requirements of our customers.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 of goods and services consists primarily of product costs, including purchased materials and</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supplies, as well as costs related to shipping, customer support, product warranty and personnel. Personnel</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48" w:lineRule="auto"/>
        <w:rPr>
          <w:sz w:val="20"/>
          <w:szCs w:val="20"/>
          <w:color w:val="auto"/>
        </w:rPr>
      </w:pPr>
      <w:r>
        <w:rPr>
          <w:rFonts w:ascii="Arial" w:cs="Arial" w:eastAsia="Arial" w:hAnsi="Arial"/>
          <w:sz w:val="18"/>
          <w:szCs w:val="18"/>
          <w:color w:val="auto"/>
        </w:rPr>
        <w:t>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spacing w:after="0" w:line="101" w:lineRule="exact"/>
        <w:rPr>
          <w:sz w:val="20"/>
          <w:szCs w:val="20"/>
          <w:color w:val="auto"/>
        </w:rPr>
      </w:pPr>
    </w:p>
    <w:p>
      <w:pPr>
        <w:ind w:left="1260" w:right="659" w:firstLine="360"/>
        <w:spacing w:after="0"/>
        <w:rPr>
          <w:sz w:val="20"/>
          <w:szCs w:val="20"/>
          <w:color w:val="auto"/>
        </w:rPr>
      </w:pPr>
      <w:r>
        <w:rPr>
          <w:rFonts w:ascii="Arial" w:cs="Arial" w:eastAsia="Arial" w:hAnsi="Arial"/>
          <w:sz w:val="18"/>
          <w:szCs w:val="18"/>
          <w:color w:val="auto"/>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We generally expect our average cost of materials and supplies to decrease as sales volumes increase, however, some of these costs, primarily personnel related costs, are not directly affected by sales volume.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5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Gross profit (loss) and gross profit margin may vary from quarter to quarter and is primarily affected by our sales volume, product prices, product costs, product mix, customer mix, geographical mix, shipping method, warranty costs, and seasonality.</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as well as depreciation and amortization. Personnel-related expenses are the most significant component of our operating expenses and include salaries, benefits, sales commissions, and payroll taxes. We expect to invest in additional resources to support our growth which will increase our operating expenses in the near future.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Research and development expenses consist primarily of personnel-related expenses, including salaries, benefits, and payroll taxes, for engineers engaged in the design and development of products and technologies, as well as products, materials, and third-party services used in our research and development process. We expect research and development expenses to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Sales and marketing expenses consist primarily of personnel-related expenses, including salaries, benefits, amortization of sales commissions, and payroll taxes, for our sales and marketing organization, consultants and other third-party vendors. We expect to increase our sales and marketing personnel as we expand into new geographic markets. We intend to expand our sales presence and marketing efforts to additional countries in the future.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expenses, including salaries, benefits, and payroll taxes, for our executives, sales,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We expect general and administrative expenses to increase in the future as we scale our headcount with the growth of our business. We also expect that after the completion of this offering, we will incur additional audit, tax, accounting, legal and other costs related to compliance with applicable securities and other regulations, as well as additional insurance, investor relations and other costs associated with being a public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44"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Depreciation consists of costs associated with property, plant and equipment (“PP&amp;E”) and amortization of intangibles consisting of patents, licenses, and developed technology over their expected</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period of use. We expect that as we increase both our revenues and the number of our general and administrative personnel, we will invest in additional PP&amp;E to support our growth resulting in additional depreciation and amortization.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Expense</w:t>
      </w:r>
    </w:p>
    <w:p>
      <w:pPr>
        <w:spacing w:after="0" w:line="14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As the Company is currently treated as a partnership, we are generally not subject to U.S. federal or state income tax. As such, we do not pay U.S. federal or state income tax, as taxable income or loss will be included in the U.S. tax returns of our members. We are subject to income taxes, including withholding taxes, outside the U.S. and our income tax expense (benefit) on the consolidated statements of operations primarily relates to income taxes from foreign operations, withholding taxes on intercompany royalties and changes in valuation allowances related to deferred tax assets of certain foreign subsidiaries. After consummation of this offering, we will become subject to U.S. federal and state income taxes with respect to our allocable share of any taxable income or loss of Fluence Energy, LLC, and we will be taxed at the prevailing corporate tax rates. We will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Following this offering,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Other income, net consists of income (expense) from foreign currency exchange adjustments for monetary assets and liabilities.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Operating Metrics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of</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As of</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(June 30, 2021 vs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(September 30, 2020 vs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September 30,</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186"/>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(amounts in MW)</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68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89"/>
              </w:rPr>
              <w:t>Change</w:t>
            </w: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Change</w:t>
            </w:r>
          </w:p>
        </w:tc>
      </w:tr>
      <w:tr>
        <w:trPr>
          <w:trHeight w:val="25"/>
        </w:trPr>
        <w:tc>
          <w:tcPr>
            <w:tcW w:w="2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Energy Storage Products</w:t>
            </w: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r>
      <w:tr>
        <w:trPr>
          <w:trHeight w:val="256"/>
        </w:trPr>
        <w:tc>
          <w:tcPr>
            <w:tcW w:w="21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560" w:type="dxa"/>
            <w:vAlign w:val="bottom"/>
          </w:tcPr>
          <w:p>
            <w:pPr>
              <w:jc w:val="right"/>
              <w:spacing w:after="0"/>
              <w:rPr>
                <w:sz w:val="20"/>
                <w:szCs w:val="20"/>
                <w:color w:val="auto"/>
              </w:rPr>
            </w:pPr>
            <w:r>
              <w:rPr>
                <w:rFonts w:ascii="Arial" w:cs="Arial" w:eastAsia="Arial" w:hAnsi="Arial"/>
                <w:sz w:val="18"/>
                <w:szCs w:val="18"/>
                <w:color w:val="auto"/>
              </w:rPr>
              <w:t>942</w:t>
            </w:r>
          </w:p>
        </w:tc>
        <w:tc>
          <w:tcPr>
            <w:tcW w:w="60" w:type="dxa"/>
            <w:vAlign w:val="bottom"/>
          </w:tcPr>
          <w:p>
            <w:pPr>
              <w:spacing w:after="0"/>
              <w:rPr>
                <w:sz w:val="22"/>
                <w:szCs w:val="22"/>
                <w:color w:val="auto"/>
              </w:rPr>
            </w:pP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22"/>
                <w:szCs w:val="22"/>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2"/>
                <w:szCs w:val="22"/>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22"/>
                <w:szCs w:val="22"/>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w w:val="91"/>
              </w:rPr>
              <w:t>104.8%</w:t>
            </w:r>
          </w:p>
        </w:tc>
        <w:tc>
          <w:tcPr>
            <w:tcW w:w="1220" w:type="dxa"/>
            <w:vAlign w:val="bottom"/>
          </w:tcPr>
          <w:p>
            <w:pPr>
              <w:jc w:val="right"/>
              <w:ind w:right="415"/>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2180" w:type="dxa"/>
            <w:vAlign w:val="bottom"/>
            <w:gridSpan w:val="2"/>
          </w:tcPr>
          <w:p>
            <w:pPr>
              <w:spacing w:after="0"/>
              <w:rPr>
                <w:sz w:val="20"/>
                <w:szCs w:val="20"/>
                <w:color w:val="auto"/>
              </w:rPr>
            </w:pPr>
            <w:r>
              <w:rPr>
                <w:rFonts w:ascii="Arial" w:cs="Arial" w:eastAsia="Arial" w:hAnsi="Arial"/>
                <w:sz w:val="18"/>
                <w:szCs w:val="18"/>
                <w:color w:val="auto"/>
              </w:rPr>
              <w:t>Contracted Backlog</w:t>
            </w:r>
          </w:p>
        </w:tc>
        <w:tc>
          <w:tcPr>
            <w:tcW w:w="56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22"/>
                <w:szCs w:val="22"/>
                <w:color w:val="auto"/>
              </w:rPr>
            </w:pP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1,879</w:t>
            </w:r>
          </w:p>
        </w:tc>
        <w:tc>
          <w:tcPr>
            <w:tcW w:w="40" w:type="dxa"/>
            <w:vAlign w:val="bottom"/>
          </w:tcPr>
          <w:p>
            <w:pPr>
              <w:spacing w:after="0"/>
              <w:rPr>
                <w:sz w:val="22"/>
                <w:szCs w:val="22"/>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2"/>
                <w:szCs w:val="22"/>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2"/>
                <w:szCs w:val="22"/>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rPr>
              <w:t>0.9%</w:t>
            </w:r>
          </w:p>
        </w:tc>
        <w:tc>
          <w:tcPr>
            <w:tcW w:w="1220" w:type="dxa"/>
            <w:vAlign w:val="bottom"/>
          </w:tcPr>
          <w:p>
            <w:pPr>
              <w:jc w:val="right"/>
              <w:ind w:right="415"/>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74.5%</w:t>
            </w:r>
          </w:p>
        </w:tc>
      </w:tr>
      <w:tr>
        <w:trPr>
          <w:trHeight w:val="256"/>
        </w:trPr>
        <w:tc>
          <w:tcPr>
            <w:tcW w:w="2180" w:type="dxa"/>
            <w:vAlign w:val="bottom"/>
            <w:gridSpan w:val="2"/>
          </w:tcPr>
          <w:p>
            <w:pPr>
              <w:spacing w:after="0"/>
              <w:rPr>
                <w:sz w:val="20"/>
                <w:szCs w:val="20"/>
                <w:color w:val="auto"/>
              </w:rPr>
            </w:pPr>
            <w:r>
              <w:rPr>
                <w:rFonts w:ascii="Arial" w:cs="Arial" w:eastAsia="Arial" w:hAnsi="Arial"/>
                <w:sz w:val="18"/>
                <w:szCs w:val="18"/>
                <w:color w:val="auto"/>
              </w:rPr>
              <w:t>Pipeline</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13,311</w:t>
            </w:r>
          </w:p>
        </w:tc>
        <w:tc>
          <w:tcPr>
            <w:tcW w:w="60" w:type="dxa"/>
            <w:vAlign w:val="bottom"/>
          </w:tcPr>
          <w:p>
            <w:pPr>
              <w:spacing w:after="0"/>
              <w:rPr>
                <w:sz w:val="22"/>
                <w:szCs w:val="22"/>
                <w:color w:val="auto"/>
              </w:rPr>
            </w:pP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11,320</w:t>
            </w:r>
          </w:p>
        </w:tc>
        <w:tc>
          <w:tcPr>
            <w:tcW w:w="40" w:type="dxa"/>
            <w:vAlign w:val="bottom"/>
          </w:tcPr>
          <w:p>
            <w:pPr>
              <w:spacing w:after="0"/>
              <w:rPr>
                <w:sz w:val="22"/>
                <w:szCs w:val="22"/>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7,040</w:t>
            </w:r>
          </w:p>
        </w:tc>
        <w:tc>
          <w:tcPr>
            <w:tcW w:w="60" w:type="dxa"/>
            <w:vAlign w:val="bottom"/>
          </w:tcPr>
          <w:p>
            <w:pPr>
              <w:spacing w:after="0"/>
              <w:rPr>
                <w:sz w:val="22"/>
                <w:szCs w:val="22"/>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1,991</w:t>
            </w:r>
          </w:p>
        </w:tc>
        <w:tc>
          <w:tcPr>
            <w:tcW w:w="60" w:type="dxa"/>
            <w:vAlign w:val="bottom"/>
          </w:tcPr>
          <w:p>
            <w:pPr>
              <w:spacing w:after="0"/>
              <w:rPr>
                <w:sz w:val="22"/>
                <w:szCs w:val="22"/>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rPr>
              <w:t>17.6%</w:t>
            </w:r>
          </w:p>
        </w:tc>
        <w:tc>
          <w:tcPr>
            <w:tcW w:w="1220" w:type="dxa"/>
            <w:vAlign w:val="bottom"/>
          </w:tcPr>
          <w:p>
            <w:pPr>
              <w:jc w:val="right"/>
              <w:ind w:right="415"/>
              <w:spacing w:after="0"/>
              <w:rPr>
                <w:sz w:val="20"/>
                <w:szCs w:val="20"/>
                <w:color w:val="auto"/>
              </w:rPr>
            </w:pPr>
            <w:r>
              <w:rPr>
                <w:rFonts w:ascii="Arial" w:cs="Arial" w:eastAsia="Arial" w:hAnsi="Arial"/>
                <w:sz w:val="18"/>
                <w:szCs w:val="18"/>
                <w:color w:val="auto"/>
              </w:rPr>
              <w:t>4,280</w:t>
            </w:r>
          </w:p>
        </w:tc>
        <w:tc>
          <w:tcPr>
            <w:tcW w:w="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60.8%</w:t>
            </w:r>
          </w:p>
        </w:tc>
      </w:tr>
      <w:tr>
        <w:trPr>
          <w:trHeight w:val="27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Service Contracts</w:t>
            </w: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Asset under</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2180" w:type="dxa"/>
            <w:vAlign w:val="bottom"/>
            <w:gridSpan w:val="2"/>
          </w:tcPr>
          <w:p>
            <w:pPr>
              <w:ind w:left="180"/>
              <w:spacing w:after="0"/>
              <w:rPr>
                <w:sz w:val="20"/>
                <w:szCs w:val="20"/>
                <w:color w:val="auto"/>
              </w:rPr>
            </w:pPr>
            <w:r>
              <w:rPr>
                <w:rFonts w:ascii="Arial" w:cs="Arial" w:eastAsia="Arial" w:hAnsi="Arial"/>
                <w:sz w:val="18"/>
                <w:szCs w:val="18"/>
                <w:color w:val="auto"/>
              </w:rPr>
              <w:t>Management</w:t>
            </w:r>
          </w:p>
        </w:tc>
        <w:tc>
          <w:tcPr>
            <w:tcW w:w="560" w:type="dxa"/>
            <w:vAlign w:val="bottom"/>
          </w:tcPr>
          <w:p>
            <w:pPr>
              <w:jc w:val="right"/>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20"/>
                <w:szCs w:val="20"/>
                <w:color w:val="auto"/>
              </w:rPr>
            </w:pP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0"/>
                <w:szCs w:val="20"/>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20"/>
                <w:szCs w:val="20"/>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20"/>
                <w:szCs w:val="20"/>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w w:val="91"/>
              </w:rPr>
              <w:t>169.2%</w:t>
            </w:r>
          </w:p>
        </w:tc>
        <w:tc>
          <w:tcPr>
            <w:tcW w:w="1220" w:type="dxa"/>
            <w:vAlign w:val="bottom"/>
          </w:tcPr>
          <w:p>
            <w:pPr>
              <w:jc w:val="right"/>
              <w:ind w:right="415"/>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83"/>
        </w:trPr>
        <w:tc>
          <w:tcPr>
            <w:tcW w:w="2180" w:type="dxa"/>
            <w:vAlign w:val="bottom"/>
            <w:gridSpan w:val="2"/>
          </w:tcPr>
          <w:p>
            <w:pPr>
              <w:spacing w:after="0"/>
              <w:rPr>
                <w:sz w:val="20"/>
                <w:szCs w:val="20"/>
                <w:color w:val="auto"/>
              </w:rPr>
            </w:pPr>
            <w:r>
              <w:rPr>
                <w:rFonts w:ascii="Arial" w:cs="Arial" w:eastAsia="Arial" w:hAnsi="Arial"/>
                <w:sz w:val="18"/>
                <w:szCs w:val="18"/>
                <w:color w:val="auto"/>
              </w:rPr>
              <w:t>Contracted Backlog</w:t>
            </w:r>
          </w:p>
        </w:tc>
        <w:tc>
          <w:tcPr>
            <w:tcW w:w="56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4"/>
                <w:szCs w:val="24"/>
                <w:color w:val="auto"/>
              </w:rPr>
            </w:pP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455</w:t>
            </w:r>
          </w:p>
        </w:tc>
        <w:tc>
          <w:tcPr>
            <w:tcW w:w="40" w:type="dxa"/>
            <w:vAlign w:val="bottom"/>
          </w:tcPr>
          <w:p>
            <w:pPr>
              <w:spacing w:after="0"/>
              <w:rPr>
                <w:sz w:val="24"/>
                <w:szCs w:val="24"/>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4"/>
                <w:szCs w:val="24"/>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24"/>
                <w:szCs w:val="24"/>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w w:val="91"/>
              </w:rPr>
              <w:t>163.3%</w:t>
            </w:r>
          </w:p>
        </w:tc>
        <w:tc>
          <w:tcPr>
            <w:tcW w:w="1220" w:type="dxa"/>
            <w:vAlign w:val="bottom"/>
          </w:tcPr>
          <w:p>
            <w:pPr>
              <w:jc w:val="right"/>
              <w:ind w:right="415"/>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92.8%</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Pipeline</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10,223</w:t>
            </w:r>
          </w:p>
        </w:tc>
        <w:tc>
          <w:tcPr>
            <w:tcW w:w="60" w:type="dxa"/>
            <w:vAlign w:val="bottom"/>
          </w:tcPr>
          <w:p>
            <w:pPr>
              <w:spacing w:after="0"/>
              <w:rPr>
                <w:sz w:val="23"/>
                <w:szCs w:val="23"/>
                <w:color w:val="auto"/>
              </w:rPr>
            </w:pP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7,889</w:t>
            </w:r>
          </w:p>
        </w:tc>
        <w:tc>
          <w:tcPr>
            <w:tcW w:w="40" w:type="dxa"/>
            <w:vAlign w:val="bottom"/>
          </w:tcPr>
          <w:p>
            <w:pPr>
              <w:spacing w:after="0"/>
              <w:rPr>
                <w:sz w:val="23"/>
                <w:szCs w:val="23"/>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3,006</w:t>
            </w:r>
          </w:p>
        </w:tc>
        <w:tc>
          <w:tcPr>
            <w:tcW w:w="60" w:type="dxa"/>
            <w:vAlign w:val="bottom"/>
          </w:tcPr>
          <w:p>
            <w:pPr>
              <w:spacing w:after="0"/>
              <w:rPr>
                <w:sz w:val="23"/>
                <w:szCs w:val="23"/>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3"/>
                <w:szCs w:val="23"/>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rPr>
              <w:t>29.6%</w:t>
            </w:r>
          </w:p>
        </w:tc>
        <w:tc>
          <w:tcPr>
            <w:tcW w:w="1220" w:type="dxa"/>
            <w:vAlign w:val="bottom"/>
          </w:tcPr>
          <w:p>
            <w:pPr>
              <w:jc w:val="right"/>
              <w:ind w:right="415"/>
              <w:spacing w:after="0"/>
              <w:rPr>
                <w:sz w:val="20"/>
                <w:szCs w:val="20"/>
                <w:color w:val="auto"/>
              </w:rPr>
            </w:pPr>
            <w:r>
              <w:rPr>
                <w:rFonts w:ascii="Arial" w:cs="Arial" w:eastAsia="Arial" w:hAnsi="Arial"/>
                <w:sz w:val="18"/>
                <w:szCs w:val="18"/>
                <w:color w:val="auto"/>
              </w:rPr>
              <w:t>4,883</w:t>
            </w:r>
          </w:p>
        </w:tc>
        <w:tc>
          <w:tcPr>
            <w:tcW w:w="6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162.4%</w:t>
            </w:r>
          </w:p>
        </w:tc>
      </w:tr>
      <w:tr>
        <w:trPr>
          <w:trHeight w:val="27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Digital Contracts</w:t>
            </w: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Asset under</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2180" w:type="dxa"/>
            <w:vAlign w:val="bottom"/>
            <w:gridSpan w:val="2"/>
          </w:tcPr>
          <w:p>
            <w:pPr>
              <w:ind w:left="180"/>
              <w:spacing w:after="0"/>
              <w:rPr>
                <w:sz w:val="20"/>
                <w:szCs w:val="20"/>
                <w:color w:val="auto"/>
              </w:rPr>
            </w:pPr>
            <w:r>
              <w:rPr>
                <w:rFonts w:ascii="Arial" w:cs="Arial" w:eastAsia="Arial" w:hAnsi="Arial"/>
                <w:sz w:val="18"/>
                <w:szCs w:val="18"/>
                <w:color w:val="auto"/>
              </w:rPr>
              <w:t>Management</w:t>
            </w:r>
          </w:p>
        </w:tc>
        <w:tc>
          <w:tcPr>
            <w:tcW w:w="560" w:type="dxa"/>
            <w:vAlign w:val="bottom"/>
          </w:tcPr>
          <w:p>
            <w:pPr>
              <w:jc w:val="right"/>
              <w:spacing w:after="0"/>
              <w:rPr>
                <w:sz w:val="20"/>
                <w:szCs w:val="20"/>
                <w:color w:val="auto"/>
              </w:rPr>
            </w:pPr>
            <w:r>
              <w:rPr>
                <w:rFonts w:ascii="Arial" w:cs="Arial" w:eastAsia="Arial" w:hAnsi="Arial"/>
                <w:sz w:val="18"/>
                <w:szCs w:val="18"/>
                <w:color w:val="auto"/>
              </w:rPr>
              <w:t>2,458</w:t>
            </w:r>
          </w:p>
        </w:tc>
        <w:tc>
          <w:tcPr>
            <w:tcW w:w="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2,458</w:t>
            </w:r>
          </w:p>
        </w:tc>
        <w:tc>
          <w:tcPr>
            <w:tcW w:w="60" w:type="dxa"/>
            <w:vAlign w:val="bottom"/>
          </w:tcPr>
          <w:p>
            <w:pPr>
              <w:spacing w:after="0"/>
              <w:rPr>
                <w:sz w:val="20"/>
                <w:szCs w:val="20"/>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7"/>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Contracted Backlog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1,269</w:t>
            </w:r>
          </w:p>
        </w:tc>
        <w:tc>
          <w:tcPr>
            <w:tcW w:w="6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Pipeline</w:t>
            </w:r>
          </w:p>
        </w:tc>
        <w:tc>
          <w:tcPr>
            <w:tcW w:w="560" w:type="dxa"/>
            <w:vAlign w:val="bottom"/>
          </w:tcPr>
          <w:p>
            <w:pPr>
              <w:jc w:val="right"/>
              <w:spacing w:after="0"/>
              <w:rPr>
                <w:sz w:val="20"/>
                <w:szCs w:val="20"/>
                <w:color w:val="auto"/>
              </w:rPr>
            </w:pPr>
            <w:r>
              <w:rPr>
                <w:rFonts w:ascii="Arial" w:cs="Arial" w:eastAsia="Arial" w:hAnsi="Arial"/>
                <w:sz w:val="18"/>
                <w:szCs w:val="18"/>
                <w:color w:val="auto"/>
              </w:rPr>
              <w:t>3,314</w:t>
            </w:r>
          </w:p>
        </w:tc>
        <w:tc>
          <w:tcPr>
            <w:tcW w:w="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3,314</w:t>
            </w:r>
          </w:p>
        </w:tc>
        <w:tc>
          <w:tcPr>
            <w:tcW w:w="60" w:type="dxa"/>
            <w:vAlign w:val="bottom"/>
          </w:tcPr>
          <w:p>
            <w:pPr>
              <w:spacing w:after="0"/>
              <w:rPr>
                <w:sz w:val="23"/>
                <w:szCs w:val="23"/>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-1971040</wp:posOffset>
            </wp:positionV>
            <wp:extent cx="521208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-1165225</wp:posOffset>
            </wp:positionV>
            <wp:extent cx="52120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-2305050</wp:posOffset>
            </wp:positionV>
            <wp:extent cx="342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-2305050</wp:posOffset>
            </wp:positionV>
            <wp:extent cx="34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-2305050</wp:posOffset>
            </wp:positionV>
            <wp:extent cx="342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-2305050</wp:posOffset>
            </wp:positionV>
            <wp:extent cx="342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-2305050</wp:posOffset>
            </wp:positionV>
            <wp:extent cx="342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-2305050</wp:posOffset>
            </wp:positionV>
            <wp:extent cx="34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-2305050</wp:posOffset>
            </wp:positionV>
            <wp:extent cx="34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9"/>
              </w:rPr>
              <w:t>For the Nine Months ended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6"/>
        </w:trPr>
        <w:tc>
          <w:tcPr>
            <w:tcW w:w="4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5"/>
          </w:tcPr>
          <w:p>
            <w:pPr>
              <w:jc w:val="center"/>
              <w:ind w:left="448"/>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6"/>
        </w:trPr>
        <w:tc>
          <w:tcPr>
            <w:tcW w:w="4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r>
      <w:tr>
        <w:trPr>
          <w:trHeight w:val="197"/>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(amounts in MW)</w:t>
            </w:r>
          </w:p>
        </w:tc>
        <w:tc>
          <w:tcPr>
            <w:tcW w:w="7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 Change</w:t>
            </w:r>
          </w:p>
        </w:tc>
      </w:tr>
      <w:tr>
        <w:trPr>
          <w:trHeight w:val="26"/>
        </w:trPr>
        <w:tc>
          <w:tcPr>
            <w:tcW w:w="4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Energy Storage Products</w:t>
            </w: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5020" w:type="dxa"/>
            <w:vAlign w:val="bottom"/>
            <w:gridSpan w:val="3"/>
          </w:tcPr>
          <w:p>
            <w:pPr>
              <w:spacing w:after="0"/>
              <w:rPr>
                <w:sz w:val="20"/>
                <w:szCs w:val="20"/>
                <w:color w:val="auto"/>
              </w:rPr>
            </w:pPr>
            <w:r>
              <w:rPr>
                <w:rFonts w:ascii="Arial" w:cs="Arial" w:eastAsia="Arial" w:hAnsi="Arial"/>
                <w:sz w:val="18"/>
                <w:szCs w:val="18"/>
                <w:color w:val="auto"/>
              </w:rPr>
              <w:t>Contracted</w:t>
            </w: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15"/>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57"/>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Service Contracts</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5020" w:type="dxa"/>
            <w:vAlign w:val="bottom"/>
            <w:gridSpan w:val="3"/>
          </w:tcPr>
          <w:p>
            <w:pPr>
              <w:spacing w:after="0"/>
              <w:rPr>
                <w:sz w:val="20"/>
                <w:szCs w:val="20"/>
                <w:color w:val="auto"/>
              </w:rPr>
            </w:pPr>
            <w:r>
              <w:rPr>
                <w:rFonts w:ascii="Arial" w:cs="Arial" w:eastAsia="Arial" w:hAnsi="Arial"/>
                <w:sz w:val="18"/>
                <w:szCs w:val="18"/>
                <w:color w:val="auto"/>
              </w:rPr>
              <w:t>Contracted</w:t>
            </w: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1,210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15"/>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1,183</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4,381.5%</w:t>
            </w:r>
          </w:p>
        </w:tc>
      </w:tr>
      <w:tr>
        <w:trPr>
          <w:trHeight w:val="270"/>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Digital Contracts</w:t>
            </w: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5020" w:type="dxa"/>
            <w:vAlign w:val="bottom"/>
            <w:gridSpan w:val="3"/>
          </w:tcPr>
          <w:p>
            <w:pPr>
              <w:spacing w:after="0"/>
              <w:rPr>
                <w:sz w:val="20"/>
                <w:szCs w:val="20"/>
                <w:color w:val="auto"/>
              </w:rPr>
            </w:pPr>
            <w:r>
              <w:rPr>
                <w:rFonts w:ascii="Arial" w:cs="Arial" w:eastAsia="Arial" w:hAnsi="Arial"/>
                <w:sz w:val="18"/>
                <w:szCs w:val="18"/>
                <w:color w:val="auto"/>
              </w:rPr>
              <w:t>Contracted</w:t>
            </w: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1,734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1,734</w:t>
            </w:r>
          </w:p>
        </w:tc>
        <w:tc>
          <w:tcPr>
            <w:tcW w:w="2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369"/>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7"/>
              </w:rPr>
              <w:t>For the Fiscal Years Ended</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6"/>
        </w:trPr>
        <w:tc>
          <w:tcPr>
            <w:tcW w:w="4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7"/>
          </w:tcPr>
          <w:p>
            <w:pPr>
              <w:ind w:left="40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6"/>
        </w:trPr>
        <w:tc>
          <w:tcPr>
            <w:tcW w:w="50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r>
      <w:tr>
        <w:trPr>
          <w:trHeight w:val="198"/>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(amounts in MW)</w:t>
            </w:r>
          </w:p>
        </w:tc>
        <w:tc>
          <w:tcPr>
            <w:tcW w:w="7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 Change</w:t>
            </w:r>
          </w:p>
        </w:tc>
      </w:tr>
      <w:tr>
        <w:trPr>
          <w:trHeight w:val="26"/>
        </w:trPr>
        <w:tc>
          <w:tcPr>
            <w:tcW w:w="4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Energy Storage Products</w:t>
            </w: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56"/>
        </w:trPr>
        <w:tc>
          <w:tcPr>
            <w:tcW w:w="5020" w:type="dxa"/>
            <w:vAlign w:val="bottom"/>
            <w:gridSpan w:val="3"/>
          </w:tcPr>
          <w:p>
            <w:pPr>
              <w:spacing w:after="0"/>
              <w:rPr>
                <w:sz w:val="20"/>
                <w:szCs w:val="20"/>
                <w:color w:val="auto"/>
              </w:rPr>
            </w:pPr>
            <w:r>
              <w:rPr>
                <w:rFonts w:ascii="Arial" w:cs="Arial" w:eastAsia="Arial" w:hAnsi="Arial"/>
                <w:sz w:val="18"/>
                <w:szCs w:val="18"/>
                <w:color w:val="auto"/>
              </w:rPr>
              <w:t>Contracted</w:t>
            </w: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844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832</w:t>
            </w:r>
          </w:p>
        </w:tc>
        <w:tc>
          <w:tcPr>
            <w:tcW w:w="220" w:type="dxa"/>
            <w:vAlign w:val="bottom"/>
          </w:tcPr>
          <w:p>
            <w:pPr>
              <w:spacing w:after="0"/>
              <w:rPr>
                <w:sz w:val="22"/>
                <w:szCs w:val="22"/>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57"/>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Service Contracts</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5020" w:type="dxa"/>
            <w:vAlign w:val="bottom"/>
            <w:gridSpan w:val="3"/>
          </w:tcPr>
          <w:p>
            <w:pPr>
              <w:spacing w:after="0"/>
              <w:rPr>
                <w:sz w:val="20"/>
                <w:szCs w:val="20"/>
                <w:color w:val="auto"/>
              </w:rPr>
            </w:pPr>
            <w:r>
              <w:rPr>
                <w:rFonts w:ascii="Arial" w:cs="Arial" w:eastAsia="Arial" w:hAnsi="Arial"/>
                <w:sz w:val="18"/>
                <w:szCs w:val="18"/>
                <w:color w:val="auto"/>
              </w:rPr>
              <w:t>Contracted</w:t>
            </w: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2"/>
                <w:szCs w:val="22"/>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-2185670</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-2185670</wp:posOffset>
            </wp:positionV>
            <wp:extent cx="137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-2185670</wp:posOffset>
            </wp:positionV>
            <wp:extent cx="137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-2185670</wp:posOffset>
            </wp:positionV>
            <wp:extent cx="137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-659130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-659130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-659130</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-659130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Deployed or Asset Under Management</w:t>
      </w:r>
    </w:p>
    <w:p>
      <w:pPr>
        <w:spacing w:after="0" w:line="144"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Deployed represents cumulative energy storage products that have achieved substantial completion and are not decommissioned.</w:t>
      </w:r>
    </w:p>
    <w:p>
      <w:pPr>
        <w:spacing w:after="0" w:line="103"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Asset under management for service contracts represents our long-term service contracts with customers associated with our completed energy storage system products. We start providing maintenance, monitoring, or other operational services after the storage product projects are completed.</w:t>
      </w:r>
    </w:p>
    <w:p>
      <w:pPr>
        <w:spacing w:after="0" w:line="96" w:lineRule="exact"/>
        <w:rPr>
          <w:sz w:val="20"/>
          <w:szCs w:val="20"/>
          <w:color w:val="auto"/>
        </w:rPr>
      </w:pPr>
    </w:p>
    <w:p>
      <w:pPr>
        <w:ind w:left="1260" w:right="759" w:firstLine="360"/>
        <w:spacing w:after="0" w:line="324" w:lineRule="auto"/>
        <w:rPr>
          <w:sz w:val="20"/>
          <w:szCs w:val="20"/>
          <w:color w:val="auto"/>
        </w:rPr>
      </w:pPr>
      <w:r>
        <w:rPr>
          <w:rFonts w:ascii="Arial" w:cs="Arial" w:eastAsia="Arial" w:hAnsi="Arial"/>
          <w:sz w:val="16"/>
          <w:szCs w:val="16"/>
          <w:color w:val="auto"/>
        </w:rPr>
        <w:t>Asset under management for digital software contracts represents the amount of MWs under signed digital application contracts, including Fluence Trading Platform after the acquisition of AMS in 2021.</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Contracted Backlog and Contracted</w:t>
      </w:r>
    </w:p>
    <w:p>
      <w:pPr>
        <w:spacing w:after="0" w:line="144"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For our energy storage products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spacing w:after="0" w:line="106"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Contracted represents new energy storage product contracts, new service contracts and new digital contracts signed during each fiscal year presented.</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Pipeline</w:t>
      </w:r>
    </w:p>
    <w:p>
      <w:pPr>
        <w:spacing w:after="0" w:line="15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Pipeline represents our uncontracted, potential revenue from energy storage products, service, and digital software contracts currently in process, which have a reasonable likelihood of contract execution within 24 months. Pipeline is monitored by management to understand the growth of our Company and our estimated future revenue related to customer contracts for our battery-based energy storage products and services.</w:t>
      </w:r>
    </w:p>
    <w:p>
      <w:pPr>
        <w:spacing w:after="0" w:line="10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at all or in a timely manner, we</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420"/>
        <w:spacing w:after="0" w:line="248" w:lineRule="auto"/>
        <w:rPr>
          <w:sz w:val="20"/>
          <w:szCs w:val="20"/>
          <w:color w:val="auto"/>
        </w:rPr>
      </w:pPr>
      <w:r>
        <w:rPr>
          <w:rFonts w:ascii="Arial" w:cs="Arial" w:eastAsia="Arial" w:hAnsi="Arial"/>
          <w:sz w:val="18"/>
          <w:szCs w:val="18"/>
          <w:color w:val="auto"/>
        </w:rPr>
        <w:t>could experience a reduction in revenue, profitability, and liquidity. Pipeline is an internal management metric that we construct from market information reported by our global sales force. We monitor and track our pipeline but it is not maintained or audited in accordance with U.S. GAAP.</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135" w:lineRule="exact"/>
        <w:rPr>
          <w:sz w:val="20"/>
          <w:szCs w:val="20"/>
          <w:color w:val="auto"/>
        </w:rPr>
      </w:pPr>
    </w:p>
    <w:p>
      <w:pPr>
        <w:ind w:left="1260" w:right="1260" w:firstLine="360"/>
        <w:spacing w:after="0" w:line="291" w:lineRule="auto"/>
        <w:rPr>
          <w:sz w:val="20"/>
          <w:szCs w:val="20"/>
          <w:color w:val="auto"/>
        </w:rPr>
      </w:pPr>
      <w:r>
        <w:rPr>
          <w:rFonts w:ascii="Arial" w:cs="Arial" w:eastAsia="Arial" w:hAnsi="Arial"/>
          <w:sz w:val="17"/>
          <w:szCs w:val="17"/>
          <w:color w:val="auto"/>
        </w:rPr>
        <w:t>This section contains references to certain non- GAAP financial measures, including Adjusted EBITDA, Adjusted Gross Profit (Loss), Adjusted Gross Profit Margin, Adjusted Net Loss, and Free Cash Flow.</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Adjusted EBITDA is calculated from the consolidated statements of operations using net income (loss)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adjusted for (i) interest income (expense), net, (ii) income taxes, (iii) depreciation and amortization,</w:t>
      </w:r>
    </w:p>
    <w:p>
      <w:pPr>
        <w:ind w:left="1260" w:right="1320"/>
        <w:spacing w:after="0" w:line="239" w:lineRule="auto"/>
        <w:tabs>
          <w:tab w:leader="none" w:pos="15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equity-based compensation, and (v) other non-recurring income or expenses. Adjusted EBITDA may in the future also be adjusted for amounts impacting net income related to the Tax Receivable Agreement liability.</w:t>
      </w:r>
    </w:p>
    <w:p>
      <w:pPr>
        <w:spacing w:after="0" w:line="108" w:lineRule="exact"/>
        <w:rPr>
          <w:sz w:val="20"/>
          <w:szCs w:val="20"/>
          <w:color w:val="auto"/>
        </w:rPr>
      </w:pPr>
    </w:p>
    <w:p>
      <w:pPr>
        <w:ind w:left="1260" w:right="1580" w:firstLine="360"/>
        <w:spacing w:after="0" w:line="248" w:lineRule="auto"/>
        <w:rPr>
          <w:sz w:val="20"/>
          <w:szCs w:val="20"/>
          <w:color w:val="auto"/>
        </w:rPr>
      </w:pPr>
      <w:r>
        <w:rPr>
          <w:rFonts w:ascii="Arial" w:cs="Arial" w:eastAsia="Arial" w:hAnsi="Arial"/>
          <w:sz w:val="18"/>
          <w:szCs w:val="18"/>
          <w:color w:val="auto"/>
        </w:rPr>
        <w:t>Adjusted Gross Profit (Loss) is calculated using gross profit (loss), adjusted to exclude certain non-recurring income or expenses. Adjusted Gross Profit Margin is calculated using Adjusted Gross Profit (Loss) divided by total revenue.</w:t>
      </w:r>
    </w:p>
    <w:p>
      <w:pPr>
        <w:spacing w:after="0" w:line="1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Adjusted Net Loss is calculated using net loss, adjusted to exclude (i) amortization of intangibles,</w:t>
      </w:r>
    </w:p>
    <w:p>
      <w:pPr>
        <w:spacing w:after="0" w:line="12" w:lineRule="exact"/>
        <w:rPr>
          <w:sz w:val="20"/>
          <w:szCs w:val="20"/>
          <w:color w:val="auto"/>
        </w:rPr>
      </w:pPr>
    </w:p>
    <w:p>
      <w:pPr>
        <w:ind w:left="1260" w:right="1520"/>
        <w:spacing w:after="0" w:line="243" w:lineRule="auto"/>
        <w:tabs>
          <w:tab w:leader="none" w:pos="154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equity-based compensation, (iii) other non-recurring income or expenses, and (iv) tax impact of these adjustments.</w:t>
      </w:r>
    </w:p>
    <w:p>
      <w:pPr>
        <w:spacing w:after="0" w:line="118" w:lineRule="exact"/>
        <w:rPr>
          <w:sz w:val="20"/>
          <w:szCs w:val="20"/>
          <w:color w:val="auto"/>
        </w:rPr>
      </w:pPr>
    </w:p>
    <w:p>
      <w:pPr>
        <w:jc w:val="both"/>
        <w:ind w:left="1260" w:right="1280" w:firstLine="360"/>
        <w:spacing w:after="0" w:line="255" w:lineRule="auto"/>
        <w:rPr>
          <w:sz w:val="20"/>
          <w:szCs w:val="20"/>
          <w:color w:val="auto"/>
        </w:rPr>
      </w:pPr>
      <w:r>
        <w:rPr>
          <w:rFonts w:ascii="Arial" w:cs="Arial" w:eastAsia="Arial" w:hAnsi="Arial"/>
          <w:sz w:val="17"/>
          <w:szCs w:val="17"/>
          <w:color w:val="auto"/>
        </w:rPr>
        <w:t>Free Cash Flow is calculated from the consolidated statements of cash flows and is defined as net cash provided by operating activities, less purchase of property and equipment made in the period. We expect our Free Cash Flow to fluctuate in future periods as we invest in our business to support our plans for growth.</w:t>
      </w:r>
    </w:p>
    <w:p>
      <w:pPr>
        <w:ind w:left="1260" w:right="1300"/>
        <w:spacing w:after="0" w:line="248" w:lineRule="auto"/>
        <w:rPr>
          <w:sz w:val="20"/>
          <w:szCs w:val="20"/>
          <w:color w:val="auto"/>
        </w:rPr>
      </w:pPr>
      <w:r>
        <w:rPr>
          <w:rFonts w:ascii="Arial" w:cs="Arial" w:eastAsia="Arial" w:hAnsi="Arial"/>
          <w:sz w:val="17"/>
          <w:szCs w:val="17"/>
          <w:color w:val="auto"/>
        </w:rPr>
        <w:t>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w:t>
      </w:r>
    </w:p>
    <w:p>
      <w:pPr>
        <w:spacing w:after="0" w:line="2" w:lineRule="exact"/>
        <w:rPr>
          <w:sz w:val="20"/>
          <w:szCs w:val="20"/>
          <w:color w:val="auto"/>
        </w:rPr>
      </w:pPr>
    </w:p>
    <w:p>
      <w:pPr>
        <w:jc w:val="both"/>
        <w:ind w:left="1260" w:right="1340"/>
        <w:spacing w:after="0" w:line="239" w:lineRule="auto"/>
        <w:tabs>
          <w:tab w:leader="none" w:pos="15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pacing w:after="0" w:line="108" w:lineRule="exact"/>
        <w:rPr>
          <w:sz w:val="20"/>
          <w:szCs w:val="20"/>
          <w:color w:val="auto"/>
        </w:rPr>
      </w:pPr>
    </w:p>
    <w:p>
      <w:pPr>
        <w:ind w:left="1260" w:right="1260" w:firstLine="360"/>
        <w:spacing w:after="0" w:line="239" w:lineRule="auto"/>
        <w:rPr>
          <w:sz w:val="20"/>
          <w:szCs w:val="20"/>
          <w:color w:val="auto"/>
        </w:rPr>
      </w:pPr>
      <w:r>
        <w:rPr>
          <w:rFonts w:ascii="Arial" w:cs="Arial" w:eastAsia="Arial" w:hAnsi="Arial"/>
          <w:sz w:val="18"/>
          <w:szCs w:val="18"/>
          <w:color w:val="auto"/>
        </w:rPr>
        <w:t>These non-GAAP measures are intended as supplemental measures of performance and/or liquidity that are neither required by, nor presented in accordance with, GAAP. We present these non-GAAP measures because we believe they assist investors and analysts in comparing our performance across reporting periods on a consistent basis by excluding items that we do not believe are indicative of our core operating performance. In addition, we use certain of these non-GAAP measures (i) as factors in evaluating management’s performance when determining incentive compensation and (ii) to evaluate the effectiveness of our business strategies.</w:t>
      </w:r>
    </w:p>
    <w:p>
      <w:pPr>
        <w:spacing w:after="0" w:line="123" w:lineRule="exact"/>
        <w:rPr>
          <w:sz w:val="20"/>
          <w:szCs w:val="20"/>
          <w:color w:val="auto"/>
        </w:rPr>
      </w:pPr>
    </w:p>
    <w:p>
      <w:pPr>
        <w:ind w:left="1260" w:right="1280" w:firstLine="360"/>
        <w:spacing w:after="0" w:line="259" w:lineRule="auto"/>
        <w:rPr>
          <w:sz w:val="20"/>
          <w:szCs w:val="20"/>
          <w:color w:val="auto"/>
        </w:rPr>
      </w:pPr>
      <w:r>
        <w:rPr>
          <w:rFonts w:ascii="Arial" w:cs="Arial" w:eastAsia="Arial" w:hAnsi="Arial"/>
          <w:sz w:val="17"/>
          <w:szCs w:val="17"/>
          <w:color w:val="auto"/>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tables present our non-GAAP measures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9"/>
          </w:tcPr>
          <w:p>
            <w:pPr>
              <w:ind w:left="60"/>
              <w:spacing w:after="0"/>
              <w:rPr>
                <w:sz w:val="20"/>
                <w:szCs w:val="20"/>
                <w:color w:val="auto"/>
              </w:rPr>
            </w:pPr>
            <w:r>
              <w:rPr>
                <w:rFonts w:ascii="Arial" w:cs="Arial" w:eastAsia="Arial" w:hAnsi="Arial"/>
                <w:sz w:val="14"/>
                <w:szCs w:val="14"/>
                <w:b w:val="1"/>
                <w:bCs w:val="1"/>
                <w:color w:val="auto"/>
              </w:rPr>
              <w:t>Nine Months Ended June 30,</w:t>
            </w:r>
          </w:p>
        </w:tc>
        <w:tc>
          <w:tcPr>
            <w:tcW w:w="2780" w:type="dxa"/>
            <w:vAlign w:val="bottom"/>
            <w:gridSpan w:val="7"/>
          </w:tcPr>
          <w:p>
            <w:pPr>
              <w:jc w:val="right"/>
              <w:ind w:right="1300"/>
              <w:spacing w:after="0"/>
              <w:rPr>
                <w:sz w:val="20"/>
                <w:szCs w:val="20"/>
                <w:color w:val="auto"/>
              </w:rPr>
            </w:pPr>
            <w:r>
              <w:rPr>
                <w:rFonts w:ascii="Arial" w:cs="Arial" w:eastAsia="Arial" w:hAnsi="Arial"/>
                <w:sz w:val="14"/>
                <w:szCs w:val="14"/>
                <w:b w:val="1"/>
                <w:bCs w:val="1"/>
                <w:color w:val="auto"/>
                <w:w w:val="95"/>
              </w:rPr>
              <w:t>YTD 2021 vs. YTD 2020</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06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 Change</w:t>
            </w:r>
          </w:p>
        </w:tc>
        <w:tc>
          <w:tcPr>
            <w:tcW w:w="188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2120" w:type="dxa"/>
            <w:vAlign w:val="bottom"/>
            <w:gridSpan w:val="5"/>
          </w:tcPr>
          <w:p>
            <w:pPr>
              <w:jc w:val="right"/>
              <w:spacing w:after="0"/>
              <w:rPr>
                <w:sz w:val="20"/>
                <w:szCs w:val="20"/>
                <w:color w:val="auto"/>
              </w:rPr>
            </w:pPr>
            <w:r>
              <w:rPr>
                <w:rFonts w:ascii="Arial" w:cs="Arial" w:eastAsia="Arial" w:hAnsi="Arial"/>
                <w:sz w:val="18"/>
                <w:szCs w:val="18"/>
                <w:color w:val="auto"/>
              </w:rPr>
              <w:t>$(74,804)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$(45,604)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$(29,200)</w:t>
            </w:r>
          </w:p>
        </w:tc>
        <w:tc>
          <w:tcPr>
            <w:tcW w:w="1880" w:type="dxa"/>
            <w:vAlign w:val="bottom"/>
            <w:gridSpan w:val="4"/>
          </w:tcPr>
          <w:p>
            <w:pPr>
              <w:jc w:val="right"/>
              <w:ind w:right="1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Add (deduct):</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297.6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 expense</w:t>
            </w:r>
          </w:p>
        </w:tc>
        <w:tc>
          <w:tcPr>
            <w:tcW w:w="2120" w:type="dxa"/>
            <w:vAlign w:val="bottom"/>
            <w:gridSpan w:val="5"/>
          </w:tcPr>
          <w:p>
            <w:pPr>
              <w:jc w:val="right"/>
              <w:ind w:right="60"/>
              <w:spacing w:after="0"/>
              <w:rPr>
                <w:sz w:val="20"/>
                <w:szCs w:val="20"/>
                <w:color w:val="auto"/>
              </w:rPr>
            </w:pPr>
            <w:r>
              <w:rPr>
                <w:rFonts w:ascii="Arial" w:cs="Arial" w:eastAsia="Arial" w:hAnsi="Arial"/>
                <w:sz w:val="18"/>
                <w:szCs w:val="18"/>
                <w:color w:val="auto"/>
              </w:rPr>
              <w:t>2,874</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5,678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(2,804)</w:t>
            </w:r>
          </w:p>
        </w:tc>
        <w:tc>
          <w:tcPr>
            <w:tcW w:w="1880" w:type="dxa"/>
            <w:vAlign w:val="bottom"/>
            <w:gridSpan w:val="4"/>
          </w:tcPr>
          <w:p>
            <w:pPr>
              <w:jc w:val="right"/>
              <w:ind w:right="12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3,494</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2,249</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Non-recurring (income) expenses</w:t>
            </w:r>
            <w:r>
              <w:rPr>
                <w:rFonts w:ascii="Arial" w:cs="Arial" w:eastAsia="Arial" w:hAnsi="Arial"/>
                <w:sz w:val="23"/>
                <w:szCs w:val="23"/>
                <w:color w:val="auto"/>
                <w:vertAlign w:val="superscript"/>
              </w:rPr>
              <w:t>(a)</w:t>
            </w:r>
          </w:p>
        </w:tc>
        <w:tc>
          <w:tcPr>
            <w:tcW w:w="14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17,156</w:t>
            </w:r>
          </w:p>
        </w:tc>
        <w:tc>
          <w:tcPr>
            <w:tcW w:w="22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1,726.0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120" w:type="dxa"/>
            <w:vAlign w:val="bottom"/>
            <w:gridSpan w:val="5"/>
          </w:tcPr>
          <w:p>
            <w:pPr>
              <w:jc w:val="right"/>
              <w:spacing w:after="0"/>
              <w:rPr>
                <w:sz w:val="20"/>
                <w:szCs w:val="20"/>
                <w:color w:val="auto"/>
              </w:rPr>
            </w:pPr>
            <w:r>
              <w:rPr>
                <w:rFonts w:ascii="Arial" w:cs="Arial" w:eastAsia="Arial" w:hAnsi="Arial"/>
                <w:sz w:val="18"/>
                <w:szCs w:val="18"/>
                <w:color w:val="auto"/>
              </w:rPr>
              <w:t>$(49,385)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$(37,139)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$(12,246)</w:t>
            </w:r>
          </w:p>
        </w:tc>
        <w:tc>
          <w:tcPr>
            <w:tcW w:w="1880" w:type="dxa"/>
            <w:vAlign w:val="bottom"/>
            <w:gridSpan w:val="4"/>
          </w:tcPr>
          <w:p>
            <w:pPr>
              <w:jc w:val="right"/>
              <w:ind w:right="1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-882015</wp:posOffset>
            </wp:positionV>
            <wp:extent cx="5212080"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-1851025</wp:posOffset>
            </wp:positionV>
            <wp:extent cx="521208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20" w:right="539" w:hanging="360"/>
        <w:spacing w:after="0" w:line="25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 in the nine months ended June 30, 2021 included $9.8 million related to a cargo loss incident, $6.8 million related to non-recurring excess shipping costs primarily attributable to the COVID-19 pandemic, and $1.5 million of non-recurring IPO-related expenses which did not qualify for capitalization. Amount in the nine months ended June 30, 2020 included $1.0 million expense associated with a safety incident in FY 2019.</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Fiscal Year Ended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9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FY 2020 vs. FY 2019</w:t>
            </w:r>
          </w:p>
        </w:tc>
      </w:tr>
      <w:tr>
        <w:trPr>
          <w:trHeight w:val="26"/>
        </w:trPr>
        <w:tc>
          <w:tcPr>
            <w:tcW w:w="194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94"/>
              </w:rPr>
              <w:t>Change %</w:t>
            </w:r>
          </w:p>
        </w:tc>
      </w:tr>
      <w:tr>
        <w:trPr>
          <w:trHeight w:val="26"/>
        </w:trPr>
        <w:tc>
          <w:tcPr>
            <w:tcW w:w="19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$(46,710)</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$(46,981)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r>
      <w:tr>
        <w:trPr>
          <w:trHeight w:val="257"/>
        </w:trPr>
        <w:tc>
          <w:tcPr>
            <w:tcW w:w="5000" w:type="dxa"/>
            <w:vAlign w:val="bottom"/>
            <w:gridSpan w:val="3"/>
          </w:tcPr>
          <w:p>
            <w:pPr>
              <w:spacing w:after="0"/>
              <w:rPr>
                <w:sz w:val="20"/>
                <w:szCs w:val="20"/>
                <w:color w:val="auto"/>
              </w:rPr>
            </w:pPr>
            <w:r>
              <w:rPr>
                <w:rFonts w:ascii="Arial" w:cs="Arial" w:eastAsia="Arial" w:hAnsi="Arial"/>
                <w:sz w:val="18"/>
                <w:szCs w:val="18"/>
                <w:color w:val="auto"/>
              </w:rPr>
              <w:t>Add (deduct):</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(1,226)</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69.1</w:t>
            </w:r>
          </w:p>
        </w:tc>
        <w:tc>
          <w:tcPr>
            <w:tcW w:w="40" w:type="dxa"/>
            <w:vAlign w:val="bottom"/>
          </w:tcPr>
          <w:p>
            <w:pPr>
              <w:spacing w:after="0"/>
              <w:rPr>
                <w:sz w:val="22"/>
                <w:szCs w:val="22"/>
                <w:color w:val="auto"/>
              </w:rPr>
            </w:pPr>
          </w:p>
        </w:tc>
      </w:tr>
      <w:tr>
        <w:trPr>
          <w:trHeight w:val="257"/>
        </w:trPr>
        <w:tc>
          <w:tcPr>
            <w:tcW w:w="500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6,421</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7,199</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925.3</w:t>
            </w:r>
          </w:p>
        </w:tc>
        <w:tc>
          <w:tcPr>
            <w:tcW w:w="40" w:type="dxa"/>
            <w:vAlign w:val="bottom"/>
          </w:tcPr>
          <w:p>
            <w:pPr>
              <w:spacing w:after="0"/>
              <w:rPr>
                <w:sz w:val="22"/>
                <w:szCs w:val="22"/>
                <w:color w:val="auto"/>
              </w:rPr>
            </w:pPr>
          </w:p>
        </w:tc>
      </w:tr>
      <w:tr>
        <w:trPr>
          <w:trHeight w:val="257"/>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3,018</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2,891</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2"/>
                <w:szCs w:val="22"/>
                <w:color w:val="auto"/>
              </w:rPr>
            </w:pPr>
          </w:p>
        </w:tc>
      </w:tr>
      <w:tr>
        <w:trPr>
          <w:trHeight w:val="297"/>
        </w:trPr>
        <w:tc>
          <w:tcPr>
            <w:tcW w:w="5000" w:type="dxa"/>
            <w:vAlign w:val="bottom"/>
            <w:gridSpan w:val="3"/>
          </w:tcPr>
          <w:p>
            <w:pPr>
              <w:spacing w:after="0"/>
              <w:rPr>
                <w:sz w:val="20"/>
                <w:szCs w:val="20"/>
                <w:color w:val="auto"/>
              </w:rPr>
            </w:pPr>
            <w:r>
              <w:rPr>
                <w:rFonts w:ascii="Arial" w:cs="Arial" w:eastAsia="Arial" w:hAnsi="Arial"/>
                <w:sz w:val="18"/>
                <w:szCs w:val="18"/>
                <w:color w:val="auto"/>
              </w:rPr>
              <w:t>Non-recurring (income) expenses</w:t>
            </w:r>
            <w:r>
              <w:rPr>
                <w:rFonts w:ascii="Arial" w:cs="Arial" w:eastAsia="Arial" w:hAnsi="Arial"/>
                <w:sz w:val="23"/>
                <w:szCs w:val="23"/>
                <w:color w:val="auto"/>
                <w:vertAlign w:val="superscript"/>
              </w:rPr>
              <w:t>(a)</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1,767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4,480</w:t>
            </w:r>
          </w:p>
        </w:tc>
        <w:tc>
          <w:tcPr>
            <w:tcW w:w="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(2,713)</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$(35,883)</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$(41,614)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-290830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-290830</wp:posOffset>
            </wp:positionV>
            <wp:extent cx="2057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43116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-1302385</wp:posOffset>
            </wp:positionV>
            <wp:extent cx="137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-1302385</wp:posOffset>
            </wp:positionV>
            <wp:extent cx="137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-1302385</wp:posOffset>
            </wp:positionV>
            <wp:extent cx="137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-1302385</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 in FY 2020 included $0.8 million of costs associated with the AMS acquisition and a</w:t>
      </w:r>
    </w:p>
    <w:p>
      <w:pPr>
        <w:spacing w:after="0" w:line="23" w:lineRule="exact"/>
        <w:rPr>
          <w:rFonts w:ascii="Arial" w:cs="Arial" w:eastAsia="Arial" w:hAnsi="Arial"/>
          <w:sz w:val="18"/>
          <w:szCs w:val="18"/>
          <w:color w:val="auto"/>
        </w:rPr>
      </w:pPr>
    </w:p>
    <w:p>
      <w:pPr>
        <w:ind w:left="1620" w:right="779"/>
        <w:spacing w:after="0" w:line="260" w:lineRule="auto"/>
        <w:rPr>
          <w:rFonts w:ascii="Arial" w:cs="Arial" w:eastAsia="Arial" w:hAnsi="Arial"/>
          <w:sz w:val="18"/>
          <w:szCs w:val="18"/>
          <w:color w:val="auto"/>
        </w:rPr>
      </w:pPr>
      <w:r>
        <w:rPr>
          <w:rFonts w:ascii="Arial" w:cs="Arial" w:eastAsia="Arial" w:hAnsi="Arial"/>
          <w:sz w:val="18"/>
          <w:szCs w:val="18"/>
          <w:color w:val="auto"/>
        </w:rPr>
        <w:t>$1.0 million expense associated with a safety incident in FY 2019. Amounts in FY 2019 included a $4.5 million expense caused by the same safety incident.</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Nine Months Ended June 30,</w:t>
            </w:r>
          </w:p>
        </w:tc>
        <w:tc>
          <w:tcPr>
            <w:tcW w:w="16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YTD 2021 vs. YTD 2020</w:t>
            </w:r>
          </w:p>
        </w:tc>
      </w:tr>
      <w:tr>
        <w:trPr>
          <w:trHeight w:val="26"/>
        </w:trPr>
        <w:tc>
          <w:tcPr>
            <w:tcW w:w="19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 Change</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 Change</w:t>
            </w:r>
          </w:p>
        </w:tc>
      </w:tr>
      <w:tr>
        <w:trPr>
          <w:trHeight w:val="25"/>
        </w:trPr>
        <w:tc>
          <w:tcPr>
            <w:tcW w:w="19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44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$492,561</w:t>
            </w:r>
          </w:p>
        </w:tc>
        <w:tc>
          <w:tcPr>
            <w:tcW w:w="2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321,859</w:t>
            </w:r>
          </w:p>
        </w:tc>
        <w:tc>
          <w:tcPr>
            <w:tcW w:w="2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$170,702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53.0%</w:t>
            </w:r>
          </w:p>
        </w:tc>
      </w:tr>
      <w:tr>
        <w:trPr>
          <w:trHeight w:val="263"/>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and services</w:t>
            </w:r>
          </w:p>
        </w:tc>
        <w:tc>
          <w:tcPr>
            <w:tcW w:w="26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502,644</w:t>
            </w: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325,944</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176,700</w:t>
            </w:r>
          </w:p>
        </w:tc>
        <w:tc>
          <w:tcPr>
            <w:tcW w:w="26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22"/>
                <w:szCs w:val="22"/>
                <w:color w:val="auto"/>
              </w:rPr>
            </w:pPr>
          </w:p>
        </w:tc>
      </w:tr>
      <w:tr>
        <w:trPr>
          <w:trHeight w:val="25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12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(10,083)</w:t>
            </w: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(4,085)</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(146.8)</w:t>
            </w:r>
          </w:p>
        </w:tc>
        <w:tc>
          <w:tcPr>
            <w:tcW w:w="140" w:type="dxa"/>
            <w:vAlign w:val="bottom"/>
            <w:tcBorders>
              <w:left w:val="single" w:sz="8" w:color="CCEEFF"/>
            </w:tcBorders>
          </w:tcPr>
          <w:p>
            <w:pPr>
              <w:spacing w:after="0"/>
              <w:rPr>
                <w:sz w:val="22"/>
                <w:szCs w:val="22"/>
                <w:color w:val="auto"/>
              </w:rPr>
            </w:pP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Add (deduct):</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9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(income) expenses</w:t>
            </w:r>
            <w:r>
              <w:rPr>
                <w:rFonts w:ascii="Arial" w:cs="Arial" w:eastAsia="Arial" w:hAnsi="Arial"/>
                <w:sz w:val="23"/>
                <w:szCs w:val="23"/>
                <w:color w:val="auto"/>
                <w:vertAlign w:val="superscript"/>
              </w:rPr>
              <w:t>(a)</w:t>
            </w:r>
          </w:p>
        </w:tc>
        <w:tc>
          <w:tcPr>
            <w:tcW w:w="26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2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w:t>
            </w:r>
          </w:p>
        </w:tc>
        <w:tc>
          <w:tcPr>
            <w:tcW w:w="26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1,573.7</w:t>
            </w:r>
          </w:p>
        </w:tc>
        <w:tc>
          <w:tcPr>
            <w:tcW w:w="140" w:type="dxa"/>
            <w:vAlign w:val="bottom"/>
            <w:tcBorders>
              <w:left w:val="single" w:sz="8" w:color="CCEEFF"/>
            </w:tcBorders>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Adjusted Gross (Loss) Profit</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6,554</w:t>
            </w:r>
          </w:p>
        </w:tc>
        <w:tc>
          <w:tcPr>
            <w:tcW w:w="2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(3,091)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  9,645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312.0%</w:t>
            </w:r>
          </w:p>
        </w:tc>
      </w:tr>
      <w:tr>
        <w:trPr>
          <w:trHeight w:val="20"/>
        </w:trPr>
        <w:tc>
          <w:tcPr>
            <w:tcW w:w="194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tcPr>
          <w:p>
            <w:pPr>
              <w:spacing w:after="0" w:line="20" w:lineRule="exact"/>
              <w:rPr>
                <w:sz w:val="1"/>
                <w:szCs w:val="1"/>
                <w:color w:val="auto"/>
              </w:rPr>
            </w:pPr>
          </w:p>
        </w:tc>
      </w:tr>
      <w:tr>
        <w:trPr>
          <w:trHeight w:val="29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Gross Profit Margin %</w:t>
            </w:r>
          </w:p>
        </w:tc>
        <w:tc>
          <w:tcPr>
            <w:tcW w:w="260" w:type="dxa"/>
            <w:vAlign w:val="bottom"/>
            <w:tcBorders>
              <w:right w:val="single" w:sz="8" w:color="CCEEFF"/>
            </w:tcBorders>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70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tcBorders>
              <w:left w:val="single" w:sz="8" w:color="CCEEFF"/>
            </w:tcBorders>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2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-281940</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-281940</wp:posOffset>
            </wp:positionV>
            <wp:extent cx="1631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-281940</wp:posOffset>
            </wp:positionV>
            <wp:extent cx="42348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-462280</wp:posOffset>
            </wp:positionV>
            <wp:extent cx="342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-985520</wp:posOffset>
            </wp:positionV>
            <wp:extent cx="34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-985520</wp:posOffset>
            </wp:positionV>
            <wp:extent cx="1631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-985520</wp:posOffset>
            </wp:positionV>
            <wp:extent cx="42348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-1328420</wp:posOffset>
            </wp:positionV>
            <wp:extent cx="52120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28" w:lineRule="exact"/>
        <w:rPr>
          <w:sz w:val="20"/>
          <w:szCs w:val="20"/>
          <w:color w:val="auto"/>
        </w:rPr>
      </w:pPr>
    </w:p>
    <w:p>
      <w:pPr>
        <w:ind w:left="1620" w:right="499" w:hanging="360"/>
        <w:spacing w:after="0" w:line="259"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 in the nine months ended June 30, 2021 included $9.8 million related to a cargo loss incident and $6.8 million related to non-recurring excess shipping costs primarily attributable to the COVID-19 pandemic. Amount in the nine months ended June 30, 2020 included $1.0 million expense associated with a safety incident in FY 2019.</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 in thousands)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loss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Add (deduct):</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Amortization of intangible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Non-recurring (income) expenses</w:t>
      </w:r>
      <w:r>
        <w:rPr>
          <w:rFonts w:ascii="Arial" w:cs="Arial" w:eastAsia="Arial" w:hAnsi="Arial"/>
          <w:sz w:val="20"/>
          <w:szCs w:val="20"/>
          <w:color w:val="auto"/>
          <w:vertAlign w:val="superscript"/>
        </w:rPr>
        <w:t>(a)</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Adjusted Net Loss</w:t>
      </w:r>
      <w:r>
        <w:rPr>
          <w:rFonts w:ascii="Arial" w:cs="Arial" w:eastAsia="Arial" w:hAnsi="Arial"/>
          <w:sz w:val="23"/>
          <w:szCs w:val="23"/>
          <w:b w:val="1"/>
          <w:bCs w:val="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40" w:type="dxa"/>
            <w:vAlign w:val="bottom"/>
            <w:gridSpan w:val="9"/>
          </w:tcPr>
          <w:p>
            <w:pPr>
              <w:ind w:left="60"/>
              <w:spacing w:after="0"/>
              <w:rPr>
                <w:sz w:val="20"/>
                <w:szCs w:val="20"/>
                <w:color w:val="auto"/>
              </w:rPr>
            </w:pPr>
            <w:r>
              <w:rPr>
                <w:rFonts w:ascii="Arial" w:cs="Arial" w:eastAsia="Arial" w:hAnsi="Arial"/>
                <w:sz w:val="14"/>
                <w:szCs w:val="14"/>
                <w:b w:val="1"/>
                <w:bCs w:val="1"/>
                <w:color w:val="auto"/>
              </w:rPr>
              <w:t>Nine Months Ended June 30,</w:t>
            </w:r>
          </w:p>
        </w:tc>
        <w:tc>
          <w:tcPr>
            <w:tcW w:w="168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5"/>
              </w:rPr>
              <w:t>YTD 2021 vs. YTD 2020</w:t>
            </w:r>
          </w:p>
        </w:tc>
      </w:tr>
      <w:tr>
        <w:trPr>
          <w:trHeight w:val="25"/>
        </w:trPr>
        <w:tc>
          <w:tcPr>
            <w:tcW w:w="7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60" w:type="dxa"/>
            <w:vAlign w:val="bottom"/>
            <w:gridSpan w:val="2"/>
          </w:tcPr>
          <w:p>
            <w:pPr>
              <w:spacing w:after="0"/>
              <w:rPr>
                <w:sz w:val="2"/>
                <w:szCs w:val="2"/>
                <w:color w:val="auto"/>
              </w:rPr>
            </w:pPr>
          </w:p>
        </w:tc>
      </w:tr>
      <w:tr>
        <w:trPr>
          <w:trHeight w:val="198"/>
        </w:trPr>
        <w:tc>
          <w:tcPr>
            <w:tcW w:w="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 Change</w:t>
            </w:r>
          </w:p>
        </w:tc>
        <w:tc>
          <w:tcPr>
            <w:tcW w:w="7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8"/>
              </w:rPr>
              <w:t>% Change</w:t>
            </w:r>
          </w:p>
        </w:tc>
      </w:tr>
      <w:tr>
        <w:trPr>
          <w:trHeight w:val="25"/>
        </w:trPr>
        <w:tc>
          <w:tcPr>
            <w:tcW w:w="80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800" w:type="dxa"/>
            <w:vAlign w:val="bottom"/>
            <w:gridSpan w:val="3"/>
          </w:tcPr>
          <w:p>
            <w:pPr>
              <w:jc w:val="right"/>
              <w:spacing w:after="0"/>
              <w:rPr>
                <w:sz w:val="20"/>
                <w:szCs w:val="20"/>
                <w:color w:val="auto"/>
              </w:rPr>
            </w:pPr>
            <w:r>
              <w:rPr>
                <w:rFonts w:ascii="Arial" w:cs="Arial" w:eastAsia="Arial" w:hAnsi="Arial"/>
                <w:sz w:val="18"/>
                <w:szCs w:val="18"/>
                <w:color w:val="auto"/>
              </w:rPr>
              <w:t>$(74,804)</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$(45,604)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$(29,200)</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(64.0)%</w:t>
            </w:r>
          </w:p>
        </w:tc>
      </w:tr>
      <w:tr>
        <w:trPr>
          <w:trHeight w:val="513"/>
        </w:trPr>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2,637</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1,860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17,156</w:t>
            </w:r>
          </w:p>
        </w:tc>
        <w:tc>
          <w:tcPr>
            <w:tcW w:w="2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1,726.0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800" w:type="dxa"/>
            <w:vAlign w:val="bottom"/>
            <w:gridSpan w:val="3"/>
          </w:tcPr>
          <w:p>
            <w:pPr>
              <w:jc w:val="right"/>
              <w:spacing w:after="0"/>
              <w:rPr>
                <w:sz w:val="20"/>
                <w:szCs w:val="20"/>
                <w:color w:val="auto"/>
              </w:rPr>
            </w:pPr>
            <w:r>
              <w:rPr>
                <w:rFonts w:ascii="Arial" w:cs="Arial" w:eastAsia="Arial" w:hAnsi="Arial"/>
                <w:sz w:val="18"/>
                <w:szCs w:val="18"/>
                <w:color w:val="auto"/>
              </w:rPr>
              <w:t>$(54,017)</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$(42,750)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 (11,267)</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-642620</wp:posOffset>
            </wp:positionV>
            <wp:extent cx="521208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-290830</wp:posOffset>
            </wp:positionV>
            <wp:extent cx="5212080" cy="274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27432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-976630</wp:posOffset>
            </wp:positionV>
            <wp:extent cx="52120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3979"/>
          </w:cols>
          <w:pgMar w:left="580" w:top="131" w:right="1440" w:bottom="1440" w:gutter="0" w:footer="0" w:header="0"/>
          <w:type w:val="continuous"/>
        </w:sectPr>
      </w:pPr>
    </w:p>
    <w:p>
      <w:pPr>
        <w:spacing w:after="0" w:line="69" w:lineRule="exact"/>
        <w:rPr>
          <w:sz w:val="20"/>
          <w:szCs w:val="20"/>
          <w:color w:val="auto"/>
        </w:rPr>
      </w:pPr>
    </w:p>
    <w:p>
      <w:pPr>
        <w:ind w:left="1620" w:right="539" w:hanging="360"/>
        <w:spacing w:after="0" w:line="286" w:lineRule="auto"/>
        <w:tabs>
          <w:tab w:leader="none" w:pos="1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Amount in the nine months ended June 30, 2021 included $9.8 million related to a cargo loss incident, $6.8 million related to non-recurring excess shipping costs primarily attributable to the COVID-19 pandemic, and $1.5 million of non-recurring IPO-related expenses which did not qualify for</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2000"/>
        <w:spacing w:after="0" w:line="277" w:lineRule="auto"/>
        <w:rPr>
          <w:sz w:val="20"/>
          <w:szCs w:val="20"/>
          <w:color w:val="auto"/>
        </w:rPr>
      </w:pPr>
      <w:r>
        <w:rPr>
          <w:rFonts w:ascii="Arial" w:cs="Arial" w:eastAsia="Arial" w:hAnsi="Arial"/>
          <w:sz w:val="18"/>
          <w:szCs w:val="18"/>
          <w:color w:val="auto"/>
        </w:rPr>
        <w:t>capitalization. Amount in the nine months ended June 30, 2020 included $1.0 million expense associated with a safety incident in FY 2019.</w:t>
      </w:r>
    </w:p>
    <w:p>
      <w:pPr>
        <w:spacing w:after="0" w:line="49" w:lineRule="exact"/>
        <w:rPr>
          <w:sz w:val="20"/>
          <w:szCs w:val="20"/>
          <w:color w:val="auto"/>
        </w:rPr>
      </w:pPr>
    </w:p>
    <w:p>
      <w:pPr>
        <w:ind w:left="1620" w:right="1320" w:hanging="360"/>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non-recurring (income) expense items included as an add-back in the table above were related to the LLC entity, which for U.S. federal income tax purposes is treated as a partnership and therefore the tax impact is zero.</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7"/>
              </w:rPr>
              <w:t>Fiscal 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4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FY 2020 vs. FY 2019</w:t>
            </w:r>
          </w:p>
        </w:tc>
      </w:tr>
      <w:tr>
        <w:trPr>
          <w:trHeight w:val="26"/>
        </w:trPr>
        <w:tc>
          <w:tcPr>
            <w:tcW w:w="194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7"/>
                <w:szCs w:val="17"/>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8"/>
              </w:rPr>
              <w:t>Change %</w:t>
            </w:r>
          </w:p>
        </w:tc>
      </w:tr>
      <w:tr>
        <w:trPr>
          <w:trHeight w:val="26"/>
        </w:trPr>
        <w:tc>
          <w:tcPr>
            <w:tcW w:w="19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561,323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92,151</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469,172</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509.1%</w:t>
            </w:r>
          </w:p>
        </w:tc>
        <w:tc>
          <w:tcPr>
            <w:tcW w:w="40" w:type="dxa"/>
            <w:vAlign w:val="bottom"/>
          </w:tcPr>
          <w:p>
            <w:pPr>
              <w:spacing w:after="0"/>
              <w:rPr>
                <w:sz w:val="21"/>
                <w:szCs w:val="21"/>
                <w:color w:val="auto"/>
              </w:rPr>
            </w:pPr>
          </w:p>
        </w:tc>
      </w:tr>
      <w:tr>
        <w:trPr>
          <w:trHeight w:val="263"/>
        </w:trPr>
        <w:tc>
          <w:tcPr>
            <w:tcW w:w="4840" w:type="dxa"/>
            <w:vAlign w:val="bottom"/>
            <w:gridSpan w:val="3"/>
          </w:tcPr>
          <w:p>
            <w:pPr>
              <w:spacing w:after="0"/>
              <w:rPr>
                <w:sz w:val="20"/>
                <w:szCs w:val="20"/>
                <w:color w:val="auto"/>
              </w:rPr>
            </w:pPr>
            <w:r>
              <w:rPr>
                <w:rFonts w:ascii="Arial" w:cs="Arial" w:eastAsia="Arial" w:hAnsi="Arial"/>
                <w:sz w:val="18"/>
                <w:szCs w:val="18"/>
                <w:color w:val="auto"/>
              </w:rPr>
              <w:t>Cost of goods and services</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553,400</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100,068</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453,332</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453.0</w:t>
            </w:r>
          </w:p>
        </w:tc>
        <w:tc>
          <w:tcPr>
            <w:tcW w:w="4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90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4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(7,917)</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15,840</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200.1</w:t>
            </w:r>
          </w:p>
        </w:tc>
        <w:tc>
          <w:tcPr>
            <w:tcW w:w="40" w:type="dxa"/>
            <w:vAlign w:val="bottom"/>
          </w:tcPr>
          <w:p>
            <w:pPr>
              <w:spacing w:after="0"/>
              <w:rPr>
                <w:sz w:val="22"/>
                <w:szCs w:val="22"/>
                <w:color w:val="auto"/>
              </w:rPr>
            </w:pPr>
          </w:p>
        </w:tc>
      </w:tr>
      <w:tr>
        <w:trPr>
          <w:trHeight w:val="257"/>
        </w:trPr>
        <w:tc>
          <w:tcPr>
            <w:tcW w:w="4840" w:type="dxa"/>
            <w:vAlign w:val="bottom"/>
            <w:gridSpan w:val="3"/>
          </w:tcPr>
          <w:p>
            <w:pPr>
              <w:spacing w:after="0"/>
              <w:rPr>
                <w:sz w:val="20"/>
                <w:szCs w:val="20"/>
                <w:color w:val="auto"/>
              </w:rPr>
            </w:pPr>
            <w:r>
              <w:rPr>
                <w:rFonts w:ascii="Arial" w:cs="Arial" w:eastAsia="Arial" w:hAnsi="Arial"/>
                <w:sz w:val="18"/>
                <w:szCs w:val="18"/>
                <w:color w:val="auto"/>
              </w:rPr>
              <w:t>Add (deduct):</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97"/>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(income) expenses</w:t>
            </w:r>
            <w:r>
              <w:rPr>
                <w:rFonts w:ascii="Arial" w:cs="Arial" w:eastAsia="Arial" w:hAnsi="Arial"/>
                <w:sz w:val="23"/>
                <w:szCs w:val="23"/>
                <w:color w:val="auto"/>
                <w:vertAlign w:val="superscript"/>
              </w:rPr>
              <w:t>(a)</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(3,502)</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c>
          <w:tcPr>
            <w:tcW w:w="40" w:type="dxa"/>
            <w:vAlign w:val="bottom"/>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4840" w:type="dxa"/>
            <w:vAlign w:val="bottom"/>
            <w:gridSpan w:val="3"/>
          </w:tcPr>
          <w:p>
            <w:pPr>
              <w:spacing w:after="0"/>
              <w:rPr>
                <w:sz w:val="20"/>
                <w:szCs w:val="20"/>
                <w:color w:val="auto"/>
              </w:rPr>
            </w:pPr>
            <w:r>
              <w:rPr>
                <w:rFonts w:ascii="Arial" w:cs="Arial" w:eastAsia="Arial" w:hAnsi="Arial"/>
                <w:sz w:val="18"/>
                <w:szCs w:val="18"/>
                <w:color w:val="auto"/>
              </w:rPr>
              <w:t>Adjusted Gross Profit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8,901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12,338</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359.0%</w:t>
            </w:r>
          </w:p>
        </w:tc>
      </w:tr>
      <w:tr>
        <w:trPr>
          <w:trHeight w:val="20"/>
        </w:trPr>
        <w:tc>
          <w:tcPr>
            <w:tcW w:w="194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48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Adjusted Gross Profit Margin %</w:t>
            </w:r>
          </w:p>
        </w:tc>
        <w:tc>
          <w:tcPr>
            <w:tcW w:w="100" w:type="dxa"/>
            <w:vAlign w:val="bottom"/>
            <w:shd w:val="clear" w:color="auto" w:fill="CCEEFF"/>
          </w:tcPr>
          <w:p>
            <w:pPr>
              <w:spacing w:after="0"/>
              <w:rPr>
                <w:sz w:val="24"/>
                <w:szCs w:val="24"/>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-299085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-299085</wp:posOffset>
            </wp:positionV>
            <wp:extent cx="2057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-299085</wp:posOffset>
            </wp:positionV>
            <wp:extent cx="42348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-1002030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-1002030</wp:posOffset>
            </wp:positionV>
            <wp:extent cx="2057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-1002030</wp:posOffset>
            </wp:positionV>
            <wp:extent cx="42348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-1344930</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-1344930</wp:posOffset>
            </wp:positionV>
            <wp:extent cx="137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-1344930</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-1344930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620" w:right="1680" w:hanging="360"/>
        <w:spacing w:after="0" w:line="308" w:lineRule="auto"/>
        <w:tabs>
          <w:tab w:leader="none" w:pos="1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Amount in FY 2020 included a $1.0 million expense associated with a safety incident in FY 2019. Amounts in FY 2019 included a $4.5 million expense caused by the same safety incident.</w:t>
      </w:r>
    </w:p>
    <w:p>
      <w:pPr>
        <w:sectPr>
          <w:pgSz w:w="11900" w:h="16838" w:orient="portrait"/>
          <w:cols w:equalWidth="0" w:num="1">
            <w:col w:w="10720"/>
          </w:cols>
          <w:pgMar w:left="580" w:top="131" w:right="59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 in thousands)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loss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Add (deduct):</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Amortization of intangible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Non-recurring (income) expenses</w:t>
      </w:r>
      <w:r>
        <w:rPr>
          <w:rFonts w:ascii="Arial" w:cs="Arial" w:eastAsia="Arial" w:hAnsi="Arial"/>
          <w:sz w:val="20"/>
          <w:szCs w:val="20"/>
          <w:color w:val="auto"/>
          <w:vertAlign w:val="superscript"/>
        </w:rPr>
        <w:t>(a)</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Adjusted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7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Fiscal Year Ended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100" w:type="dxa"/>
            <w:vAlign w:val="bottom"/>
          </w:tcPr>
          <w:p>
            <w:pPr>
              <w:spacing w:after="0"/>
              <w:rPr>
                <w:sz w:val="16"/>
                <w:szCs w:val="16"/>
                <w:color w:val="auto"/>
              </w:rPr>
            </w:pPr>
          </w:p>
        </w:tc>
        <w:tc>
          <w:tcPr>
            <w:tcW w:w="17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80" w:type="dxa"/>
            <w:vAlign w:val="bottom"/>
          </w:tcPr>
          <w:p>
            <w:pPr>
              <w:spacing w:after="0"/>
              <w:rPr>
                <w:sz w:val="16"/>
                <w:szCs w:val="16"/>
                <w:color w:val="auto"/>
              </w:rPr>
            </w:pPr>
          </w:p>
        </w:tc>
        <w:tc>
          <w:tcPr>
            <w:tcW w:w="14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FY 2020 vs. FY 2019</w:t>
            </w:r>
          </w:p>
        </w:tc>
      </w:tr>
      <w:tr>
        <w:trPr>
          <w:trHeight w:val="26"/>
        </w:trPr>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80" w:type="dxa"/>
            <w:vAlign w:val="bottom"/>
            <w:gridSpan w:val="2"/>
          </w:tcPr>
          <w:p>
            <w:pPr>
              <w:spacing w:after="0"/>
              <w:rPr>
                <w:sz w:val="2"/>
                <w:szCs w:val="2"/>
                <w:color w:val="auto"/>
              </w:rPr>
            </w:pPr>
          </w:p>
        </w:tc>
      </w:tr>
      <w:tr>
        <w:trPr>
          <w:trHeight w:val="198"/>
        </w:trPr>
        <w:tc>
          <w:tcPr>
            <w:tcW w:w="100" w:type="dxa"/>
            <w:vAlign w:val="bottom"/>
          </w:tcPr>
          <w:p>
            <w:pPr>
              <w:spacing w:after="0"/>
              <w:rPr>
                <w:sz w:val="17"/>
                <w:szCs w:val="17"/>
                <w:color w:val="auto"/>
              </w:rPr>
            </w:pPr>
          </w:p>
        </w:tc>
        <w:tc>
          <w:tcPr>
            <w:tcW w:w="560" w:type="dxa"/>
            <w:vAlign w:val="bottom"/>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8"/>
              </w:rPr>
              <w:t>Change %</w:t>
            </w:r>
          </w:p>
        </w:tc>
      </w:tr>
      <w:tr>
        <w:trPr>
          <w:trHeight w:val="26"/>
        </w:trPr>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(46,710)</w:t>
            </w: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(46,981)</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0.6%</w:t>
            </w:r>
          </w:p>
        </w:tc>
      </w:tr>
      <w:tr>
        <w:trPr>
          <w:trHeight w:val="51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2,484</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0"/>
        </w:trPr>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(2,713)</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(42,459)</w:t>
            </w: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(40,022)</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(2,437)</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-565150</wp:posOffset>
            </wp:positionV>
            <wp:extent cx="521208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-213995</wp:posOffset>
            </wp:positionV>
            <wp:extent cx="5212080" cy="196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-899160</wp:posOffset>
            </wp:positionV>
            <wp:extent cx="521208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4460"/>
          </w:cols>
          <w:pgMar w:left="580" w:top="131" w:right="599" w:bottom="1440" w:gutter="0" w:footer="0" w:header="0"/>
          <w:type w:val="continuous"/>
        </w:sectPr>
      </w:pPr>
    </w:p>
    <w:p>
      <w:pPr>
        <w:spacing w:after="0" w:line="83" w:lineRule="exact"/>
        <w:rPr>
          <w:sz w:val="20"/>
          <w:szCs w:val="20"/>
          <w:color w:val="auto"/>
        </w:rPr>
      </w:pPr>
    </w:p>
    <w:p>
      <w:pPr>
        <w:ind w:left="1620" w:right="1380" w:hanging="360"/>
        <w:spacing w:after="0" w:line="263"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 in FY 2020 included $0.8 million costs associated with the AMS acquisition and $1.0 million of expenses related to a safety incident which occurred in FY 2019. Amount in FY 2019 included $4.5 million expenses caused by the same safety incident.</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98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 June 30,</w:t>
            </w: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YTD 2021 vs. YTD 2020</w:t>
            </w:r>
          </w:p>
        </w:tc>
      </w:tr>
      <w:tr>
        <w:trPr>
          <w:trHeight w:val="25"/>
        </w:trPr>
        <w:tc>
          <w:tcPr>
            <w:tcW w:w="4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8"/>
        </w:trPr>
        <w:tc>
          <w:tcPr>
            <w:tcW w:w="468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w w:val="88"/>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6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6"/>
              </w:rPr>
              <w:t>Net cash (used in) provided by operating activities .</w:t>
            </w:r>
          </w:p>
        </w:tc>
        <w:tc>
          <w:tcPr>
            <w:tcW w:w="1700" w:type="dxa"/>
            <w:vAlign w:val="bottom"/>
            <w:gridSpan w:val="4"/>
          </w:tcPr>
          <w:p>
            <w:pPr>
              <w:jc w:val="right"/>
              <w:ind w:right="120"/>
              <w:spacing w:after="0"/>
              <w:rPr>
                <w:sz w:val="20"/>
                <w:szCs w:val="20"/>
                <w:color w:val="auto"/>
              </w:rPr>
            </w:pPr>
            <w:r>
              <w:rPr>
                <w:rFonts w:ascii="Arial" w:cs="Arial" w:eastAsia="Arial" w:hAnsi="Arial"/>
                <w:sz w:val="18"/>
                <w:szCs w:val="18"/>
                <w:color w:val="auto"/>
              </w:rPr>
              <w:t>$(139,277)</w:t>
            </w:r>
          </w:p>
        </w:tc>
        <w:tc>
          <w:tcPr>
            <w:tcW w:w="120" w:type="dxa"/>
            <w:vAlign w:val="bottom"/>
          </w:tcPr>
          <w:p>
            <w:pPr>
              <w:spacing w:after="0"/>
              <w:rPr>
                <w:sz w:val="23"/>
                <w:szCs w:val="23"/>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w w:val="90"/>
              </w:rPr>
              <w:t>$(75,865)</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$(63,412)</w:t>
            </w:r>
          </w:p>
        </w:tc>
        <w:tc>
          <w:tcPr>
            <w:tcW w:w="1880" w:type="dxa"/>
            <w:vAlign w:val="bottom"/>
            <w:gridSpan w:val="4"/>
          </w:tcPr>
          <w:p>
            <w:pPr>
              <w:jc w:val="right"/>
              <w:ind w:right="11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Purchase of property and equipment</w:t>
            </w:r>
          </w:p>
        </w:tc>
        <w:tc>
          <w:tcPr>
            <w:tcW w:w="82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2"/>
                <w:szCs w:val="22"/>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(1,013)</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(1,986)</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(196.1)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700" w:type="dxa"/>
            <w:vAlign w:val="bottom"/>
            <w:gridSpan w:val="4"/>
          </w:tcPr>
          <w:p>
            <w:pPr>
              <w:jc w:val="right"/>
              <w:ind w:right="120"/>
              <w:spacing w:after="0"/>
              <w:rPr>
                <w:sz w:val="20"/>
                <w:szCs w:val="20"/>
                <w:color w:val="auto"/>
              </w:rPr>
            </w:pPr>
            <w:r>
              <w:rPr>
                <w:rFonts w:ascii="Arial" w:cs="Arial" w:eastAsia="Arial" w:hAnsi="Arial"/>
                <w:sz w:val="18"/>
                <w:szCs w:val="18"/>
                <w:color w:val="auto"/>
              </w:rPr>
              <w:t>$(142,276)</w:t>
            </w:r>
          </w:p>
        </w:tc>
        <w:tc>
          <w:tcPr>
            <w:tcW w:w="120" w:type="dxa"/>
            <w:vAlign w:val="bottom"/>
          </w:tcPr>
          <w:p>
            <w:pPr>
              <w:spacing w:after="0"/>
              <w:rPr>
                <w:sz w:val="23"/>
                <w:szCs w:val="23"/>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w w:val="90"/>
              </w:rPr>
              <w:t>$(76,878)</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$(65,398)</w:t>
            </w:r>
          </w:p>
        </w:tc>
        <w:tc>
          <w:tcPr>
            <w:tcW w:w="1880" w:type="dxa"/>
            <w:vAlign w:val="bottom"/>
            <w:gridSpan w:val="4"/>
          </w:tcPr>
          <w:p>
            <w:pPr>
              <w:jc w:val="right"/>
              <w:ind w:right="11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7"/>
          </w:tcPr>
          <w:p>
            <w:pPr>
              <w:ind w:left="180"/>
              <w:spacing w:after="0"/>
              <w:rPr>
                <w:sz w:val="20"/>
                <w:szCs w:val="20"/>
                <w:color w:val="auto"/>
              </w:rPr>
            </w:pPr>
            <w:r>
              <w:rPr>
                <w:rFonts w:ascii="Arial" w:cs="Arial" w:eastAsia="Arial" w:hAnsi="Arial"/>
                <w:sz w:val="14"/>
                <w:szCs w:val="14"/>
                <w:b w:val="1"/>
                <w:bCs w:val="1"/>
                <w:color w:val="auto"/>
              </w:rPr>
              <w:t>Fiscal Year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760" w:type="dxa"/>
            <w:vAlign w:val="bottom"/>
            <w:gridSpan w:val="7"/>
          </w:tcPr>
          <w:p>
            <w:pPr>
              <w:jc w:val="right"/>
              <w:ind w:right="1400"/>
              <w:spacing w:after="0"/>
              <w:rPr>
                <w:sz w:val="20"/>
                <w:szCs w:val="20"/>
                <w:color w:val="auto"/>
              </w:rPr>
            </w:pPr>
            <w:r>
              <w:rPr>
                <w:rFonts w:ascii="Arial" w:cs="Arial" w:eastAsia="Arial" w:hAnsi="Arial"/>
                <w:sz w:val="14"/>
                <w:szCs w:val="14"/>
                <w:b w:val="1"/>
                <w:bCs w:val="1"/>
                <w:color w:val="auto"/>
              </w:rPr>
              <w:t>FY 2020 vs. FY 2019</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520" w:type="dxa"/>
            <w:vAlign w:val="bottom"/>
            <w:gridSpan w:val="3"/>
          </w:tcPr>
          <w:p>
            <w:pPr>
              <w:ind w:left="122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88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w w:val="88"/>
              </w:rPr>
              <w:t>Change %</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 provided by operating activities</w:t>
            </w:r>
          </w:p>
        </w:tc>
        <w:tc>
          <w:tcPr>
            <w:tcW w:w="1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$(14,016)</w:t>
            </w:r>
          </w:p>
        </w:tc>
        <w:tc>
          <w:tcPr>
            <w:tcW w:w="94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$27,682</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$(41,698)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(150.6)%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Purchase of property and equipment</w:t>
            </w:r>
          </w:p>
        </w:tc>
        <w:tc>
          <w:tcPr>
            <w:tcW w:w="1040" w:type="dxa"/>
            <w:vAlign w:val="bottom"/>
            <w:gridSpan w:val="2"/>
          </w:tcPr>
          <w:p>
            <w:pPr>
              <w:spacing w:after="0"/>
              <w:rPr>
                <w:sz w:val="22"/>
                <w:szCs w:val="22"/>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(1,780)</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(2,736)</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956</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(34.9)</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Pr>
          <w:p>
            <w:pPr>
              <w:spacing w:after="0"/>
              <w:rPr>
                <w:sz w:val="24"/>
                <w:szCs w:val="24"/>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Free Cash Flow</w:t>
            </w:r>
          </w:p>
        </w:tc>
        <w:tc>
          <w:tcPr>
            <w:tcW w:w="1040" w:type="dxa"/>
            <w:vAlign w:val="bottom"/>
            <w:tcBorders>
              <w:right w:val="single" w:sz="8" w:color="CCEEFF"/>
            </w:tcBorders>
            <w:gridSpan w:val="2"/>
            <w:shd w:val="clear" w:color="auto" w:fill="CCEEFF"/>
          </w:tcPr>
          <w:p>
            <w:pPr>
              <w:spacing w:after="0"/>
              <w:rPr>
                <w:sz w:val="24"/>
                <w:szCs w:val="24"/>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$(15,796)</w:t>
            </w:r>
          </w:p>
        </w:tc>
        <w:tc>
          <w:tcPr>
            <w:tcW w:w="94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$24,946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$(40,742)</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(163.3)%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494"/>
              <w:spacing w:after="0"/>
              <w:rPr>
                <w:sz w:val="20"/>
                <w:szCs w:val="20"/>
                <w:color w:val="auto"/>
              </w:rPr>
            </w:pPr>
            <w:r>
              <w:rPr>
                <w:rFonts w:ascii="Arial" w:cs="Arial" w:eastAsia="Arial" w:hAnsi="Arial"/>
                <w:sz w:val="18"/>
                <w:szCs w:val="18"/>
                <w:color w:val="auto"/>
              </w:rPr>
              <w:t>93</w:t>
            </w: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-2142490</wp:posOffset>
            </wp:positionV>
            <wp:extent cx="5212080" cy="1968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-1036320</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-1036320</wp:posOffset>
            </wp:positionV>
            <wp:extent cx="1885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-1036320</wp:posOffset>
            </wp:positionV>
            <wp:extent cx="42519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51960"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-1379220</wp:posOffset>
            </wp:positionV>
            <wp:extent cx="1371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-1379220</wp:posOffset>
            </wp:positionV>
            <wp:extent cx="137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-1379220</wp:posOffset>
            </wp:positionV>
            <wp:extent cx="137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-1379220</wp:posOffset>
            </wp:positionV>
            <wp:extent cx="1371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Nine Months Ended June 30, 2021 to the Nine Months Ended June 30, 2020</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0"/>
              </w:rPr>
              <w:t>Nine Months Ended June 30,</w:t>
            </w:r>
          </w:p>
        </w:tc>
        <w:tc>
          <w:tcPr>
            <w:tcW w:w="17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YTD 2021 vs. YTD 2020</w:t>
            </w:r>
          </w:p>
        </w:tc>
      </w:tr>
      <w:tr>
        <w:trPr>
          <w:trHeight w:val="26"/>
        </w:trPr>
        <w:tc>
          <w:tcPr>
            <w:tcW w:w="4680" w:type="dxa"/>
            <w:vAlign w:val="bottom"/>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7"/>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 Change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r>
      <w:tr>
        <w:trPr>
          <w:trHeight w:val="26"/>
        </w:trPr>
        <w:tc>
          <w:tcPr>
            <w:tcW w:w="4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$492,561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$321,859</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$170,702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r>
      <w:tr>
        <w:trPr>
          <w:trHeight w:val="263"/>
        </w:trPr>
        <w:tc>
          <w:tcPr>
            <w:tcW w:w="4680" w:type="dxa"/>
            <w:vAlign w:val="bottom"/>
            <w:gridSpan w:val="2"/>
          </w:tcPr>
          <w:p>
            <w:pPr>
              <w:spacing w:after="0"/>
              <w:rPr>
                <w:sz w:val="20"/>
                <w:szCs w:val="20"/>
                <w:color w:val="auto"/>
              </w:rPr>
            </w:pPr>
            <w:r>
              <w:rPr>
                <w:rFonts w:ascii="Arial" w:cs="Arial" w:eastAsia="Arial" w:hAnsi="Arial"/>
                <w:sz w:val="18"/>
                <w:szCs w:val="18"/>
                <w:color w:val="auto"/>
              </w:rPr>
              <w:t>Costs of goods and services</w:t>
            </w:r>
          </w:p>
        </w:tc>
        <w:tc>
          <w:tcPr>
            <w:tcW w:w="4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502,644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325,944</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176,700</w:t>
            </w:r>
          </w:p>
        </w:tc>
        <w:tc>
          <w:tcPr>
            <w:tcW w:w="22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2"/>
                <w:szCs w:val="22"/>
                <w:color w:val="auto"/>
              </w:rPr>
            </w:pPr>
          </w:p>
        </w:tc>
      </w:tr>
      <w:tr>
        <w:trPr>
          <w:trHeight w:val="257"/>
        </w:trPr>
        <w:tc>
          <w:tcPr>
            <w:tcW w:w="4680" w:type="dxa"/>
            <w:vAlign w:val="bottom"/>
            <w:gridSpan w:val="2"/>
          </w:tcPr>
          <w:p>
            <w:pPr>
              <w:spacing w:after="0"/>
              <w:rPr>
                <w:sz w:val="20"/>
                <w:szCs w:val="20"/>
                <w:color w:val="auto"/>
              </w:rPr>
            </w:pPr>
            <w:r>
              <w:rPr>
                <w:rFonts w:ascii="Arial" w:cs="Arial" w:eastAsia="Arial" w:hAnsi="Arial"/>
                <w:sz w:val="18"/>
                <w:szCs w:val="18"/>
                <w:color w:val="auto"/>
              </w:rPr>
              <w:t>Gross (loss) profit</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(10,083)</w:t>
            </w:r>
          </w:p>
        </w:tc>
        <w:tc>
          <w:tcPr>
            <w:tcW w:w="60" w:type="dxa"/>
            <w:vAlign w:val="bottom"/>
          </w:tcPr>
          <w:p>
            <w:pPr>
              <w:spacing w:after="0"/>
              <w:rPr>
                <w:sz w:val="22"/>
                <w:szCs w:val="22"/>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(4,085)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(5,998)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(146.8)</w:t>
            </w:r>
          </w:p>
        </w:tc>
      </w:tr>
      <w:tr>
        <w:trPr>
          <w:trHeight w:val="257"/>
        </w:trPr>
        <w:tc>
          <w:tcPr>
            <w:tcW w:w="4680" w:type="dxa"/>
            <w:vAlign w:val="bottom"/>
            <w:gridSpan w:val="2"/>
          </w:tcPr>
          <w:p>
            <w:pPr>
              <w:spacing w:after="0"/>
              <w:rPr>
                <w:sz w:val="20"/>
                <w:szCs w:val="20"/>
                <w:color w:val="auto"/>
              </w:rPr>
            </w:pPr>
            <w:r>
              <w:rPr>
                <w:rFonts w:ascii="Arial" w:cs="Arial" w:eastAsia="Arial" w:hAnsi="Arial"/>
                <w:sz w:val="18"/>
                <w:szCs w:val="18"/>
                <w:color w:val="auto"/>
              </w:rPr>
              <w:t>Gross profit %</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2"/>
                <w:szCs w:val="22"/>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7"/>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57"/>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17,251</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8,546</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8,705</w:t>
            </w:r>
          </w:p>
        </w:tc>
        <w:tc>
          <w:tcPr>
            <w:tcW w:w="620" w:type="dxa"/>
            <w:vAlign w:val="bottom"/>
          </w:tcPr>
          <w:p>
            <w:pPr>
              <w:jc w:val="right"/>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2"/>
                <w:szCs w:val="22"/>
                <w:color w:val="auto"/>
              </w:rPr>
            </w:pPr>
          </w:p>
        </w:tc>
      </w:tr>
      <w:tr>
        <w:trPr>
          <w:trHeight w:val="25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16,882</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12,262</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2"/>
                <w:szCs w:val="22"/>
                <w:color w:val="auto"/>
              </w:rPr>
            </w:pPr>
          </w:p>
        </w:tc>
      </w:tr>
      <w:tr>
        <w:trPr>
          <w:trHeight w:val="257"/>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23,159</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12,691</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10,468</w:t>
            </w:r>
          </w:p>
        </w:tc>
        <w:tc>
          <w:tcPr>
            <w:tcW w:w="620" w:type="dxa"/>
            <w:vAlign w:val="bottom"/>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22"/>
                <w:szCs w:val="22"/>
                <w:color w:val="auto"/>
              </w:rPr>
            </w:pPr>
          </w:p>
        </w:tc>
      </w:tr>
      <w:tr>
        <w:trPr>
          <w:trHeight w:val="257"/>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2,249</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22"/>
                <w:szCs w:val="22"/>
                <w:color w:val="auto"/>
              </w:rPr>
            </w:pPr>
          </w:p>
        </w:tc>
      </w:tr>
      <w:tr>
        <w:trPr>
          <w:trHeight w:val="263"/>
        </w:trPr>
        <w:tc>
          <w:tcPr>
            <w:tcW w:w="46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40" w:type="dxa"/>
            <w:vAlign w:val="bottom"/>
          </w:tcPr>
          <w:p>
            <w:pPr>
              <w:spacing w:after="0"/>
              <w:rPr>
                <w:sz w:val="22"/>
                <w:szCs w:val="2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(1,061)</w:t>
            </w:r>
          </w:p>
        </w:tc>
        <w:tc>
          <w:tcPr>
            <w:tcW w:w="60" w:type="dxa"/>
            <w:vAlign w:val="bottom"/>
          </w:tcPr>
          <w:p>
            <w:pPr>
              <w:spacing w:after="0"/>
              <w:rPr>
                <w:sz w:val="22"/>
                <w:szCs w:val="22"/>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(93)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(1,040.9)</w:t>
            </w:r>
          </w:p>
        </w:tc>
      </w:tr>
      <w:tr>
        <w:trPr>
          <w:trHeight w:val="20"/>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7"/>
        </w:trPr>
        <w:tc>
          <w:tcPr>
            <w:tcW w:w="46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0" w:type="dxa"/>
            <w:vAlign w:val="bottom"/>
          </w:tcPr>
          <w:p>
            <w:pPr>
              <w:spacing w:after="0"/>
              <w:rPr>
                <w:sz w:val="22"/>
                <w:szCs w:val="2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(71,930)</w:t>
            </w:r>
          </w:p>
        </w:tc>
        <w:tc>
          <w:tcPr>
            <w:tcW w:w="60" w:type="dxa"/>
            <w:vAlign w:val="bottom"/>
          </w:tcPr>
          <w:p>
            <w:pPr>
              <w:spacing w:after="0"/>
              <w:rPr>
                <w:sz w:val="22"/>
                <w:szCs w:val="22"/>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(39,926)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(32,004)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r>
      <w:tr>
        <w:trPr>
          <w:trHeight w:val="263"/>
        </w:trPr>
        <w:tc>
          <w:tcPr>
            <w:tcW w:w="46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5,678</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(2,804)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r>
      <w:tr>
        <w:trPr>
          <w:trHeight w:val="20"/>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3"/>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40" w:type="dxa"/>
            <w:vAlign w:val="bottom"/>
          </w:tcPr>
          <w:p>
            <w:pPr>
              <w:spacing w:after="0"/>
              <w:rPr>
                <w:sz w:val="24"/>
                <w:szCs w:val="2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 (74,804)</w:t>
            </w:r>
          </w:p>
        </w:tc>
        <w:tc>
          <w:tcPr>
            <w:tcW w:w="60" w:type="dxa"/>
            <w:vAlign w:val="bottom"/>
          </w:tcPr>
          <w:p>
            <w:pPr>
              <w:spacing w:after="0"/>
              <w:rPr>
                <w:sz w:val="24"/>
                <w:szCs w:val="2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 (45,604)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 (29,200)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(64.0)%</w:t>
            </w:r>
          </w:p>
        </w:tc>
      </w:tr>
      <w:tr>
        <w:trPr>
          <w:trHeight w:val="21"/>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5212080"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-565150</wp:posOffset>
            </wp:positionV>
            <wp:extent cx="52120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-1885315</wp:posOffset>
            </wp:positionV>
            <wp:extent cx="521208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-2228215</wp:posOffset>
            </wp:positionV>
            <wp:extent cx="52120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Total Revenue</w:t>
      </w:r>
    </w:p>
    <w:p>
      <w:pPr>
        <w:spacing w:after="0" w:line="14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Total revenue increased from $321.9 million for the nine months ended June 30, 2020 to $492.6 million for the nine months ended June 30, 2021. The increase of $170.7 million, or 53.0%, was mainly from the sales of our battery energy storage products, which increased by $168.8 million, as we expanded our business in the United States and international markets. Sales to customers in the United States and the Philippines increased $126.5 million and $47.5 million, respectively.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Costs of Goods and Services</w:t>
      </w:r>
    </w:p>
    <w:p>
      <w:pPr>
        <w:spacing w:after="0" w:line="158"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7"/>
          <w:szCs w:val="17"/>
          <w:color w:val="auto"/>
        </w:rPr>
        <w:t>Cost of goods and services increased from $325.9 million for the nine months ended June 30, 2020 to $502.6 million for the nine months ended June 30, 2021. The $176.7 million or 54.2% increase was primarily from materials and supplies, and shipping costs associated with the sale of our battery energy storage products due to the increased sales volume and higher weighted average cost of the material and supplies. Included within cost of goods and services for the nine months ended June 30, 2021 were</w:t>
      </w:r>
    </w:p>
    <w:p>
      <w:pPr>
        <w:spacing w:after="0" w:line="3" w:lineRule="exact"/>
        <w:rPr>
          <w:sz w:val="20"/>
          <w:szCs w:val="20"/>
          <w:color w:val="auto"/>
        </w:rPr>
      </w:pPr>
    </w:p>
    <w:p>
      <w:pPr>
        <w:ind w:left="1260" w:right="819"/>
        <w:spacing w:after="0" w:line="260" w:lineRule="auto"/>
        <w:rPr>
          <w:sz w:val="20"/>
          <w:szCs w:val="20"/>
          <w:color w:val="auto"/>
        </w:rPr>
      </w:pPr>
      <w:r>
        <w:rPr>
          <w:rFonts w:ascii="Arial" w:cs="Arial" w:eastAsia="Arial" w:hAnsi="Arial"/>
          <w:sz w:val="18"/>
          <w:szCs w:val="18"/>
          <w:color w:val="auto"/>
        </w:rPr>
        <w:t>$9.8 million in costs related to a cargo loss incident in the period. Refer to Note 12—</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58"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Gross loss was $4.1 million and negative gross profit margin was 1.3% for the nine months ended June 30, 2020, compared to gross loss of $10.1 million and negative gross profit margin of 2.0% for the nine months ended June 30, 2021. The decrease was driven by relatively greater weighted average cost of material and supplies, increased shipping cost and the cargo loss incident in the nine-month period ended June 30, 2021 as compared to the nine-month period ended June 30, 2020.</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Research and development expenses increased from $8.5 million for the nine months ended June 30, 2020 to $17.2 million for the nine months ended June 30, 2021. The $8.7 million or 101.9% increase was mainly related to increased salaries and personnel-related costs as we continued to expand our research and development efforts.</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44"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Sales and marketing expenses increased from $12.3 million for the nine months ended June 30, 2020 to $16.9 million for the nine months ended June 30, 2021. The increase of $4.6 million, or 37.7%, is related to increased personnel-related expenses for our sales and marketing organization, consultants and other third-party vendors, including the increase in sales and marketing expense in global markets.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General and administrative expenses increased from $12.7 million for the nine months ended June 30, 2020 to $23.2 million for the nine months ended June 30, 2021. The $10.5 million or 82.5% increase was mainly related to increases in personnel-related expenses including corporate, executive, finance, and other administrative functions, as well as expenses for outside professional services as we have been expanding our personnel headcount rapidly to support our growth.</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Depreciation and amortization increased from $2.2 million for the nine months ended June 30, 2020 to $3.5 million for the nine months ended June 30, 2021. This increase was from $0.9 million amortization related to intangible assets from the AMS acquisition and $0.4 million depreciation from increased fixed assets.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44"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Other expense, net, increased from $0.1 million for the nine months ended June 30, 2020 to $1.1 million for the nine months ended June 30, 2021. The $1.0 million or 1,040.9% increase was mainly from foreign currency exchange adjustments for monetary assets and liabilities.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Income tax expense decreased from $5.7 million in the nine months ended June 30, 2020 to $2.9 million in the nine months ended June 30, 2021. The effective income tax rate was (14.2)% and (4.0)% for the nine months ended June 30, 2020 and 2021, respectively. The $2.8 million decrease in income tax expense and change in effective tax rate were primarily due to an increase in global pre-tax loss for the nine months ended June 30, 2021. Furthermore, the income tax expense for the nine months ended June 30, 2020 included an increase in the valuation allowance recorded on deferred tax assets.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ind w:left="1260" w:right="419" w:firstLine="360"/>
        <w:spacing w:after="0" w:line="296" w:lineRule="auto"/>
        <w:rPr>
          <w:sz w:val="20"/>
          <w:szCs w:val="20"/>
          <w:color w:val="auto"/>
        </w:rPr>
      </w:pPr>
      <w:r>
        <w:rPr>
          <w:rFonts w:ascii="Arial" w:cs="Arial" w:eastAsia="Arial" w:hAnsi="Arial"/>
          <w:sz w:val="16"/>
          <w:szCs w:val="16"/>
          <w:color w:val="auto"/>
        </w:rPr>
        <w:t>Net loss increased from $45.6 million in the nine months ended June 30, 2020 to $74.8 million in the nine months ended June 30, 2021. The increase in net loss was mainly due to an increase in gross loss related to our operations which included expenses of $9.8 million related to the cargo loss incident as well as increased expenses in general and administrative expenses, sales and marketing expenses and research and development expenses due to the expansion of our business and the build out of our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Comparison of the Fiscal Year Ended September 30, 2020 to the Fiscal Year Ended September 30, 2019</w:t>
      </w:r>
    </w:p>
    <w:p>
      <w:pPr>
        <w:spacing w:after="0" w:line="16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88"/>
              </w:rPr>
              <w:t>Fiscal Year Ended September 30,</w:t>
            </w:r>
          </w:p>
        </w:tc>
        <w:tc>
          <w:tcPr>
            <w:tcW w:w="100" w:type="dxa"/>
            <w:vAlign w:val="bottom"/>
          </w:tcPr>
          <w:p>
            <w:pPr>
              <w:spacing w:after="0"/>
              <w:rPr>
                <w:sz w:val="16"/>
                <w:szCs w:val="16"/>
                <w:color w:val="auto"/>
              </w:rPr>
            </w:pPr>
          </w:p>
        </w:tc>
        <w:tc>
          <w:tcPr>
            <w:tcW w:w="1480" w:type="dxa"/>
            <w:vAlign w:val="bottom"/>
            <w:gridSpan w:val="6"/>
          </w:tcPr>
          <w:p>
            <w:pPr>
              <w:ind w:left="80"/>
              <w:spacing w:after="0"/>
              <w:rPr>
                <w:sz w:val="20"/>
                <w:szCs w:val="20"/>
                <w:color w:val="auto"/>
              </w:rPr>
            </w:pPr>
            <w:r>
              <w:rPr>
                <w:rFonts w:ascii="Arial" w:cs="Arial" w:eastAsia="Arial" w:hAnsi="Arial"/>
                <w:sz w:val="14"/>
                <w:szCs w:val="14"/>
                <w:b w:val="1"/>
                <w:bCs w:val="1"/>
                <w:color w:val="auto"/>
              </w:rPr>
              <w:t>FY 2020 vs FY 2019</w:t>
            </w:r>
          </w:p>
        </w:tc>
      </w:tr>
      <w:tr>
        <w:trPr>
          <w:trHeight w:val="26"/>
        </w:trPr>
        <w:tc>
          <w:tcPr>
            <w:tcW w:w="4420" w:type="dxa"/>
            <w:vAlign w:val="bottom"/>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94"/>
              </w:rPr>
              <w:t>Change %</w:t>
            </w:r>
          </w:p>
        </w:tc>
      </w:tr>
      <w:tr>
        <w:trPr>
          <w:trHeight w:val="26"/>
        </w:trPr>
        <w:tc>
          <w:tcPr>
            <w:tcW w:w="4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$561,323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92,151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469,172</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509.1%</w:t>
            </w:r>
          </w:p>
        </w:tc>
        <w:tc>
          <w:tcPr>
            <w:tcW w:w="40" w:type="dxa"/>
            <w:vAlign w:val="bottom"/>
          </w:tcPr>
          <w:p>
            <w:pPr>
              <w:spacing w:after="0"/>
              <w:rPr>
                <w:sz w:val="21"/>
                <w:szCs w:val="21"/>
                <w:color w:val="auto"/>
              </w:rPr>
            </w:pPr>
          </w:p>
        </w:tc>
      </w:tr>
      <w:tr>
        <w:trPr>
          <w:trHeight w:val="263"/>
        </w:trPr>
        <w:tc>
          <w:tcPr>
            <w:tcW w:w="4420" w:type="dxa"/>
            <w:vAlign w:val="bottom"/>
            <w:gridSpan w:val="2"/>
          </w:tcPr>
          <w:p>
            <w:pPr>
              <w:spacing w:after="0"/>
              <w:rPr>
                <w:sz w:val="20"/>
                <w:szCs w:val="20"/>
                <w:color w:val="auto"/>
              </w:rPr>
            </w:pPr>
            <w:r>
              <w:rPr>
                <w:rFonts w:ascii="Arial" w:cs="Arial" w:eastAsia="Arial" w:hAnsi="Arial"/>
                <w:sz w:val="18"/>
                <w:szCs w:val="18"/>
                <w:color w:val="auto"/>
              </w:rPr>
              <w:t>Costs of goods and services</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553,400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453,332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453.0</w:t>
            </w:r>
          </w:p>
        </w:tc>
        <w:tc>
          <w:tcPr>
            <w:tcW w:w="40" w:type="dxa"/>
            <w:vAlign w:val="bottom"/>
          </w:tcPr>
          <w:p>
            <w:pPr>
              <w:spacing w:after="0"/>
              <w:rPr>
                <w:sz w:val="22"/>
                <w:szCs w:val="22"/>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15,840</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200.1</w:t>
            </w:r>
          </w:p>
        </w:tc>
        <w:tc>
          <w:tcPr>
            <w:tcW w:w="40" w:type="dxa"/>
            <w:vAlign w:val="bottom"/>
          </w:tcPr>
          <w:p>
            <w:pPr>
              <w:spacing w:after="0"/>
              <w:rPr>
                <w:sz w:val="22"/>
                <w:szCs w:val="22"/>
                <w:color w:val="auto"/>
              </w:rPr>
            </w:pPr>
          </w:p>
        </w:tc>
      </w:tr>
      <w:tr>
        <w:trPr>
          <w:trHeight w:val="257"/>
        </w:trPr>
        <w:tc>
          <w:tcPr>
            <w:tcW w:w="4420" w:type="dxa"/>
            <w:vAlign w:val="bottom"/>
            <w:gridSpan w:val="2"/>
          </w:tcPr>
          <w:p>
            <w:pPr>
              <w:spacing w:after="0"/>
              <w:rPr>
                <w:sz w:val="20"/>
                <w:szCs w:val="20"/>
                <w:color w:val="auto"/>
              </w:rPr>
            </w:pPr>
            <w:r>
              <w:rPr>
                <w:rFonts w:ascii="Arial" w:cs="Arial" w:eastAsia="Arial" w:hAnsi="Arial"/>
                <w:sz w:val="18"/>
                <w:szCs w:val="18"/>
                <w:color w:val="auto"/>
              </w:rPr>
              <w:t>Gross Profit % . . . . . . . . . . . . . . . . . . . . . . . . . . .</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11,535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9,871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1,664</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2"/>
                <w:szCs w:val="22"/>
                <w:color w:val="auto"/>
              </w:rPr>
            </w:pPr>
          </w:p>
        </w:tc>
      </w:tr>
      <w:tr>
        <w:trPr>
          <w:trHeight w:val="257"/>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16,239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2"/>
                <w:szCs w:val="22"/>
                <w:color w:val="auto"/>
              </w:rPr>
            </w:pPr>
          </w:p>
        </w:tc>
      </w:tr>
      <w:tr>
        <w:trPr>
          <w:trHeight w:val="257"/>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17,940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13,950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3,990</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22"/>
                <w:szCs w:val="22"/>
                <w:color w:val="auto"/>
              </w:rPr>
            </w:pPr>
          </w:p>
        </w:tc>
      </w:tr>
      <w:tr>
        <w:trPr>
          <w:trHeight w:val="257"/>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2"/>
                <w:szCs w:val="22"/>
                <w:color w:val="auto"/>
              </w:rPr>
            </w:pPr>
          </w:p>
        </w:tc>
      </w:tr>
      <w:tr>
        <w:trPr>
          <w:trHeight w:val="263"/>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(1,313)</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22"/>
                <w:szCs w:val="22"/>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(40,289)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(47,759)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7,470</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22"/>
                <w:szCs w:val="22"/>
                <w:color w:val="auto"/>
              </w:rPr>
            </w:pPr>
          </w:p>
        </w:tc>
      </w:tr>
      <w:tr>
        <w:trPr>
          <w:trHeight w:val="263"/>
        </w:trPr>
        <w:tc>
          <w:tcPr>
            <w:tcW w:w="44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7,199</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925.3</w:t>
            </w:r>
          </w:p>
        </w:tc>
        <w:tc>
          <w:tcPr>
            <w:tcW w:w="40" w:type="dxa"/>
            <w:vAlign w:val="bottom"/>
          </w:tcPr>
          <w:p>
            <w:pPr>
              <w:spacing w:after="0"/>
              <w:rPr>
                <w:sz w:val="22"/>
                <w:szCs w:val="22"/>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3"/>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(46,710)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(46,981)</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4"/>
                <w:szCs w:val="24"/>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-222250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-222250</wp:posOffset>
            </wp:positionV>
            <wp:extent cx="2057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-222250</wp:posOffset>
            </wp:positionV>
            <wp:extent cx="2146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35833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-565150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-565150</wp:posOffset>
            </wp:positionV>
            <wp:extent cx="2057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-565150</wp:posOffset>
            </wp:positionV>
            <wp:extent cx="2146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-565150</wp:posOffset>
            </wp:positionV>
            <wp:extent cx="35833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-1885315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-1885315</wp:posOffset>
            </wp:positionV>
            <wp:extent cx="2057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-1885315</wp:posOffset>
            </wp:positionV>
            <wp:extent cx="2146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-1885315</wp:posOffset>
            </wp:positionV>
            <wp:extent cx="35833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-2228215</wp:posOffset>
            </wp:positionV>
            <wp:extent cx="137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-2228215</wp:posOffset>
            </wp:positionV>
            <wp:extent cx="137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-2228215</wp:posOffset>
            </wp:positionV>
            <wp:extent cx="137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-2228215</wp:posOffset>
            </wp:positionV>
            <wp:extent cx="1289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Total Revenue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revenue increased from $92.2 million in FY 2019 to $561.3 million in FY 2020. The</w:t>
      </w:r>
    </w:p>
    <w:p>
      <w:pPr>
        <w:spacing w:after="0" w:line="23" w:lineRule="exact"/>
        <w:rPr>
          <w:sz w:val="20"/>
          <w:szCs w:val="20"/>
          <w:color w:val="auto"/>
        </w:rPr>
      </w:pPr>
    </w:p>
    <w:p>
      <w:pPr>
        <w:ind w:left="1260" w:right="599"/>
        <w:spacing w:after="0" w:line="260" w:lineRule="auto"/>
        <w:rPr>
          <w:sz w:val="20"/>
          <w:szCs w:val="20"/>
          <w:color w:val="auto"/>
        </w:rPr>
      </w:pPr>
      <w:r>
        <w:rPr>
          <w:rFonts w:ascii="Arial" w:cs="Arial" w:eastAsia="Arial" w:hAnsi="Arial"/>
          <w:sz w:val="18"/>
          <w:szCs w:val="18"/>
          <w:color w:val="auto"/>
        </w:rPr>
        <w:t>$469.1 million or 509.1% increase was mainly from the sales of our battery energy storage products as we expanded our business in United State and international markets.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Costs of Goods and Services</w:t>
      </w:r>
    </w:p>
    <w:p>
      <w:pPr>
        <w:spacing w:after="0" w:line="15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Cost of goods and services increased from $100.1 million in FY 2019 to $553.4 million in FY 2020. The $453.3 million or 453.0% increase was primarily from materials and supplies associated with the sale of our battery energy storage products due to the increased sales volume net of lower weighted average cost of the material and supplies.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58" w:lineRule="exact"/>
        <w:rPr>
          <w:sz w:val="20"/>
          <w:szCs w:val="20"/>
          <w:color w:val="auto"/>
        </w:rPr>
      </w:pPr>
    </w:p>
    <w:p>
      <w:pPr>
        <w:jc w:val="both"/>
        <w:ind w:left="1260" w:right="499" w:firstLine="360"/>
        <w:spacing w:after="0" w:line="286" w:lineRule="auto"/>
        <w:rPr>
          <w:sz w:val="20"/>
          <w:szCs w:val="20"/>
          <w:color w:val="auto"/>
        </w:rPr>
      </w:pPr>
      <w:r>
        <w:rPr>
          <w:rFonts w:ascii="Arial" w:cs="Arial" w:eastAsia="Arial" w:hAnsi="Arial"/>
          <w:sz w:val="17"/>
          <w:szCs w:val="17"/>
          <w:color w:val="auto"/>
        </w:rPr>
        <w:t>Gross profit was $7.9 million, and gross profit margin was 1.4%, in FY 2020, compared to a gross loss of $7.9 million, and a negative gross profit margin of 8.6%, in FY 2019. The increase was driven by higher sales of energy storage products, net of lower per unit cost of material and supplies in FY 2020.</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Research and development expenses increased from $9.9 million in FY 2019 to $11.5 million in FY 2020. The $1.6 million or 16.9% increase in FY 2020 compared to FY 2019 was mainly related to increased salaries and personnel-related costs.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Sales and marketing expenses increased from $15.0 million in FY 2019 to $16.3 million in FY 2020.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increase of $1.3 million, or 8.5%, is related to increased marketing cost to support our revenue growth.</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General and administrative expenses increased from $13.9 million in FY 2019 to $17.9 million in FY 2020. The $4.0 million or 28.6% increase in FY 2020 as compared with FY 2019 related mainly to</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3" w:lineRule="auto"/>
        <w:rPr>
          <w:sz w:val="20"/>
          <w:szCs w:val="20"/>
          <w:color w:val="auto"/>
        </w:rPr>
      </w:pPr>
      <w:r>
        <w:rPr>
          <w:rFonts w:ascii="Arial" w:cs="Arial" w:eastAsia="Arial" w:hAnsi="Arial"/>
          <w:sz w:val="18"/>
          <w:szCs w:val="18"/>
          <w:color w:val="auto"/>
        </w:rPr>
        <w:t>increases in personnel-related expenses including corporate, executive, finance, and other administrative functions, as well as expenses for outside professional services as we have been expanding our personnel headcount rapidly to support our growth.</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Depreciation and amortization remained flat from $2.9 million in FY 2019 to $3.0 million in FY 2020.</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income, net decreased from $1.8 million in FY 2019 to $0.5 million in FY 2020. The</w:t>
      </w:r>
    </w:p>
    <w:p>
      <w:pPr>
        <w:spacing w:after="0" w:line="23" w:lineRule="exact"/>
        <w:rPr>
          <w:sz w:val="20"/>
          <w:szCs w:val="20"/>
          <w:color w:val="auto"/>
        </w:rPr>
      </w:pPr>
    </w:p>
    <w:p>
      <w:pPr>
        <w:ind w:left="1260" w:right="419"/>
        <w:spacing w:after="0" w:line="260" w:lineRule="auto"/>
        <w:rPr>
          <w:sz w:val="20"/>
          <w:szCs w:val="20"/>
          <w:color w:val="auto"/>
        </w:rPr>
      </w:pPr>
      <w:r>
        <w:rPr>
          <w:rFonts w:ascii="Arial" w:cs="Arial" w:eastAsia="Arial" w:hAnsi="Arial"/>
          <w:sz w:val="18"/>
          <w:szCs w:val="18"/>
          <w:color w:val="auto"/>
        </w:rPr>
        <w:t>$1.3 million or 71.6% decrease was mainly from foreign currency exchange adjustments for monetary assets and liabilities.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5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Income tax expense increased from a $(0.8) million benefit in FY 2019 to a $6.4 million expense in FY 2020. The $7.2 million increase in income tax expense was mainly due to $3.4 million of tax withholdings on intracompany royalties and increase in valuation allowance of our deferred tax asset for foreign subsidiaries.</w:t>
      </w:r>
    </w:p>
    <w:p>
      <w:pPr>
        <w:spacing w:after="0" w:line="106"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The effective income tax rate was (15.9) % and 1.6% for FY 2020 and FY 2019, respectively, with the change due to an increase in our international operations.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Net loss decreased from $47.0 million in FY 2019 to $46.7 million in FY 2020. The slight decrease in net loss was mainly due to an increase in gross profit, offset by increased expenses in general and administrative, sales and marketing, and research and development related to supporting expanding operations of the business, and also due to increase in income tax expense.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Since inception and through June 30, 2021, our principal sources of liquidity were our cash and cash equivalents, short-term borrowing, capital from AES Grid Stability and Siemens Industry, and proceeds from the QFH investment.</w:t>
      </w:r>
    </w:p>
    <w:p>
      <w:pPr>
        <w:spacing w:after="0" w:line="103" w:lineRule="exact"/>
        <w:rPr>
          <w:sz w:val="20"/>
          <w:szCs w:val="20"/>
          <w:color w:val="auto"/>
        </w:rPr>
      </w:pPr>
    </w:p>
    <w:p>
      <w:pPr>
        <w:jc w:val="center"/>
        <w:ind w:left="1640" w:right="200"/>
        <w:spacing w:after="0" w:line="308" w:lineRule="auto"/>
        <w:rPr>
          <w:sz w:val="20"/>
          <w:szCs w:val="20"/>
          <w:color w:val="auto"/>
        </w:rPr>
      </w:pPr>
      <w:r>
        <w:rPr>
          <w:rFonts w:ascii="Arial" w:cs="Arial" w:eastAsia="Arial" w:hAnsi="Arial"/>
          <w:sz w:val="17"/>
          <w:szCs w:val="17"/>
          <w:color w:val="auto"/>
        </w:rPr>
        <w:t>We received a $6.3 million capital contribution from Siemens Industry and a $2.5 million capital contribution from AES Grid Stability during the nine months ended June 30, 2021 and 2020, respectively.</w:t>
      </w:r>
    </w:p>
    <w:p>
      <w:pPr>
        <w:spacing w:after="0" w:line="79"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Additionally, we procured liquidity from short-term borrowing from banks. We have an Uncommitted Line of Credit Agreement (“Line of Credit’) with Citibank, N.A. (“Citibank”) originally signed on January 29, 2019, which allows us to borrow an amount in aggregate not to exceed $2.0 million, from time to time, until January 29, 2021 (“Expiration Date”). The Line of Credit was further amended to increase the aggregate borrowing amount to $10.0 million, $30.0 million, and $50.0 million on May 13, 2020, August 7, 2020, and December 23, 2020, respectively. The Expiration Date for the Line of Credit was extended to March 31, 2023, on June 2, 2021. We did not have any outstanding short-term borrowings from the Line of Credit as of June 30, 2021, September 30, 2020 and 2019. Subsequent to June 30, 2021, we borrowed an aggregate of $50.0 million under the line of credit, all of which is outstanding as of September 3, 2021.</w:t>
      </w:r>
    </w:p>
    <w:p>
      <w:pPr>
        <w:spacing w:after="0" w:line="11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On December 27, 2020, we entered into a subscription agreement with QFH for the issuance of 1,250,000 Class B units for a total value of $125.0 million. The transaction completed on June 9, 2021 with the proceeds used to accelerate our growth.</w:t>
      </w:r>
    </w:p>
    <w:p>
      <w:pPr>
        <w:spacing w:after="0" w:line="103"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On April 28, 2021 and June 3, 2021, we borrowed $25.0 million and $25.0 million, respectively, from AES in the form of one-year promissory notes, each bearing an annual interest at 2.86%. On May 3, 2021, we borrowed $25.0 million from Siemens Industry, in the form of a one-year promissory note with an annual interest rate of 2.86%. The proceeds were used for general working capital needs. As of June 22, 2021, these total $75.0 million in borrowings from AES and Siemens Industry were paid off in full.</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(together, the “Promissory Notes”). The Promissory Notes are unsecured and the note with AES Grid Stability matures on August 11, 2022 and the note with Siemens Industry matures on December 31, 2021. If we complete a private placement or public offering of certain equity securities prior to the maturity date, the Promissory Notes and all accrued interest thereunder will automatically and without notice be due and payable within five business days. The Promissory Notes bear interest at 2.86% per annum through and until the earliest of the maturity date thereunder and a mandatory prepayment event, at which time the interest rate will increase by an additional 2%. The proceeds from the Promissory Notes are being used by Fluence Energy, LLC to provide additional liquidity and to fund ongoing working capital needs.</w:t>
      </w:r>
    </w:p>
    <w:p>
      <w:pPr>
        <w:spacing w:after="0" w:line="102"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We believe that our current cash and cash equivalents, cash flows from operations, short-term borrowing, and recent investments from QIA through QFH, combined with the anticipated proceeds of this offering, will be sufficient to meet our capital expenditure and working capital requirements for the foreseeable future.</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After completion of this offering, Fluence Energy, Inc. will be a holding company and will have no material assets other than its ownership of LLC Interests. Fluence Energy, Inc. has no independent means of generating revenue and is dependent upon the financial results and cash flows of Fluence Energy, LLC and its subsidiaries and distributions we receive from Fluence Energy, LLC. Fluence Energy, Inc. intends to cause Fluence Energy, LLC to make distributions and payments to its holders of LLC Interests, including Fluence Energy, Inc. and our Founders, in an amount sufficient to cover all applicable taxes at assumed tax rates, expenses, payments under the Tax Receivable Agreement and dividends, if any, declared by it. Deterioration in the financial condition, earnings or cash flow of Fluence Energy, LLC and its subsidiaries for any reason could limit or impair their ability to pay such distributions. Additionally, the terms of our financing arrangements, including the Revolving Credit Facility (as defined below), contain covenants that may restrict Fluence Energy, LLC and its subsidiaries from paying such distributions, subject to certain exceptions. Further, Fluence Energy, LLC is generally prohibited under Delaware law from making a distribution to a member to the extent that, at the time of the distribution, after giving effect to the distribution, liabilities of Fluence Energy, LLC (with certain exceptions) exceed the fair value of its assets. Subsidiaries of Fluence Energy, LLC are generally subject to similar legal limitations on their ability to make distributions to Fluence Energy, LLC. See “Dividend Policy” and “Risk Factors—Risks Related to Our Organizational Structure—Our principal asset after the completion of this offering will be our interest in Fluence Energy, LLC, and, as a result, we will depend on distributions from Fluence Energy, LLC to pay our taxes and expenses, including payments under the Tax Receivable Agreement. Fluence Energy, LLC’s ability to make such distributions may be subject to various limitations and restrictions.”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connection with this offering, we plan to enter into the Revolver, dated on or about the date of the consummation of this offering, by and among Fluence Energy, LLC, as the borrower, Fluence Energy Inc., as a parent guarantor, the subsidiary guarantors party thereto, the lenders party thereto and JP Morgan Chase Bank, N.A., as administrative agent and collateral agent. The Revolver will be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effectiveness of the Revolver is conditioned upon the consummation of this offering, however this offering is not contingent upon the effectiveness of the Revolver.</w:t>
      </w:r>
    </w:p>
    <w:p>
      <w:pPr>
        <w:spacing w:after="0" w:line="113"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The interest rate will be either (i) the Adjusted LIBOR or Adjusted EURIBO Rate (each as defined in the Revolver) plus 3.0% or (ii) the Alternate Base Rate (as defined in the Revolver) plus 2.0%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per annum on the average daily unused portion of the revolving commitments through maturity, which will be the four-year anniversary of</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59"/>
        <w:spacing w:after="0" w:line="270" w:lineRule="auto"/>
        <w:rPr>
          <w:sz w:val="20"/>
          <w:szCs w:val="20"/>
          <w:color w:val="auto"/>
        </w:rPr>
      </w:pPr>
      <w:r>
        <w:rPr>
          <w:rFonts w:ascii="Arial" w:cs="Arial" w:eastAsia="Arial" w:hAnsi="Arial"/>
          <w:sz w:val="17"/>
          <w:szCs w:val="17"/>
          <w:color w:val="auto"/>
        </w:rPr>
        <w:t>the closing date of the Revolver. The Revolver will also provide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8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Revolver will contain covenants that, among other things, will restrict our ability to incur additional indebtedness; incur liens; sell, transfer, or dispose of property and assets; make investments or acquisitions; make dividends, distributions or other restricted payments; and engage in affiliate transactions. The Revolver will limit our ability to make certain payments, including dividends and distributions on Fluence Energy, LLC’s equity, Fluence Energy, Inc.’s equity and other restricted payments. In addition, we will be required to maintain (i) minimum liquidity and gross revenue requirements, in each case, until consolidated EBITDA reaches a certain specified threshold and we make an election, and (ii) thereafter, a maximum total leverage ratio and a minimum interest coverage ratio. Such covenants will be tested on a quarterly basis.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connection with the Offering Transactions, we will enter into the tax receivable agreement (the “Tax Receivable Agreement”) with Fluence Energy, LLC and the Founders that will provide for the payment by Fluence Energy, Inc. to the Founders of 85% of the amount of certain tax benefits, if any, that Fluence Energy, Inc. actually realizes, or in some circumstances is deemed to realize, arising from the Basis Adjustments (as defined below) and certain other tax benefits arising from payments made under the Tax Receivable Agreement. Fluence Energy, LLC will have in effect an election under Section 754 of the Code effective for each taxable year in which a redemption or exchange (including deemed exchange) of LLC Interests for Class A common stock or cash occurs or when Fluence Energy, LLC makes (or is deemed to make) certain distributions. These Tax Receivable Agreement payments are not conditioned upon one or more of the Founders maintaining a continued ownership interest in Fluence Energy, LLC. If a Founder transfers LLC Interests but does not assign to the transferee of such units its rights under the Tax Receivable Agreement, such Founder generally will continue to be entitled to receive payments under the Tax Receivable Agreement arising in respect of a subsequent exchange of such LLC Interests. In general, the Founders’ rights under the Tax Receivable Agreement may not be assigned, sold, pledged or otherwise alienated or transferred to any person, other than certain permitted transferees, without our prior written consent (not to be unreasonably withheld) and such person’s becoming a party to the Tax Receivable Agreement and agreeing to succeed to the applicable Founder’s interest therein.</w:t>
      </w:r>
    </w:p>
    <w:p>
      <w:pPr>
        <w:spacing w:after="0" w:line="11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Subsequent redemptions or exchanges of LLC Interests are expected to result in increases in the tax basis of the assets of Fluence Energy, LLC and certain of its subsidiaries. Increases in tax basis and tax basis adjustments generated over time may increase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 Fluence Energy, Inc.’s allocable share of tax basis and the anticipated tax basis adjustments upon redemptions or exchanges of LLC Interests may also decrease gains (or increase losses) on future dispositions of certain assets to the extent tax basis is allocated to those assets. Actual tax benefits realized by Fluence Energy, Inc. may differ from tax benefits calculated under the Tax Receivable Agreement as a result of the use of certain assumptions in the Tax Receivable Agreement, including the use of an assumed state and local income tax rate to calculate tax benefits. The payment obligation under the Tax Receivable Agreement is an obligation of Fluence Energy, Inc. and not of Fluence Energy, LLC. Following this offering,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 The actual and</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8" w:lineRule="auto"/>
        <w:rPr>
          <w:sz w:val="20"/>
          <w:szCs w:val="20"/>
          <w:color w:val="auto"/>
        </w:rPr>
      </w:pPr>
      <w:r>
        <w:rPr>
          <w:rFonts w:ascii="Arial" w:cs="Arial" w:eastAsia="Arial" w:hAnsi="Arial"/>
          <w:sz w:val="16"/>
          <w:szCs w:val="16"/>
          <w:color w:val="auto"/>
        </w:rPr>
        <w:t>hypothetical tax liabilities determined in the Tax Receivable Agreement will be calculated using the actual U.S. federal income tax rate in effect for the applicable period and an assumed state and local income tax rate (along with the use of certain other assumptions). The term of the Tax Receivable Agreement will continue until all such tax benefits have been utilized or expired, unless Fluence Energy, Inc. exercises its right to terminate the Tax Receivable Agreement early, certain changes of control occur or Fluence Energy, Inc. breaches any of its material obligations under the Tax Receivable Agreement, in which case, all obligations generally (and in the case of such a change of control or such breach, only if the Founders elect) will be accelerated and due as if Fluence Energy, Inc. had exercised its right to terminate the Tax Receivable Agreement. The payment to be made upon an early termination of the Tax Receivable Agreement will generally equal the present value of payments to be made under the Tax Receivable Agreement using certain assumptions. Estimating the amount of payments that may be made under the Tax Receivable Agreement is by its nature imprecise, insofar as the calculation of amounts payable depends on a variety of factors. The tax basis adjustments upon the redemption or exchange of LLC Interests, as well as the amount and timing of any payments under the Tax Receivable Agreement, will vary depending upon a number of factors, including the timing of purchases or exchanges, the price of shares of our Class A common stock at the time of the purchase or exchange, the extent to which such purchases or exchanges do not result in a basis adjustment, the amount of tax attributes, changes in tax rates and the amount and timing of our income.</w:t>
      </w:r>
    </w:p>
    <w:p>
      <w:pPr>
        <w:spacing w:after="0" w:line="29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expect that as a result of the anticipated tax basis adjustment of the assets of Fluence Energy, LLC and its subsidiaries upon the redemption or exchange of LLC Interests and our possible utilization of certain tax attributes, the payments that we may make under the Tax Receivable Agreement will be substantial. If all of the Founders were to exchange or redeem their LLC Interests for Class A common stock pursuant to the terms of the Fluence Energy LLC Agreement, we estimate our Founders will be entitled to receive payments under the Tax Receivable Agreement totaling approximately $681.3 million; assuming, among other factors, (i) all exchanges occurred on the same day; (ii) a price of $28.00 per share of Class A common stock; (iii) a constant corporate tax rate of 27%; (iv) we will have sufficient taxable income to fully utilize the tax benefits; (v) Fluence Energy, LLC is able to fully depreciate or amortize its assets; and (vi) no material changes in applicable tax law. The payments under the Tax Receivable Agreement are not conditioned upon continued ownership of us by the Founders. Although the timing and extent of future payments could vary significantly under the Tax Receivable Agreement for the factors discussed above, we anticipate funding payments from the Tax Receivable Agreement from cash flow from operations of our subsidiaries, available cash or available borrowings under any future debt agreements, and such payments are not anticipated to be dependent upon the availability of proceeds of this offering. See “Certain Relationships and Related Person Transactions—Tax Receivable Agreement.”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Historical Cash Flows – Nine months ended June 30</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Nine Months Ended June 30,</w:t>
            </w:r>
          </w:p>
        </w:tc>
        <w:tc>
          <w:tcPr>
            <w:tcW w:w="200" w:type="dxa"/>
            <w:vAlign w:val="bottom"/>
          </w:tcPr>
          <w:p>
            <w:pPr>
              <w:spacing w:after="0"/>
              <w:rPr>
                <w:sz w:val="16"/>
                <w:szCs w:val="16"/>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YTD 2021 vs. YTD 2020</w:t>
            </w:r>
          </w:p>
        </w:tc>
        <w:tc>
          <w:tcPr>
            <w:tcW w:w="160" w:type="dxa"/>
            <w:vAlign w:val="bottom"/>
          </w:tcPr>
          <w:p>
            <w:pPr>
              <w:spacing w:after="0"/>
              <w:rPr>
                <w:sz w:val="16"/>
                <w:szCs w:val="16"/>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 Change</w:t>
            </w:r>
          </w:p>
        </w:tc>
      </w:tr>
      <w:tr>
        <w:trPr>
          <w:trHeight w:val="20"/>
        </w:trPr>
        <w:tc>
          <w:tcPr>
            <w:tcW w:w="4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(139,277)</w:t>
            </w: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$(75,865)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(63,412)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(83.6)%</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(20,999)</w:t>
            </w:r>
          </w:p>
        </w:tc>
        <w:tc>
          <w:tcPr>
            <w:tcW w:w="740" w:type="dxa"/>
            <w:vAlign w:val="bottom"/>
          </w:tcPr>
          <w:p>
            <w:pPr>
              <w:ind w:left="40"/>
              <w:spacing w:after="0"/>
              <w:rPr>
                <w:sz w:val="20"/>
                <w:szCs w:val="20"/>
                <w:color w:val="auto"/>
              </w:rPr>
            </w:pPr>
            <w:r>
              <w:rPr>
                <w:rFonts w:ascii="Arial" w:cs="Arial" w:eastAsia="Arial" w:hAnsi="Arial"/>
                <w:sz w:val="18"/>
                <w:szCs w:val="18"/>
                <w:color w:val="auto"/>
                <w:w w:val="96"/>
              </w:rPr>
              <w:t>$ 18,293</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(39,292)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(214.8)%</w:t>
            </w:r>
          </w:p>
        </w:tc>
      </w:tr>
      <w:tr>
        <w:trPr>
          <w:trHeight w:val="229"/>
        </w:trPr>
        <w:tc>
          <w:tcPr>
            <w:tcW w:w="47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125,729</w:t>
            </w:r>
          </w:p>
        </w:tc>
        <w:tc>
          <w:tcPr>
            <w:tcW w:w="220" w:type="dxa"/>
            <w:vAlign w:val="bottom"/>
          </w:tcPr>
          <w:p>
            <w:pPr>
              <w:spacing w:after="0"/>
              <w:rPr>
                <w:sz w:val="19"/>
                <w:szCs w:val="19"/>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6"/>
              </w:rPr>
              <w:t>$ 10,500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115,229</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-144780</wp:posOffset>
            </wp:positionV>
            <wp:extent cx="521208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-427990</wp:posOffset>
            </wp:positionV>
            <wp:extent cx="5212080"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101"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Net cash flows used in operating activities were $139.3 million in the nine months ended June 30, 2021 compared to $75.9 million in the nine months ended June 30, 2020. The decrease in net operating cash flows was mainly due to increased purchases of inventory due to the significant expansion of our business activities, partially offset by increases in accounts payable and accruals.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cash flows used in investing activities in the nine months ended June 30, 2021 included</w:t>
      </w:r>
    </w:p>
    <w:p>
      <w:pPr>
        <w:spacing w:after="0" w:line="12" w:lineRule="exact"/>
        <w:rPr>
          <w:sz w:val="20"/>
          <w:szCs w:val="20"/>
          <w:color w:val="auto"/>
        </w:rPr>
      </w:pPr>
    </w:p>
    <w:p>
      <w:pPr>
        <w:ind w:left="1260" w:right="439"/>
        <w:spacing w:after="0" w:line="256" w:lineRule="auto"/>
        <w:rPr>
          <w:sz w:val="20"/>
          <w:szCs w:val="20"/>
          <w:color w:val="auto"/>
        </w:rPr>
      </w:pPr>
      <w:r>
        <w:rPr>
          <w:rFonts w:ascii="Arial" w:cs="Arial" w:eastAsia="Arial" w:hAnsi="Arial"/>
          <w:sz w:val="17"/>
          <w:szCs w:val="17"/>
          <w:color w:val="auto"/>
        </w:rPr>
        <w:t>$18.0 million cash paid for acquisitions and $3.0 million cash outflows used in purchases of property and equipment. Net cash flows provided by investing activities in the nine months ended June 30, 2020 included $19.0 million cash inflows from the release of bank deposits that were collateralized for outstanding bank guarantees, net of $1.0 million cash outflows used in purchases of property and equipment.</w:t>
      </w:r>
    </w:p>
    <w:p>
      <w:pPr>
        <w:spacing w:after="0" w:line="108"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Cash flows provided by financing activities of $125.7 million for the nine months ended June 30, 2021 included $117.3 million net proceeds from issuance of Class B membership units and $6.3 million capital</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39"/>
        <w:spacing w:after="0" w:line="248" w:lineRule="auto"/>
        <w:rPr>
          <w:sz w:val="20"/>
          <w:szCs w:val="20"/>
          <w:color w:val="auto"/>
        </w:rPr>
      </w:pPr>
      <w:r>
        <w:rPr>
          <w:rFonts w:ascii="Arial" w:cs="Arial" w:eastAsia="Arial" w:hAnsi="Arial"/>
          <w:sz w:val="18"/>
          <w:szCs w:val="18"/>
          <w:color w:val="auto"/>
        </w:rPr>
        <w:t>contribution from Siemens Industry. Cash flows provided by financing activities of $10.5 million for the nine months ended June 30, 2020 included $ 8.0 million borrowing from lines of credit and $2.5 million capital contribution from AES Grid Stability.</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Historical Cash Flows – Annual periods ended September 30</w:t>
      </w:r>
    </w:p>
    <w:p>
      <w:pPr>
        <w:spacing w:after="0" w:line="14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Fiscal Year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FY 2020 vs. FY 2019</w:t>
            </w:r>
          </w:p>
        </w:tc>
      </w:tr>
      <w:tr>
        <w:trPr>
          <w:trHeight w:val="26"/>
        </w:trPr>
        <w:tc>
          <w:tcPr>
            <w:tcW w:w="500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7"/>
                <w:szCs w:val="17"/>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Change %</w:t>
            </w:r>
          </w:p>
        </w:tc>
      </w:tr>
      <w:tr>
        <w:trPr>
          <w:trHeight w:val="26"/>
        </w:trPr>
        <w:tc>
          <w:tcPr>
            <w:tcW w:w="4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00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(14,016)</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$ 27,682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(41,698)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(150.6)%</w:t>
            </w:r>
          </w:p>
        </w:tc>
      </w:tr>
      <w:tr>
        <w:trPr>
          <w:trHeight w:val="256"/>
        </w:trPr>
        <w:tc>
          <w:tcPr>
            <w:tcW w:w="50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18,220</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$(22,736)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40,956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180.1%</w:t>
            </w:r>
          </w:p>
        </w:tc>
      </w:tr>
      <w:tr>
        <w:trPr>
          <w:trHeight w:val="257"/>
        </w:trPr>
        <w:tc>
          <w:tcPr>
            <w:tcW w:w="5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$ 10,000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63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1"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Net cash flows used in operating activities were $14.0 million in FY 2020 compared to net cash flows provided by operating activities of $27.7 million in FY 2019. The decrease in net operating cash flows was mainly due to increased trade receivables and unbilled receivable balances from increased sales of energy storage products, partially offset by increased accounts payable and accruals.</w:t>
      </w:r>
    </w:p>
    <w:p>
      <w:pPr>
        <w:spacing w:after="0" w:line="12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Net cash flows from investing activities in FY 2020 included $20.0 million of cash inflows from the release of bank deposits that were collateralized for outstanding bank guarantees, net of $1.8 million of cash out flows used in purchases of property and equipment. Net cash flows used in investing activities in FY 2019 included $20.0 million of bank deposits invested and placed as collateral in FY 2019 and $2.7 million of cash out flows used in purchases of property and equipment.</w:t>
      </w:r>
    </w:p>
    <w:p>
      <w:pPr>
        <w:spacing w:after="0" w:line="108"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Cash flows provided by financing activities of $2.5 million and $10.0 million were from capital contributions from AES Grid Stability in FY 2020 and FY 2019, respectively.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Support and Reimbursement Agreement</w:t>
      </w:r>
    </w:p>
    <w:p>
      <w:pPr>
        <w:spacing w:after="0" w:line="158"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Credit Support and Reimbursement Agreement will not provide any credit support from September 30, 2026, provided that either AES or Siemens Industry will be permitted to terminate the agreement upon</w:t>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six months prior notice.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We believe that the accounting policies discussed below are critical to understanding our historical and future performance, as these policies relate to the more significant areas involving management’s judgments and estimates. Refer to Note 2—</w:t>
      </w:r>
      <w:r>
        <w:rPr>
          <w:rFonts w:ascii="Arial" w:cs="Arial" w:eastAsia="Arial" w:hAnsi="Arial"/>
          <w:sz w:val="17"/>
          <w:szCs w:val="17"/>
          <w:i w:val="1"/>
          <w:iCs w:val="1"/>
          <w:color w:val="auto"/>
        </w:rPr>
        <w:t>Summary of Significant Accounting Policies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Estimates </w:t>
      </w:r>
      <w:r>
        <w:rPr>
          <w:rFonts w:ascii="Arial" w:cs="Arial" w:eastAsia="Arial" w:hAnsi="Arial"/>
          <w:sz w:val="17"/>
          <w:szCs w:val="17"/>
          <w:color w:val="auto"/>
        </w:rPr>
        <w:t>for further discussion of our critical accounting policies and estimates.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We determine our revenue recognition through the following steps: (i) identification of the contract or contracts with a customer, (ii) identification of the performance obligations within the contract,</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63" w:lineRule="auto"/>
        <w:tabs>
          <w:tab w:leader="none" w:pos="15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determination of the transaction price, (iv) allocation of the transaction price to the performance obligations within the contract, and (v) recognition of revenue as the performance obligation has been satisfied.</w:t>
      </w:r>
    </w:p>
    <w:p>
      <w:pPr>
        <w:spacing w:after="0" w:line="103" w:lineRule="exact"/>
        <w:rPr>
          <w:sz w:val="20"/>
          <w:szCs w:val="20"/>
          <w:color w:val="auto"/>
        </w:rPr>
      </w:pPr>
    </w:p>
    <w:p>
      <w:pPr>
        <w:jc w:val="both"/>
        <w:ind w:left="1260" w:right="599" w:firstLine="360"/>
        <w:spacing w:after="0" w:line="342" w:lineRule="auto"/>
        <w:rPr>
          <w:sz w:val="20"/>
          <w:szCs w:val="20"/>
          <w:color w:val="auto"/>
        </w:rPr>
      </w:pPr>
      <w:r>
        <w:rPr>
          <w:rFonts w:ascii="Arial" w:cs="Arial" w:eastAsia="Arial" w:hAnsi="Arial"/>
          <w:sz w:val="16"/>
          <w:szCs w:val="16"/>
          <w:color w:val="auto"/>
        </w:rPr>
        <w:t>As of June 30, 2021, our revenue was generated primarily from sale and battery-based energy storage products, providing operational services related to storage products, and digital application and solutions.</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of Energy Storage Products</w:t>
      </w:r>
    </w:p>
    <w:p>
      <w:pPr>
        <w:spacing w:after="0" w:line="158" w:lineRule="exact"/>
        <w:rPr>
          <w:sz w:val="20"/>
          <w:szCs w:val="20"/>
          <w:color w:val="auto"/>
        </w:rPr>
      </w:pPr>
    </w:p>
    <w:p>
      <w:pPr>
        <w:ind w:left="1260" w:right="639" w:firstLine="360"/>
        <w:spacing w:after="0" w:line="269" w:lineRule="auto"/>
        <w:rPr>
          <w:sz w:val="20"/>
          <w:szCs w:val="20"/>
          <w:color w:val="auto"/>
        </w:rPr>
      </w:pPr>
      <w:r>
        <w:rPr>
          <w:rFonts w:ascii="Arial" w:cs="Arial" w:eastAsia="Arial" w:hAnsi="Arial"/>
          <w:sz w:val="17"/>
          <w:szCs w:val="17"/>
          <w:color w:val="auto"/>
        </w:rPr>
        <w:t>Fluence enters into contracts with utility companies, developers, and C&amp;I customers to design and build battery-based energy storage products. Each storage product is customized depending on the customer’s energy needs. Customer payments are due upon meeting certain milestones that are consistent with contract-specific phases of a project. We determine the transaction price based on the consideration expected to be received which includes estimates for project execution risks and other variable considerations, including liquidated damages. The transaction price identified is allocated to each distinct performance obligation to deliver a good or service based on the relative standalone selling prices. Generally, our contracts to design and build battery-based storage solutions are determined to have one performance obligation. We believe that the prices negotiated with each individual customer are representative of the stand-alone selling price of the energy storage products.</w:t>
      </w:r>
    </w:p>
    <w:p>
      <w:pPr>
        <w:spacing w:after="0" w:line="1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recognize revenue over time as a result of the continuous transfer of control of our energy storage products to the customer. This continuous transfer of control to the customer is supported by clauses in the contracts that provide enforceable rights to payment of the transaction price associated with work performed to date, and is for products that do not have an alternative use to us and/or the project is built on the customer’s land that is under the customer’s control.</w:t>
      </w:r>
    </w:p>
    <w:p>
      <w:pPr>
        <w:spacing w:after="0" w:line="107"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Revenue from the contracts is recognized using the percentage of completion method based on cost incurred as a percentage of total estimated contract costs.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 facts and changes in circumstance become known.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Services</w:t>
      </w:r>
    </w:p>
    <w:p>
      <w:pPr>
        <w:spacing w:after="0" w:line="158"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Fluence also enters into long-term service agreements with customers to provide operational services related to purchased battery-based energy storage products. The services include maintenance, monitoring, and other minor services. We account for the services as a single performance obligation as the services are substantially the same and have the same pattern of transfer to the customers. Straight-line revenue recognition method is applied for these types of services. We believe using a time-based method to measure progress is appropriate as the performance obligations are satisfied evenly over time based on the fact that customers receive the services evenly and cost pattern does not change significantly over the service period. Revenue is recognized by dividing the total contact revenue over the service period.</w:t>
      </w:r>
    </w:p>
    <w:p>
      <w:pPr>
        <w:spacing w:after="0" w:line="111"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Some of the agreements also provide capacity guarantees which stand for a commitment to perform certain augmentation activities to maintain the level of battery capacity specified in the agreement. Augmentation activities would typically be represented by installation of additional batteries, and other components as needed, to compensate for partially lost capacity due to degradation of batteries over time. These services are treated as service-type warranties and are accounted for as separate performance obligations from other services discussed above. Performance obligations of the services are satisfied over time. Percentage of completion revenue recognition method is applied for service type warranties as the cost pattern changes significantly with little to no operating costs incurred in the earlier years and larger costs</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color w:val="auto"/>
        </w:rPr>
        <w:t>incurred in later years when augmentation is required to restore the required capacity, for example, adding more batteries or changing some existing modules with declined capacity.</w:t>
      </w:r>
    </w:p>
    <w:p>
      <w:pPr>
        <w:spacing w:after="0" w:line="89"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For both products and service contracts where there are multiple performance obligations in a single contract, we allocate the consideration to the various obligations in the contract based on the relative standalone selling price method. Standalone selling prices are estimated based on estimated costs plus margin or using market data for comparable products when estimated costs are not imputable.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Digital Applications and Solutions</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October 2020, Fluence acquired the Advanced Microgrid Solutions (“AMS”) software and digital intelligence platform, which became the Fluence Trading Platform. Contracts involving the Fluence Trading Platform are generally entered into with commercial entities that control utility-scale storage and renewable generation assets. Fluence Trading Platform arrangements consist of a promise to provide access to proprietary cloud-based Software-as-a-Service (“SaaS”) to promote enhanced financial returns on the utility-scale storage and renewable generation assets. The Fluence Trading Platform is a hosted service that delivers automated, market-compliant bids to local electricity market operators. Customers do not receive legal title or ownership of the software as a result of these arrangements. The term for Fluence’s contracts with Trading Platform customers is generally 5 years, which may include certain renewal options to extend the initial contract term or certain termination options to reduce the initial contract term.</w:t>
      </w:r>
    </w:p>
    <w:p>
      <w:pPr>
        <w:spacing w:after="0" w:line="11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Fluence Trading Platform is technology- and vendor-agnostic (i.e. it can be utilized for wind and solar assets as well as non-Fluence systems). The Fluence Trading Platform is separately identifiable from other promises that Fluence offers to its customers (i.e. it is not highly interrelated or integrated with other solutions). As such, Fluence determined that the Fluence Trading Platform should be accounted for as a separate performance obligation. Revenue from the Fluence Trading Platform includes an integration fee and a monthly subscription fee. We consider the access to the Fluence Trading Platform and related support services in a customer contract to be a series of distinct services which comprise a single performance obligation because they are substantially the same and have the same pattern of transfer. We record amounts that have been invoiced in accounts receivable and in deferred revenue or revenues, depending on whether the revenue recognition criteria have been met.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48"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10"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During the fiscal year ended September 30, 2020, a material weakness in the internal control over our revenue recognition process was identified. The design and implementation of controls has not been sufficient to adequately interpret ASC 606 in the design of the accounting policy related to in-transit and delivered, but uninstalled equipment. We are in the process of developing a remediation plan which includes, without limitation, (i) hiring additional experienced accounting, financial reporting and internal control personnel as we transition to being a public company and are required to comply with Section 404 of the Sarbanes-Oxley Act, (ii) implementing controls to enhance our review of significant accounting transactions and other new technical accounting and financial reporting issues and preparing and reviewing accounting memoranda addressing these issues, and (iii) implementing controls to enable an effective and timely review of account analyses and account reconciliations. We have recently hired additional resources, and we are engaging with a third-party consulting firm to assist us with our formal internal control plan and provide staff augmentation of our internal audit function.</w:t>
      </w:r>
    </w:p>
    <w:p>
      <w:pPr>
        <w:spacing w:after="0" w:line="111"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material weaknesses will not be considered remediated until management designs and implements effective controls that operate for a sufficient period of time and management has concluded, through testing, that these controls are effective.</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We and our independent registered public accounting firm were not required to, and did not, perform an evaluation of our internal control over financial reporting as of June 30, 2021, or September 30, 2020, in accordance with Section 404(b)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Market risk is the potential loss that may result from market changes associated with our business or with an existing or forecasted financial transactions. We are exposed to various market risks in the ordinary course of our business which are discussed below.</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Credit risk refers to the risk that a counterparty may default on its contractual obligations resulting in a loss to us. Our counterparties for sale of our energy storage products and delivery service are customers including conglomerates, utilities / load- serving entities, independent power producers, developers, and C&amp;I customers in the United States and other countries. A loss of one or more of our significant customers, their inability to perform under their contracts, or their default in payment could harm our business and negatively impact revenue, results of operations, and cash flows. Credit policies have been approved and implemented to govern our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In addition, customers are required to make milestone payments based on their project’s progress. We may also, at times, require letters of credit, parent guarantees or cash collateral when deemed necessary.</w:t>
      </w:r>
    </w:p>
    <w:p>
      <w:pPr>
        <w:spacing w:after="0" w:line="124"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Our overall exposure may be affected positively or negatively by macroeconomic or regulatory changes that impact our counterparties to one extent or another. As of June 30, 2021, the COVID-19 pandemic has not had a material impact on our credit risk exposure to our counterparties. Currently, management does not anticipate a material adverse effect in our financial position or results of operations as a consequence of counterparty non-performance. We continuously monitor the creditworthiness of all our counterparties.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4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Our reporting currency is the U.S. dollar, while certain of our current subsidiaries have other functional currencies, reflecting their principal operating markets. Fluctuations in currency exchange rates between the U.S. dollar and the Euro, the British pound, the Australian dollar, and the Swiss Franc in our current foreign markets could create significant fluctuations in earnings and cash flows. To date, we have not had material exposure to foreign currency fluctuations and have not had material hedging instruments to hedge the foreign currency risks.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5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We are subject to risk from fluctuating market prices of certain commodity raw materials that are used in our products. Prices of these raw materials may be affected by supply restrictions, logistics and shipping, and tariffs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Customer Concentration and Emerging Market Exposure Risk</w:t>
      </w:r>
    </w:p>
    <w:p>
      <w:pPr>
        <w:spacing w:after="0" w:line="15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We deliver products and services in developed economies, including the United States, the United Kingdom, Chile, Ireland, Switzerland, Australia, and Germany. We also deliver products and services in the Philippines, which represent 20.9% and 34.1% of revenue the nine months ended June 30, 2021 and FY</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2020, respectively. Macroeconomic conditions in developing economies are usually more volatile than in developed economies and entail certain risks and uncertainties. Changes in the United States trade environment, including the imposition of import tariffs, could adversely affect the amount or timing of our revenues, results of operations or cash flows. The interruption of the flow of components and materials from international vendors could disrupt our supply chain, including as a result of the imposition of additional duties, tariffs and other charges on imports and exports.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 Status</w:t>
      </w:r>
    </w:p>
    <w:p>
      <w:pPr>
        <w:spacing w:after="0" w:line="148"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We are an emerging growth company, as defined under the JOBS Act. The JOBS Act permits an emerging growth company like us to take advantage of an extended transition period to comply with new or revised accounting standards applicable to public companies. We have elected to take advantage of this extended transition period. As a result, the information that we provide to stockholders may be different than the information you may receive from other public companies in which you hold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3534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835342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82683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826833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3534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835342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83540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835406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82340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82340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82251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Mission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mission is to transform the way we power our world for a more sustainable future.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We are enabling the global clean energy transition with market-leading energy storage products and services and digital applications for renewables and storage. We believe battery energy storage technology (“energy storage”) is at the center of this transition and is becoming even more important as more renewables are added to the grid and the transportation sector moves towards electrification. We are driving change by delivering configurable energy storage product, service, and digital application packages, as well as our AI-enabled Fluence IQ Platform to optimize renewable and third-party storage assets. Our offerings help major utilities, developers, and commercial and industrial (“C&amp;I”) customers around the world deliver a more sustainable, reliable, and resilient electric grid in a repeatable, scalable way.</w:t>
      </w:r>
    </w:p>
    <w:p>
      <w:pPr>
        <w:spacing w:after="0" w:line="113"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Energy storage is a key solution to the challenges facing electricity markets and transmission grids, including: electricity load variability and quality issues from increased participation of renewable energy generation; growing consumer and industrial demand for smart grid services; and localized capacity constraints on transmission networks, particularly around periods of peak demand. Energy storage is a uniquely flexible, asset that can provide multiple critical grid services, including energy shifting, peaking capacity, ancillary services, and transmission and distribution infrastructure functions. Our team has helped the industry move from a few deployments of single- function systems under 10 megawatts (“MW”), to multiple deployments of systems over 100 MW with broad functionality optimized by advanced software and digital intelligence.</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Fluence is a leading pure-play provider of energy storage technology globally, and our AI-enabled Fluence IQ helps customers maximize the value and performance of single assets or entire portfolios of clean energy assets. Although we were established in January 2018 as a joint venture between Siemens and AES, members of our board of directors and leadership team were part of the founding team at AES Energy Storage that conceived and tested the world’s first lithium-ion energy storage system on an electric grid starting in 2007. Fluence has built on AES’ industry-defining work in clean energy and storage operations and Siemens’ energy technology leadership and global sales presence. The result is an agile company with a global presence solely focused on enabling the clean energy transition.</w:t>
      </w:r>
    </w:p>
    <w:p>
      <w:pPr>
        <w:spacing w:after="0" w:line="10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believe our customer- and market-centric approach differentiates us from our peers and best positions us to deploy our high-value and high-margin services and digital recurring revenue offerings across a large, global installed base, building upon our 13 years of deep energy storage experience and data-driven insights. Furthermore, our advanced digital applications delivered to non-Fluence customers can enable cross-sales of Fluence energy storage products. Last year, we unveiled our sixth-generation technology stack (“Tech Stack”), which is the foundation of our energy storage products. The Tech Stack is comprised of our modular, factory-built hardware (“Fluence Cube”), proprietary operating system (“Fluence OS”), and AI-enabled digital platform (“Fluence IQ”). In addition to energy storage products, our offerings include delivery services and recurring operational services, as well as financing structuring services, such as energy-storage-as-a-service (“ESaaS”). Our Fluence IQ Digital Platform includes the Fluence Bidding Application, which delivers AI-powered market bidding optimization for solar, wind, and energy storage assets, including non-Fluence energy storage systems.</w:t>
      </w:r>
    </w:p>
    <w:p>
      <w:pPr>
        <w:spacing w:after="0" w:line="116"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Guidehouse Consulting has ranked us as the leading energy storage provider since our inception, based on factors including vision, go-to-market strategy, product performance, technology, and execution. We were also ranked the leading global energy storage systems integrator by Navigant in 2018 and the largest global energy storage system integrator in a 2021 report by Clean Horizon. We won Best Commercial Technology of the Year at the 2020 S&amp;P Global Platts Global Energy Awards for our sixth- generation Tech Stack and were named to Fast Company’s Most Innovative Companies, Energy list in 2019 and 2021. Previous generations of our technology have won the Edison Electric Institute’s annual Edison Awards (2016, 2019, and 2021).</w:t>
      </w:r>
    </w:p>
    <w:p>
      <w:pPr>
        <w:spacing w:after="0" w:line="126"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As of September 30, 2021, we had 1.0 gigawatts (“GW”) of energy storage assets deployed and 2.7 GW of contracted backlog across 29 markets with a gross global pipeline of 14.2 GW. As of September 30,</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93" w:lineRule="auto"/>
        <w:rPr>
          <w:sz w:val="20"/>
          <w:szCs w:val="20"/>
          <w:color w:val="auto"/>
        </w:rPr>
      </w:pPr>
      <w:r>
        <w:rPr>
          <w:rFonts w:ascii="Arial" w:cs="Arial" w:eastAsia="Arial" w:hAnsi="Arial"/>
          <w:sz w:val="16"/>
          <w:szCs w:val="16"/>
          <w:color w:val="auto"/>
        </w:rPr>
        <w:t>2021, our global operational and maintenance (“O&amp;M”) services team was providing services for 0.8 GW of energy storage assets, with a further 1.9 GW of contracted backlog, which have provided Fluence with over 290 terabytes of data on energy storage operation and performance as of June 30, 2021. As of June 30, 2021, we had $885 million of contracted backlog related to energy storage products, representing a 14% increase related to the same date last year and as of September 30, 2021 we estimated that we had between approximately $1,344 million and $1,393 million of contracted backlog related to energy storage products.</w:t>
      </w:r>
    </w:p>
    <w:p>
      <w:pPr>
        <w:spacing w:after="0" w:line="8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2020, we entered into an agreement with QFH for a $125 million investment to accelerate our growth and the global deployment of our offerings, which has included the acquisition of the software and digital intelligence platform of Advanced Microgrid Solutions (“AMS”), a leading artificial intelligence-enabled optimized bidding software for utility-scale storage and renewable generation assets, which became the Fluence Bidding Application. As of September 30, 2021, we had an aggregate of 3.1 GW of renewable energy assets using the Fluence Bidding Application and 1.6 GW of contracted backlog related to renewable and energy storage assets. We expect our services and Fluence IQ digital applications, including the Fluence Bidding Application, to expand meaningfully over the next five years and contribute increasingly to our bottom-line growth.</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Industry and Market Opportunity</w:t>
      </w:r>
    </w:p>
    <w:p>
      <w:pPr>
        <w:spacing w:after="0" w:line="162"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Climate change is an existential threat. Severe weather events and broader awareness of the financial implications of climate change are driving a systemic global transition away from fossil fuels towards sustainable energy systems. However, renewable generation, unlike fossil fuel generation, has no inherent storage capacity and can only be used in favorable wind and solar conditions. Energy storage is therefore a critical enabler of large-scale adoption of 24/7 renewable energy. Furthermore, accelerating electrification of industries such as transportation is driving demand for more generation. Energy storage can help both serve and smooth additional peak demand, improving grid reliability and managing energy requirements.</w:t>
      </w:r>
    </w:p>
    <w:p>
      <w:pPr>
        <w:spacing w:after="0" w:line="11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As the first truly digital asset on the electric grid, energy storage is also a uniquely flexible tool for grid planners, operators, and power providers. We believe energy storage sits at the epicenter of the global clean energy transition and represents the backbone of a massive change in our energy market infrastructure driven by three key trends: Grid modernization, decarbonization, and digitalization. The energy transformation will require $100 trillion of investment through 2050 based on the midpoint of Bloomberg New Energy Finance’s (“BloombergNEF”) NEO 2020 clean electricity and green hydrogen pathway.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545465</wp:posOffset>
            </wp:positionV>
            <wp:extent cx="5177790" cy="3943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7779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Source: BloombergNEF; Note: Coal excluded from conventional generation for purposes of estimating Digital Applications and Solutions TAM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Energy Storage Market Opportunity</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energy storage market is comprised of three components: energy storage products; services; and digital applications and solutions. Energy storage products encompass the components (including batteries), professional services, and labor required to manufacture, assemble, and install products. Services include the recurring operational and maintenance services that energy storage products require, management services that are provided by third parties when asset owners outsource the operations of their systems, and the provision of ESaaS. Digital applications and solutions include operating systems, applications, such as trading platforms that allow system owners to manage their grid participation, and dynamic capacity services, such as virtual power plants (“VPPs”). These trading platforms and VPPs can be deployed on both energy storage assets and renewable and conventional generation assets.</w:t>
      </w:r>
    </w:p>
    <w:p>
      <w:pPr>
        <w:spacing w:after="0" w:line="10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The energy storage products market is driven by the deployment of new energy storage products globally, and its addressable market is comprised of the annual spend associated with the manufacturing, delivery, and installation of new energy storage products. According to BloombergNEF, global annual energy storage capacity installations, excluding the residential market, grew from 0.6 GW a year in 2015 to 3.8 GW a year in 2020, and are expected to grow to 34.2 GW a year by 2030. We believe most forecasts for the energy storage sector, including BloombergNEF’s, understate the size and market opportunity as forecasts generally only account for spend associated with the physical energy storage asset and do not account for the associated service and digital spend.</w:t>
      </w:r>
    </w:p>
    <w:p>
      <w:pPr>
        <w:spacing w:after="0" w:line="113" w:lineRule="exact"/>
        <w:rPr>
          <w:sz w:val="20"/>
          <w:szCs w:val="20"/>
          <w:color w:val="auto"/>
        </w:rPr>
      </w:pPr>
    </w:p>
    <w:p>
      <w:pPr>
        <w:jc w:val="both"/>
        <w:ind w:left="1260" w:right="899" w:firstLine="360"/>
        <w:spacing w:after="0" w:line="270" w:lineRule="auto"/>
        <w:rPr>
          <w:sz w:val="20"/>
          <w:szCs w:val="20"/>
          <w:color w:val="auto"/>
        </w:rPr>
      </w:pPr>
      <w:r>
        <w:rPr>
          <w:rFonts w:ascii="Arial" w:cs="Arial" w:eastAsia="Arial" w:hAnsi="Arial"/>
          <w:sz w:val="17"/>
          <w:szCs w:val="17"/>
          <w:color w:val="auto"/>
        </w:rPr>
        <w:t>The services market is driven by the growth in installed energy storage products globally, and its addressable market is comprised of the recurring annual service spend across the entire fleet of energy storage products, which is continuing to grow through new product installations. According to</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59" w:lineRule="auto"/>
        <w:rPr>
          <w:sz w:val="20"/>
          <w:szCs w:val="20"/>
          <w:color w:val="auto"/>
        </w:rPr>
      </w:pPr>
      <w:r>
        <w:rPr>
          <w:rFonts w:ascii="Arial" w:cs="Arial" w:eastAsia="Arial" w:hAnsi="Arial"/>
          <w:sz w:val="18"/>
          <w:szCs w:val="18"/>
          <w:color w:val="auto"/>
        </w:rPr>
        <w:t>BloombergNEF, global installed energy storage capacity, excluding the residential market, grew 57% per annum between 2015 and 2020, and the installed base is expected to grow at a 31% annual growth rate through 2030. BloombergNEF forecasts that global installed energy storage capacity will reach 193.7 GW by 2030, excluding the residential market.</w:t>
      </w:r>
    </w:p>
    <w:p>
      <w:pPr>
        <w:spacing w:after="0" w:line="10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digital applications and solutions sector is driven by the growth in installed energy storage products and renewable and conventional generation assets, and its addressable market is comprised of the total global installed fleet of energy storage products and renewable and conventional generation assets. The digital applications and solutions economic model is primarily structured as (i) $/kilowatt (“kW”) recurring fixed fees, and in some cases (ii) $/kW performance-based incentive fees both calculated based on the GWs of storage and generation assets on which digital applications and solutions service offerings are deployed. We believe there is an opportunity to not only deploy digital applications and solutions on individual assets but also across entire energy storage fleets and portfolios of generation assets to improve their collective performance and economic output, and to reduce the overall carbon footprint of the electric grid by optimizing the interactions between different asset types.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Key Drivers of Growing Energy Storage Market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believe there are multiple factors driving continued growth in the energy storage sector including:</w:t>
      </w:r>
    </w:p>
    <w:p>
      <w:pPr>
        <w:spacing w:after="0" w:line="129" w:lineRule="exact"/>
        <w:rPr>
          <w:sz w:val="20"/>
          <w:szCs w:val="20"/>
          <w:color w:val="auto"/>
        </w:rPr>
      </w:pPr>
    </w:p>
    <w:p>
      <w:pPr>
        <w:ind w:left="1800" w:right="459" w:hanging="180"/>
        <w:spacing w:after="0" w:line="287" w:lineRule="auto"/>
        <w:tabs>
          <w:tab w:leader="none" w:pos="180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Heightened grid variability from the increasing prevalence of renewable energy and decarbonized technologies. </w:t>
      </w:r>
      <w:r>
        <w:rPr>
          <w:rFonts w:ascii="Arial" w:cs="Arial" w:eastAsia="Arial" w:hAnsi="Arial"/>
          <w:sz w:val="16"/>
          <w:szCs w:val="16"/>
          <w:color w:val="auto"/>
        </w:rPr>
        <w:t>BloombergNEF forecasts that 1,298 GW of coal and natural gas power plants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expected to be retired globally over the next 10 years and that renewable energy is expected to represent approximately 75% of all new global capacity installations in the same period. Energy storage is a proven replacement for retiring natural gas plants, as evidenced by the AES Alamitos Battery Energy Storage System in Long Beach, California, which uses Fluence technology and was procured specifically to replace a retiring natural gas plant that provided critical peaking capacity for the LA Basin. The accelerating transition from fossil to renewable generation and from conventional to electric vehicles is expected to require significant increases in energy storage capacity to both offset potential grid instability caused by intermittent renewable resources and enable the use of power from renewable generation assets at times when the natural resource is unavailable.</w:t>
      </w:r>
    </w:p>
    <w:p>
      <w:pPr>
        <w:spacing w:after="0" w:line="77" w:lineRule="exact"/>
        <w:rPr>
          <w:rFonts w:ascii="Arial" w:cs="Arial" w:eastAsia="Arial" w:hAnsi="Arial"/>
          <w:sz w:val="16"/>
          <w:szCs w:val="16"/>
          <w:color w:val="auto"/>
        </w:rPr>
      </w:pPr>
    </w:p>
    <w:p>
      <w:pPr>
        <w:ind w:left="1800" w:right="519" w:hanging="180"/>
        <w:spacing w:after="0" w:line="270"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compensate for infrastructure constraints. </w:t>
      </w:r>
      <w:r>
        <w:rPr>
          <w:rFonts w:ascii="Arial" w:cs="Arial" w:eastAsia="Arial" w:hAnsi="Arial"/>
          <w:sz w:val="17"/>
          <w:szCs w:val="17"/>
          <w:color w:val="auto"/>
        </w:rPr>
        <w:t>The existing power grid was not designed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distributed and renewable generation infrastructure. Growing capacity constraints on transmission lines are forcing grid operators to curtail, or dump, excess renewable energy, limiting the ability to decarbonize the grid. Energy storage assets placed at strategic nodes on transmission networks allow power to be transmitted during times of increased transmission capacity. This reduces congestion, increases use of existing transmission lines, and lowers system operating costs. Additionally, by being able to store renewable power, grid operators can use renewable energy to meet potential power shortfalls that would otherwise be met by traditional sources of energy such as natural gas peaker plants.</w:t>
      </w:r>
    </w:p>
    <w:p>
      <w:pPr>
        <w:spacing w:after="0" w:line="72" w:lineRule="exact"/>
        <w:rPr>
          <w:rFonts w:ascii="Arial" w:cs="Arial" w:eastAsia="Arial" w:hAnsi="Arial"/>
          <w:sz w:val="17"/>
          <w:szCs w:val="17"/>
          <w:color w:val="auto"/>
        </w:rPr>
      </w:pPr>
    </w:p>
    <w:p>
      <w:pPr>
        <w:ind w:left="1800" w:right="439" w:hanging="180"/>
        <w:spacing w:after="0" w:line="270"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decrease in battery costs. </w:t>
      </w:r>
      <w:r>
        <w:rPr>
          <w:rFonts w:ascii="Arial" w:cs="Arial" w:eastAsia="Arial" w:hAnsi="Arial"/>
          <w:sz w:val="17"/>
          <w:szCs w:val="17"/>
          <w:color w:val="auto"/>
        </w:rPr>
        <w:t>According to BloombergNEF, the component costs for lithium-ion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battery packs are expected to fall from $161/kWh in 2020 to $73/kWh in 2030, which represents an 8% annual reduction over this period. This forecasted reduction in the battery cost is expected to improve the economics of energy storage and support the development of larger energy storage systems. Moreover, the levelized cost of storage (LCOS) of battery storage has decreased from an estimated $324/MWh in 2018 to an estimated $192/MWh in 2020, according to the Lazard Levelized Cost of Storage Analysis. This reduction in cost makes battery storage economically competitive with the gas peakers which are estimated in 2020 to have a levelized cost of energy (LCOE) range of $151/MWh to $198/MWh, according to the Lazard Levelized Cost of Energy Analysis.</w:t>
      </w:r>
    </w:p>
    <w:p>
      <w:pPr>
        <w:spacing w:after="0" w:line="72" w:lineRule="exact"/>
        <w:rPr>
          <w:rFonts w:ascii="Arial" w:cs="Arial" w:eastAsia="Arial" w:hAnsi="Arial"/>
          <w:sz w:val="17"/>
          <w:szCs w:val="17"/>
          <w:color w:val="auto"/>
        </w:rPr>
      </w:pPr>
    </w:p>
    <w:p>
      <w:pPr>
        <w:ind w:left="1800" w:right="439" w:hanging="180"/>
        <w:spacing w:after="0" w:line="275"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Corporate and investor support for decarbonization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300 major companies have pledged to source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 of their energy from renewable energy as part of the RE100 initiative. This trend has driven over 13 GW of corporate power purchase agreements to be signed in the United States in 2020 compared to just 3 GW in 2017, according to BloombergNEF. Additionally, environmental responsibility has also become a priority for investors. In September 2020, Climate Action 100+, an</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79"/>
        <w:spacing w:after="0" w:line="263" w:lineRule="auto"/>
        <w:rPr>
          <w:sz w:val="20"/>
          <w:szCs w:val="20"/>
          <w:color w:val="auto"/>
        </w:rPr>
      </w:pPr>
      <w:r>
        <w:rPr>
          <w:rFonts w:ascii="Arial" w:cs="Arial" w:eastAsia="Arial" w:hAnsi="Arial"/>
          <w:sz w:val="18"/>
          <w:szCs w:val="18"/>
          <w:color w:val="auto"/>
        </w:rPr>
        <w:t>investor initiative representing 500 global investors collectively managing more than $47 trillion in assets, sent letters to multiple corporations to urge them to set clear goals to pursue net-zero emissions by 2050 or sooner.</w:t>
      </w:r>
    </w:p>
    <w:p>
      <w:pPr>
        <w:spacing w:after="0" w:line="76" w:lineRule="exact"/>
        <w:rPr>
          <w:sz w:val="20"/>
          <w:szCs w:val="20"/>
          <w:color w:val="auto"/>
        </w:rPr>
      </w:pPr>
    </w:p>
    <w:p>
      <w:pPr>
        <w:ind w:left="1800" w:right="419" w:hanging="180"/>
        <w:spacing w:after="0" w:line="272" w:lineRule="auto"/>
        <w:tabs>
          <w:tab w:leader="none" w:pos="180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Favorable government policy initiatives. </w:t>
      </w:r>
      <w:r>
        <w:rPr>
          <w:rFonts w:ascii="Arial" w:cs="Arial" w:eastAsia="Arial" w:hAnsi="Arial"/>
          <w:sz w:val="17"/>
          <w:szCs w:val="17"/>
          <w:color w:val="auto"/>
        </w:rPr>
        <w:t>Governments across the globe have announced policies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the transition from fossil fuels to low-carbon forms of energy. For example, the United States recently rejoined the Paris Agreement and proposed a tax incentive for standalone energy storage projects as part of President Biden’s American Jobs Plan. Internationally, the European Union has proposed legislation targeting achieving net-zero emissions by 2050, Australia announced a targeted two-thirds reduction in emissions per unit of gross domestic product by 2030, and India pledged to achieve a 33-35% reduction in emissions intensity by 2030.</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Products and Services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Our offerings include energy storage products and delivery services, recurring operational services and digital solutions and applications for energy storage and other power assets. We have repeatedly pioneered new use cases for grid-scale energy storage. Some of the uses we have supported include frequency regulation, generation enhancement, capacity peak power, energy cost control, microgrids/islands, renewable integration, virtual dams, T&amp;D enhancement, and critical power.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Energy Storage Products</w:t>
      </w:r>
    </w:p>
    <w:p>
      <w:pPr>
        <w:spacing w:after="0" w:line="14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We sell highly configurable energy storage products with integrated hardware, software and digital intelligence. Unlike other energy storage providers, we take a customer- and market-centric approach, building products and technology based on customer needs and economic feasibility. We offer three energy storage products built on our sixth-generation Tech Stack foundation, which are optimized for common customer use cases but can be configured for specific use cases:</w:t>
      </w:r>
    </w:p>
    <w:p>
      <w:pPr>
        <w:spacing w:after="0" w:line="80" w:lineRule="exact"/>
        <w:rPr>
          <w:sz w:val="20"/>
          <w:szCs w:val="20"/>
          <w:color w:val="auto"/>
        </w:rPr>
      </w:pPr>
    </w:p>
    <w:p>
      <w:pPr>
        <w:ind w:left="1800" w:right="519" w:hanging="180"/>
        <w:spacing w:after="0" w:line="259"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Gridstack™</w:t>
      </w:r>
      <w:r>
        <w:rPr>
          <w:rFonts w:ascii="Arial" w:cs="Arial" w:eastAsia="Arial" w:hAnsi="Arial"/>
          <w:sz w:val="18"/>
          <w:szCs w:val="18"/>
          <w:color w:val="auto"/>
        </w:rPr>
        <w:t>: grid-scale, industrial-strength energy storage product designed for demanding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with industry-leading reliability, scalability, and safety. Its design is built for applications including flexible peaking capacity, frequency regulation, renewable integration, transmission, and distribution enhancement and more.</w:t>
      </w:r>
    </w:p>
    <w:p>
      <w:pPr>
        <w:spacing w:after="0" w:line="78"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Sunstack™</w:t>
      </w:r>
      <w:r>
        <w:rPr>
          <w:rFonts w:ascii="Arial" w:cs="Arial" w:eastAsia="Arial" w:hAnsi="Arial"/>
          <w:sz w:val="18"/>
          <w:szCs w:val="18"/>
          <w:color w:val="auto"/>
        </w:rPr>
        <w:t>: designed to optimize solar capture and delivery. Its product architecture unites batteries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PV on the same side of the DC bus to take advantage of higher PV-to-inverter ratios, maximize solar yield, and simplify the interconnection process.</w:t>
      </w:r>
    </w:p>
    <w:p>
      <w:pPr>
        <w:spacing w:after="0" w:line="89" w:lineRule="exact"/>
        <w:rPr>
          <w:rFonts w:ascii="Arial" w:cs="Arial" w:eastAsia="Arial" w:hAnsi="Arial"/>
          <w:sz w:val="18"/>
          <w:szCs w:val="18"/>
          <w:color w:val="auto"/>
        </w:rPr>
      </w:pPr>
    </w:p>
    <w:p>
      <w:pPr>
        <w:ind w:left="1800" w:right="499" w:hanging="180"/>
        <w:spacing w:after="0" w:line="279" w:lineRule="auto"/>
        <w:tabs>
          <w:tab w:leader="none" w:pos="18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Edgestack™</w:t>
      </w:r>
      <w:r>
        <w:rPr>
          <w:rFonts w:ascii="Arial" w:cs="Arial" w:eastAsia="Arial" w:hAnsi="Arial"/>
          <w:sz w:val="17"/>
          <w:szCs w:val="17"/>
          <w:color w:val="auto"/>
        </w:rPr>
        <w:t>: commercial energy storage product that discharges when needed to flatten a facility’s</w:t>
      </w:r>
      <w:r>
        <w:rPr>
          <w:rFonts w:ascii="Arial" w:cs="Arial" w:eastAsia="Arial" w:hAnsi="Arial"/>
          <w:sz w:val="17"/>
          <w:szCs w:val="17"/>
          <w:i w:val="1"/>
          <w:iCs w:val="1"/>
          <w:color w:val="auto"/>
        </w:rPr>
        <w:t xml:space="preserve"> </w:t>
      </w:r>
      <w:r>
        <w:rPr>
          <w:rFonts w:ascii="Arial" w:cs="Arial" w:eastAsia="Arial" w:hAnsi="Arial"/>
          <w:sz w:val="17"/>
          <w:szCs w:val="17"/>
          <w:color w:val="auto"/>
        </w:rPr>
        <w:t>energy load profile, resulting in significantly reduced demand charges. The fully integrated product is available in smaller-size building blocks that can be easily configured to meet the needs of individual facilities and aggregated across fleets or locations without time-consuming redesigns.</w:t>
      </w:r>
    </w:p>
    <w:p>
      <w:pPr>
        <w:spacing w:after="0" w:line="90"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We also offer comprehensive engineering and delivery services to support the deployment of our storage products. Customers can select from a range of delivery service, from project design to full-wrap turnkey installation.</w:t>
      </w:r>
    </w:p>
    <w:p>
      <w:pPr>
        <w:spacing w:after="0" w:line="116"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We have designed our energy storage products to allow for licensing to third-party partners, and plan to offer the ability to license Fluence products, services, and digital applications to partners targeting specific geographies and market use cases.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Sixth-Generation Technology Stack</w:t>
      </w:r>
    </w:p>
    <w:p>
      <w:pPr>
        <w:spacing w:after="0" w:line="158" w:lineRule="exact"/>
        <w:rPr>
          <w:sz w:val="20"/>
          <w:szCs w:val="20"/>
          <w:color w:val="auto"/>
        </w:rPr>
      </w:pPr>
    </w:p>
    <w:p>
      <w:pPr>
        <w:jc w:val="both"/>
        <w:ind w:left="1260" w:right="839" w:firstLine="360"/>
        <w:spacing w:after="0" w:line="286" w:lineRule="auto"/>
        <w:rPr>
          <w:sz w:val="20"/>
          <w:szCs w:val="20"/>
          <w:color w:val="auto"/>
        </w:rPr>
      </w:pPr>
      <w:r>
        <w:rPr>
          <w:rFonts w:ascii="Arial" w:cs="Arial" w:eastAsia="Arial" w:hAnsi="Arial"/>
          <w:sz w:val="17"/>
          <w:szCs w:val="17"/>
          <w:color w:val="auto"/>
        </w:rPr>
        <w:t>Our energy storage products are built on our Tech Stack, which is comprised of our Fluence Cube, Fluence OS, and Fluence IQ. The Tech Stack builds upon 13 years of development in prior generations (introduced in 2008, 2009, 2010, 2014, 2017), reflecting ongoing safety and design improvements.</w:t>
      </w:r>
    </w:p>
    <w:p>
      <w:pPr>
        <w:spacing w:after="0" w:line="8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Fluence Cube is a modular, factory-built, approximately 8’x8’x8’ building block that delivers safe, scalable, cost-effective products. Our battery and supplier-agnostic product architecture allows us to deliver optimized solutions for our customers on a global scale while incorporating the latest technology components.</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479" w:hanging="180"/>
        <w:spacing w:after="0" w:line="263"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Component Flexibility</w:t>
      </w:r>
      <w:r>
        <w:rPr>
          <w:rFonts w:ascii="Arial" w:cs="Arial" w:eastAsia="Arial" w:hAnsi="Arial"/>
          <w:sz w:val="18"/>
          <w:szCs w:val="18"/>
          <w:color w:val="auto"/>
        </w:rPr>
        <w:t>: incorporates various technologies to meet common requirements for power,</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and battery technology, with no need for custom design. The technology-agnostic approach avoids vendor lock-in and reduces risk.</w:t>
      </w:r>
    </w:p>
    <w:p>
      <w:pPr>
        <w:spacing w:after="0" w:line="75" w:lineRule="exact"/>
        <w:rPr>
          <w:rFonts w:ascii="Arial" w:cs="Arial" w:eastAsia="Arial" w:hAnsi="Arial"/>
          <w:sz w:val="18"/>
          <w:szCs w:val="18"/>
          <w:color w:val="auto"/>
        </w:rPr>
      </w:pPr>
    </w:p>
    <w:p>
      <w:pPr>
        <w:ind w:left="1800" w:right="879" w:hanging="180"/>
        <w:spacing w:after="0" w:line="279" w:lineRule="auto"/>
        <w:tabs>
          <w:tab w:leader="none" w:pos="180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Embedded Safety</w:t>
      </w:r>
      <w:r>
        <w:rPr>
          <w:rFonts w:ascii="Arial" w:cs="Arial" w:eastAsia="Arial" w:hAnsi="Arial"/>
          <w:sz w:val="17"/>
          <w:szCs w:val="17"/>
          <w:color w:val="auto"/>
        </w:rPr>
        <w:t>: comprehensive safety features are built into each Fluence Cube,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HVAC, fast-stop, incipient gas detection, fire suppression, deflagration panels, and more, while factory assembly provides consistent quality control. Continuous safety upgrades are based on extensive research, industry-leading experience, and ongoing design improvements.</w:t>
      </w:r>
    </w:p>
    <w:p>
      <w:pPr>
        <w:spacing w:after="0" w:line="63" w:lineRule="exact"/>
        <w:rPr>
          <w:rFonts w:ascii="Arial" w:cs="Arial" w:eastAsia="Arial" w:hAnsi="Arial"/>
          <w:sz w:val="17"/>
          <w:szCs w:val="17"/>
          <w:color w:val="auto"/>
        </w:rPr>
      </w:pPr>
    </w:p>
    <w:p>
      <w:pPr>
        <w:ind w:left="1800" w:right="439" w:hanging="180"/>
        <w:spacing w:after="0" w:line="275" w:lineRule="auto"/>
        <w:tabs>
          <w:tab w:leader="none" w:pos="180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Rapid Delivery and Augmentation</w:t>
      </w:r>
      <w:r>
        <w:rPr>
          <w:rFonts w:ascii="Arial" w:cs="Arial" w:eastAsia="Arial" w:hAnsi="Arial"/>
          <w:sz w:val="17"/>
          <w:szCs w:val="17"/>
          <w:color w:val="auto"/>
        </w:rPr>
        <w:t>: repeatable form factor drives efficiencies in project design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of Plant interfaces. The Fluence Cube ships with all battery, cooling, and controls equipment pre-installed to support rapid on-site installation and commissioning. Our building block approach is designed to help customers meet current requirements and enable optimal augmentation of products over time, taking advantage of falling battery prices and best-in-class technologies.</w:t>
      </w:r>
    </w:p>
    <w:p>
      <w:pPr>
        <w:spacing w:after="0" w:line="109"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Fluence OS is a sixth-generation, fully integrated edge controls platform with comprehensive control, asset management, and system visibility across single sites or entire fleets. It enables asset owners to manage storage system operations according to pre-set modes and access real-time information through cloud-based data. The OS architecture uses three levels of supervisory controls and embedded logic to coordinate system charging and discharging based on operating parameters and constraints.</w:t>
      </w:r>
    </w:p>
    <w:p>
      <w:pPr>
        <w:spacing w:after="0" w:line="68" w:lineRule="exact"/>
        <w:rPr>
          <w:sz w:val="20"/>
          <w:szCs w:val="20"/>
          <w:color w:val="auto"/>
        </w:rPr>
      </w:pPr>
    </w:p>
    <w:p>
      <w:pPr>
        <w:ind w:left="1800" w:right="419" w:hanging="180"/>
        <w:spacing w:after="0" w:line="259"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Comprehensive Controls</w:t>
      </w:r>
      <w:r>
        <w:rPr>
          <w:rFonts w:ascii="Arial" w:cs="Arial" w:eastAsia="Arial" w:hAnsi="Arial"/>
          <w:sz w:val="18"/>
          <w:szCs w:val="18"/>
          <w:color w:val="auto"/>
        </w:rPr>
        <w:t>: system operations can be set to a variety of modes, with ability to 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manage state of charge and control the timing and parameters of different storage applications. Integration is also enabled with external interfaces, independent system operators, and third-party software via common protocols.</w:t>
      </w:r>
    </w:p>
    <w:p>
      <w:pPr>
        <w:spacing w:after="0" w:line="78" w:lineRule="exact"/>
        <w:rPr>
          <w:rFonts w:ascii="Arial" w:cs="Arial" w:eastAsia="Arial" w:hAnsi="Arial"/>
          <w:sz w:val="18"/>
          <w:szCs w:val="18"/>
          <w:color w:val="auto"/>
        </w:rPr>
      </w:pPr>
    </w:p>
    <w:p>
      <w:pPr>
        <w:jc w:val="both"/>
        <w:ind w:left="1800" w:right="87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Precise Dispatch</w:t>
      </w:r>
      <w:r>
        <w:rPr>
          <w:rFonts w:ascii="Arial" w:cs="Arial" w:eastAsia="Arial" w:hAnsi="Arial"/>
          <w:sz w:val="18"/>
          <w:szCs w:val="18"/>
          <w:color w:val="auto"/>
        </w:rPr>
        <w:t>: suite of dispatch algorithms for more than 40 controls applications built on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data and market requirements for optimal accuracy and performance. Market-specific algorithms are updated based on rule changes and other developments.</w:t>
      </w:r>
    </w:p>
    <w:p>
      <w:pPr>
        <w:spacing w:after="0" w:line="75" w:lineRule="exact"/>
        <w:rPr>
          <w:rFonts w:ascii="Arial" w:cs="Arial" w:eastAsia="Arial" w:hAnsi="Arial"/>
          <w:sz w:val="18"/>
          <w:szCs w:val="18"/>
          <w:color w:val="auto"/>
        </w:rPr>
      </w:pPr>
    </w:p>
    <w:p>
      <w:pPr>
        <w:ind w:left="1800" w:right="619" w:hanging="180"/>
        <w:spacing w:after="0" w:line="259"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System Visibility</w:t>
      </w:r>
      <w:r>
        <w:rPr>
          <w:rFonts w:ascii="Arial" w:cs="Arial" w:eastAsia="Arial" w:hAnsi="Arial"/>
          <w:sz w:val="18"/>
          <w:szCs w:val="18"/>
          <w:color w:val="auto"/>
        </w:rPr>
        <w:t>: access to real-time performance and operating metrics through multiple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views covering the full storage array down to individual Fluence Cubes. Customers can view time-stamped system alarms displayed in a hierarchy of warnings and alerts. Comprehensive data acquisition and cloud-based storage enable regular system monitoring.</w:t>
      </w:r>
    </w:p>
    <w:p>
      <w:pPr>
        <w:spacing w:after="0" w:line="78" w:lineRule="exact"/>
        <w:rPr>
          <w:rFonts w:ascii="Arial" w:cs="Arial" w:eastAsia="Arial" w:hAnsi="Arial"/>
          <w:sz w:val="18"/>
          <w:szCs w:val="18"/>
          <w:color w:val="auto"/>
        </w:rPr>
      </w:pPr>
    </w:p>
    <w:p>
      <w:pPr>
        <w:ind w:left="1800" w:right="93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Embedded Safety</w:t>
      </w:r>
      <w:r>
        <w:rPr>
          <w:rFonts w:ascii="Arial" w:cs="Arial" w:eastAsia="Arial" w:hAnsi="Arial"/>
          <w:sz w:val="18"/>
          <w:szCs w:val="18"/>
          <w:color w:val="auto"/>
        </w:rPr>
        <w:t>: Fluence OS provides additional layers of protection beyond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and continuously monitors, detects, and alerts operators to potential anomalies for immediate attention, including to Fluence’s 24/7 monitoring staff.</w:t>
      </w:r>
    </w:p>
    <w:p>
      <w:pPr>
        <w:spacing w:after="0" w:line="75"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Data and Cybersecurity</w:t>
      </w:r>
      <w:r>
        <w:rPr>
          <w:rFonts w:ascii="Arial" w:cs="Arial" w:eastAsia="Arial" w:hAnsi="Arial"/>
          <w:sz w:val="18"/>
          <w:szCs w:val="18"/>
          <w:color w:val="auto"/>
        </w:rPr>
        <w:t>: Fluence follows the National Institute of Standards and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cybersecurity framework and supports North American Electric Reliability Corporation cybersecurity standards. Fluence software and systems employ enterprise-class network security with firewall software monitoring and controlling all local network traffic, including weekly vulnerability scanning and patching on local devices. High-grade, Advanced Encryption Standard 256-bit encryption protects all data in transit from local systems to our virtual private cloud (“VPC”), and external access utilizes multifactor authentication.</w:t>
      </w:r>
    </w:p>
    <w:p>
      <w:pPr>
        <w:spacing w:after="0" w:line="114"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The Fluence IQ Digital Platform supports applications to improve revenue generation, system decision-making, asset performance, and operations.</w:t>
      </w:r>
    </w:p>
    <w:p>
      <w:pPr>
        <w:spacing w:after="0" w:line="62" w:lineRule="exact"/>
        <w:rPr>
          <w:sz w:val="20"/>
          <w:szCs w:val="20"/>
          <w:color w:val="auto"/>
        </w:rPr>
      </w:pPr>
    </w:p>
    <w:p>
      <w:pPr>
        <w:ind w:left="1800" w:right="499" w:hanging="180"/>
        <w:spacing w:after="0" w:line="263"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Price Forecasting</w:t>
      </w:r>
      <w:r>
        <w:rPr>
          <w:rFonts w:ascii="Arial" w:cs="Arial" w:eastAsia="Arial" w:hAnsi="Arial"/>
          <w:sz w:val="18"/>
          <w:szCs w:val="18"/>
          <w:color w:val="auto"/>
        </w:rPr>
        <w:t>: AI predicts pricing in energy and ancillary service markets to produce</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probabilistic forecasts. Advanced machine learning analyzes thousands of variables to predict future market prices every five minutes.</w:t>
      </w:r>
    </w:p>
    <w:p>
      <w:pPr>
        <w:spacing w:after="0" w:line="75"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Precise Dispatch</w:t>
      </w:r>
      <w:r>
        <w:rPr>
          <w:rFonts w:ascii="Arial" w:cs="Arial" w:eastAsia="Arial" w:hAnsi="Arial"/>
          <w:sz w:val="18"/>
          <w:szCs w:val="18"/>
          <w:color w:val="auto"/>
        </w:rPr>
        <w:t>: suite of dispatch algorithms for more than 40 controls applications built on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data and true market requirements for optimal accuracy and performance. Market-specific algorithms are updated based on rule changes and other developments.</w:t>
      </w:r>
    </w:p>
    <w:p>
      <w:pPr>
        <w:spacing w:after="0" w:line="75" w:lineRule="exact"/>
        <w:rPr>
          <w:rFonts w:ascii="Arial" w:cs="Arial" w:eastAsia="Arial" w:hAnsi="Arial"/>
          <w:sz w:val="18"/>
          <w:szCs w:val="18"/>
          <w:color w:val="auto"/>
        </w:rPr>
      </w:pPr>
    </w:p>
    <w:p>
      <w:pPr>
        <w:jc w:val="both"/>
        <w:ind w:left="1800" w:right="559" w:hanging="180"/>
        <w:spacing w:after="0" w:line="286" w:lineRule="auto"/>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Machine Learning</w:t>
      </w:r>
      <w:r>
        <w:rPr>
          <w:rFonts w:ascii="Arial" w:cs="Arial" w:eastAsia="Arial" w:hAnsi="Arial"/>
          <w:sz w:val="17"/>
          <w:szCs w:val="17"/>
          <w:color w:val="auto"/>
        </w:rPr>
        <w:t>: data science-driven models leveraging hundreds of terabytes of historical data</w:t>
      </w:r>
      <w:r>
        <w:rPr>
          <w:rFonts w:ascii="Arial" w:cs="Arial" w:eastAsia="Arial" w:hAnsi="Arial"/>
          <w:sz w:val="17"/>
          <w:szCs w:val="17"/>
          <w:i w:val="1"/>
          <w:iCs w:val="1"/>
          <w:color w:val="auto"/>
        </w:rPr>
        <w:t xml:space="preserve"> </w:t>
      </w:r>
      <w:r>
        <w:rPr>
          <w:rFonts w:ascii="Arial" w:cs="Arial" w:eastAsia="Arial" w:hAnsi="Arial"/>
          <w:sz w:val="17"/>
          <w:szCs w:val="17"/>
          <w:color w:val="auto"/>
        </w:rPr>
        <w:t>create new digital applications for ongoing system operations and management. Digital intelligence tools are used to predict capacity with battery degradation models, predict pricing in energy and</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79"/>
        <w:spacing w:after="0" w:line="261" w:lineRule="auto"/>
        <w:rPr>
          <w:sz w:val="20"/>
          <w:szCs w:val="20"/>
          <w:color w:val="auto"/>
        </w:rPr>
      </w:pPr>
      <w:r>
        <w:rPr>
          <w:rFonts w:ascii="Arial" w:cs="Arial" w:eastAsia="Arial" w:hAnsi="Arial"/>
          <w:sz w:val="18"/>
          <w:szCs w:val="18"/>
          <w:color w:val="auto"/>
        </w:rPr>
        <w:t>ancillary services markets, optimize storage system sizing based on lifetime usage profiles, and detect anomalous temperature activity.</w:t>
      </w:r>
    </w:p>
    <w:p>
      <w:pPr>
        <w:spacing w:after="0" w:line="49" w:lineRule="exact"/>
        <w:rPr>
          <w:sz w:val="20"/>
          <w:szCs w:val="20"/>
          <w:color w:val="auto"/>
        </w:rPr>
      </w:pPr>
    </w:p>
    <w:p>
      <w:pPr>
        <w:ind w:left="1800" w:right="539" w:hanging="180"/>
        <w:spacing w:after="0" w:line="263"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Advanced Reporting</w:t>
      </w:r>
      <w:r>
        <w:rPr>
          <w:rFonts w:ascii="Arial" w:cs="Arial" w:eastAsia="Arial" w:hAnsi="Arial"/>
          <w:sz w:val="18"/>
          <w:szCs w:val="18"/>
          <w:color w:val="auto"/>
        </w:rPr>
        <w:t>: Cloud-based reporting provides interactive visualizations and pre-configured</w:t>
      </w:r>
      <w:r>
        <w:rPr>
          <w:rFonts w:ascii="Arial" w:cs="Arial" w:eastAsia="Arial" w:hAnsi="Arial"/>
          <w:sz w:val="18"/>
          <w:szCs w:val="18"/>
          <w:i w:val="1"/>
          <w:iCs w:val="1"/>
          <w:color w:val="auto"/>
        </w:rPr>
        <w:t xml:space="preserve"> </w:t>
      </w:r>
      <w:r>
        <w:rPr>
          <w:rFonts w:ascii="Arial" w:cs="Arial" w:eastAsia="Arial" w:hAnsi="Arial"/>
          <w:sz w:val="18"/>
          <w:szCs w:val="18"/>
          <w:color w:val="auto"/>
        </w:rPr>
        <w:t>analyses on key system performance indicators, including system availability, state of health, discharge cycles, outages, and more.</w:t>
      </w:r>
    </w:p>
    <w:p>
      <w:pPr>
        <w:spacing w:after="0" w:line="3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Operational &amp; Maintenance Services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In addition to energy storage products, our offerings include delivery services and recurring operational services. Our recurring O&amp;M services are designed around customer business needs, in-house capabilities, performance requirements, and risk profiles. We offer four operational services packages: Guided Services, Shared Services, Complete Services and Asset Management. These packages provide varying levels of training, maintenance, guarantees, warranties, and support to address our customers’ desired level of active system management. The service levels range from providing comprehensive training for customers to performing full asset operation and management on behalf of the customer. Fluence services help secure products with back-to-back OEM equipment warranties and extensive claims support. We help safeguard customer asset revenue potential over project life with degradation, capacity, and availability guarantees. Preventive and reactive maintenance services maintain equipment and optimal operating conditions, backed by 24/7 support and what we believe to be the most experienced team in the industry.</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Energy Storage-as-a-Service</w:t>
      </w:r>
    </w:p>
    <w:p>
      <w:pPr>
        <w:spacing w:after="0" w:line="144"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Fluence, working with third -party financial partners, including Siemens Financial Services, offers financing structuring services to customers. For instance, ESaaS enables customers to access the benefits of energy storage without upfront investment or technical expertise.</w:t>
      </w:r>
    </w:p>
    <w:p>
      <w:pPr>
        <w:spacing w:after="0" w:line="114"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We are continuously innovating new service offerings for our customers, including providing support for Fluence products, services, and digital applications to channel partners such as Siemens.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Digital Applications and Solutions</w:t>
      </w:r>
    </w:p>
    <w:p>
      <w:pPr>
        <w:spacing w:after="0" w:line="15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Our team is continuously expanding the digital applications we offer to customers. Those applications may include internally developed applications as well as third-party applications offered through the Fluence IQ Digital Platform.</w:t>
      </w:r>
    </w:p>
    <w:p>
      <w:pPr>
        <w:spacing w:after="0" w:line="10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Our proprietary operations platform, Fluence OS, enables asset owners to manage storage system operations according to pre-set modes and access real-time information through cloud-based data. It is an integral part of all our energy storage product sales. Fluence IQ encompasses proprietary artificial intelligence and data science technologies to enable the advanced capabilities of our digital applications. Fluence IQ leverages terabytes of data gathered from Fluence OS and external sources to inform price forecasting, anomaly detection, and system size optimization. Fluence OS controls software enables Fluence energy storage products to deliver critical grid services such as primary frequency regulation, secondary frequency response, fast frequency response, peak shaving, voltage regulation, power factor regulation, non-spinning reserves, capacity peak power, solar energy time-shifting, firm solar export, energy arbitrage, and more. Fluence also delivers stacking of grid services, allowing storage assets to perform multiple services simultaneously and increase revenue-generating opportunities. In addition to Fluence OS, we offer specialized digital applications, such as the Fluence Bidding Application.</w:t>
      </w:r>
    </w:p>
    <w:p>
      <w:pPr>
        <w:spacing w:after="0" w:line="116"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The Fluence Bidding Application, which we acquired from AMS in 2020, is a leading artificial intelligence-enabled bidding software for utility-scale storage and renewable and conventional generation assets, enabling customers to optimize asset trading in wholesale electricity markets. That leadership is demonstrated by the fact that it has been selected by one customer for deployment in the California market to optimize a system acquired from a Fluence competitor. In addition, it is currently used to optimize approximately 20% of all the utility-scale wind and solar assets bidding into Australia’s National Electricity Market (“NEM”), including one of the largest solar farms in the country. One of the goals of the AMS</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39"/>
        <w:spacing w:after="0" w:line="291" w:lineRule="auto"/>
        <w:rPr>
          <w:sz w:val="20"/>
          <w:szCs w:val="20"/>
          <w:color w:val="auto"/>
        </w:rPr>
      </w:pPr>
      <w:r>
        <w:rPr>
          <w:rFonts w:ascii="Arial" w:cs="Arial" w:eastAsia="Arial" w:hAnsi="Arial"/>
          <w:sz w:val="17"/>
          <w:szCs w:val="17"/>
          <w:color w:val="auto"/>
        </w:rPr>
        <w:t>acquisition is to combine Fluence’s insights from deep experience operating energy storage products globally with the Fluence Bidding Application’s optimized market participation capabilities.</w:t>
      </w:r>
    </w:p>
    <w:p>
      <w:pPr>
        <w:spacing w:after="0" w:line="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Fluence Bidding Application provides energy traders with a range of optimization solutions:</w:t>
      </w:r>
    </w:p>
    <w:p>
      <w:pPr>
        <w:spacing w:after="0" w:line="117" w:lineRule="exact"/>
        <w:rPr>
          <w:sz w:val="20"/>
          <w:szCs w:val="20"/>
          <w:color w:val="auto"/>
        </w:rPr>
      </w:pPr>
    </w:p>
    <w:p>
      <w:pPr>
        <w:ind w:left="1800" w:right="439" w:hanging="180"/>
        <w:spacing w:after="0" w:line="308" w:lineRule="auto"/>
        <w:tabs>
          <w:tab w:leader="none" w:pos="180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Advanced Price Prediction: </w:t>
      </w:r>
      <w:r>
        <w:rPr>
          <w:rFonts w:ascii="Arial" w:cs="Arial" w:eastAsia="Arial" w:hAnsi="Arial"/>
          <w:sz w:val="17"/>
          <w:szCs w:val="17"/>
          <w:color w:val="auto"/>
        </w:rPr>
        <w:t>State-of-the-art machine learning techniques, producing an ensemble of</w:t>
      </w:r>
      <w:r>
        <w:rPr>
          <w:rFonts w:ascii="Arial" w:cs="Arial" w:eastAsia="Arial" w:hAnsi="Arial"/>
          <w:sz w:val="17"/>
          <w:szCs w:val="17"/>
          <w:i w:val="1"/>
          <w:iCs w:val="1"/>
          <w:color w:val="auto"/>
        </w:rPr>
        <w:t xml:space="preserve"> </w:t>
      </w:r>
      <w:r>
        <w:rPr>
          <w:rFonts w:ascii="Arial" w:cs="Arial" w:eastAsia="Arial" w:hAnsi="Arial"/>
          <w:sz w:val="17"/>
          <w:szCs w:val="17"/>
          <w:color w:val="auto"/>
        </w:rPr>
        <w:t>price forecasts (P10 to P90) for each product across day-ahead and real-time markets;</w:t>
      </w:r>
    </w:p>
    <w:p>
      <w:pPr>
        <w:spacing w:after="0" w:line="11" w:lineRule="exact"/>
        <w:rPr>
          <w:rFonts w:ascii="Arial" w:cs="Arial" w:eastAsia="Arial" w:hAnsi="Arial"/>
          <w:sz w:val="17"/>
          <w:szCs w:val="17"/>
          <w:color w:val="auto"/>
        </w:rPr>
      </w:pPr>
    </w:p>
    <w:p>
      <w:pPr>
        <w:ind w:left="1800" w:right="579" w:hanging="180"/>
        <w:spacing w:after="0" w:line="263"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Optimized Bidding: </w:t>
      </w:r>
      <w:r>
        <w:rPr>
          <w:rFonts w:ascii="Arial" w:cs="Arial" w:eastAsia="Arial" w:hAnsi="Arial"/>
          <w:sz w:val="18"/>
          <w:szCs w:val="18"/>
          <w:color w:val="auto"/>
        </w:rPr>
        <w:t>Stochastic optimization that captures technical constraints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to produce bids across energy and ancillary services in day-ahead and real-time markets; and</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Automated Trading</w:t>
      </w:r>
      <w:r>
        <w:rPr>
          <w:rFonts w:ascii="Arial" w:cs="Arial" w:eastAsia="Arial" w:hAnsi="Arial"/>
          <w:sz w:val="18"/>
          <w:szCs w:val="18"/>
          <w:color w:val="auto"/>
        </w:rPr>
        <w:t>: System-generated complete bid files (with option for customer override) for</w:t>
      </w:r>
      <w:r>
        <w:rPr>
          <w:rFonts w:ascii="Arial" w:cs="Arial" w:eastAsia="Arial" w:hAnsi="Arial"/>
          <w:sz w:val="18"/>
          <w:szCs w:val="18"/>
          <w:i w:val="1"/>
          <w:iCs w:val="1"/>
          <w:color w:val="auto"/>
        </w:rPr>
        <w:t xml:space="preserve"> </w:t>
      </w:r>
      <w:r>
        <w:rPr>
          <w:rFonts w:ascii="Arial" w:cs="Arial" w:eastAsia="Arial" w:hAnsi="Arial"/>
          <w:sz w:val="18"/>
          <w:szCs w:val="18"/>
          <w:color w:val="auto"/>
        </w:rPr>
        <w:t>seamless transmission to market operators and real-time review of market results.</w:t>
      </w:r>
    </w:p>
    <w:p>
      <w:pPr>
        <w:spacing w:after="0" w:line="10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Our Bidding Application is technology-agnostic (it can be applied to wind and solar assets as well as energy storage assets) and vendor-agnostic (it is available to optimize non -Fluence storage products), and is delivered using cloud-based software-as-a-service, avoiding requirements for onsite hardware or software installations. Our pricing strategy is based on a volume- based subscription fee with the ability to start with a smaller scale and increase the number of assets covered by the software as customers build out their fleets, along with the potential for performance-based revenue-sharing structures.</w:t>
      </w:r>
    </w:p>
    <w:p>
      <w:pPr>
        <w:spacing w:after="0" w:line="9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Fluence Bidding Application analyzes thousands of variables to provide leading price forecasting and optimization using proprietary machine learning algorithms. The resulting market -compliant bids can increase revenue for wind and solar asset owners by up to 10%, and up to 25-30% for energy storage asset owners over a 12- month period compared to manual trading. The Percent of Perfect Foresight (“PoP”) metric helps asset owners evaluate the performance of an algorithmic trading approach by comparing it with the maximum revenue an asset could have attained if it had perfect knowledge of actual market prices (i.e., “perfect foresight”). The Fluence Bidding Application has delivered up to 90% PoP to customers in Australia’s NEM.</w:t>
      </w:r>
    </w:p>
    <w:p>
      <w:pPr>
        <w:spacing w:after="0" w:line="12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To protect the Fluence OS and Fluence IQ, we employ enterprise -class network security, with firewall software monitoring and controlling all local network traffic. Secure, role-based user access is done via a virtual private network (“VPN”) with multi-factor authentication and 256-bit encryption. High-grade, Advanced Encryption Standard 256-bit encryption is used to protect all data in transit from local systems to the VPC. Data in transit takes place over secure, site-to- site VPN tunnels. A secure, logically isolated cloud environment uses restrictive firewall and security group rules to limit connectivity within the VPC. All external access to the cloud is done using VPN with multi-factor authentication.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1322705</wp:posOffset>
            </wp:positionH>
            <wp:positionV relativeFrom="paragraph">
              <wp:posOffset>97155</wp:posOffset>
            </wp:positionV>
            <wp:extent cx="4174490" cy="27432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17449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To protect the Fluence Bidding Application, we employ similar network security measures, complete with firewall software monitoring, strict network environment partitioning, and encrypted traffic between all systems. Our authorization and authentication solution leverages the industry standard provider Auth0, requires multi-factor authentication and strong password requirements for all users, and contains monitoring, alerting, and limiting to ensure resiliency against concentrated attacks and immediate knowledge of inappropriate access. Data in transit takes place over secure site-to-site VPN tunnels and SSL/TLS. Services deployed in logically isolated cloud environments are separated using strict network partitioning and are not accessible to the internet except for specific bastion nodes. All external access to the cloud is done using either VPN with multi-factor authentication or secure public/private key Secure Shell Protocol.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We believe the following key strengths have enabled us to become a leading provider of energy storage products, services, and digital applications, positioning us to continue to capture future market opportunities:</w:t>
      </w:r>
    </w:p>
    <w:p>
      <w:pPr>
        <w:spacing w:after="0" w:line="74" w:lineRule="exact"/>
        <w:rPr>
          <w:sz w:val="20"/>
          <w:szCs w:val="20"/>
          <w:color w:val="auto"/>
        </w:rPr>
      </w:pPr>
    </w:p>
    <w:p>
      <w:pPr>
        <w:ind w:left="1800" w:right="439" w:hanging="180"/>
        <w:spacing w:after="0" w:line="269"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Incumbent position with global track record of success. </w:t>
      </w:r>
      <w:r>
        <w:rPr>
          <w:rFonts w:ascii="Arial" w:cs="Arial" w:eastAsia="Arial" w:hAnsi="Arial"/>
          <w:sz w:val="17"/>
          <w:szCs w:val="17"/>
          <w:color w:val="auto"/>
        </w:rPr>
        <w:t>We are one of the largest providers of energy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storage products globally, with 1.0 GW of energy storage assets deployed and 2.7 GW contracted backlog, and a track record of 13 years of experience from our predecessor companies. We have a presence across 29 markets and supplied the first battery-based energy storage products in 18 of those markets. Additionally, as of September 30, 2021, we had an aggregate of 3.1 GW of renewable energy assets using the Fluence Bidding Application and 1.6 GW of contracted backlog related to renewable and energy storage assets. Moreover, through Fluence OS, we have access to hundreds of thousands of hours of cumulative energy storage system operating history, with over 290 terabytes of data on operation and performance as of June 30, 2021. This data enables us to optimize our asset base, dispatching them to maximize economics, reduce operational costs, extend useful lives, and deliver critical grid services when needed.</w:t>
      </w:r>
    </w:p>
    <w:p>
      <w:pPr>
        <w:spacing w:after="0" w:line="73" w:lineRule="exact"/>
        <w:rPr>
          <w:rFonts w:ascii="Arial" w:cs="Arial" w:eastAsia="Arial" w:hAnsi="Arial"/>
          <w:sz w:val="17"/>
          <w:szCs w:val="17"/>
          <w:color w:val="auto"/>
        </w:rPr>
      </w:pPr>
    </w:p>
    <w:p>
      <w:pPr>
        <w:ind w:left="1800" w:right="419" w:hanging="180"/>
        <w:spacing w:after="0" w:line="270"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Disruptive digital and software products. </w:t>
      </w:r>
      <w:r>
        <w:rPr>
          <w:rFonts w:ascii="Arial" w:cs="Arial" w:eastAsia="Arial" w:hAnsi="Arial"/>
          <w:sz w:val="17"/>
          <w:szCs w:val="17"/>
          <w:color w:val="auto"/>
        </w:rPr>
        <w:t>Fluence uses multi-layered design of edge and cloud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including Fluence OS and Fluence IQ, to transform hardware into digital assets with extensive market and grid services, such as the Fluence Bidding Application. Our dedicated Fluence Digital team is focused on developing and commercializing additional cloud-based digital application using optimization, AI-driven predictive analytics, and software to address the challenges customers face when participating in complex energy markets. We have delivered our digital products using a software-as-a-service business model suitable to Fluence’s growth plan. We are evolving to a platform-as-a-service to allow customers to implement their own propriety applications on Fluence’s digital platform to flexibly serve their growing needs across global energy markets.</w:t>
      </w:r>
    </w:p>
    <w:p>
      <w:pPr>
        <w:spacing w:after="0" w:line="59" w:lineRule="exact"/>
        <w:rPr>
          <w:rFonts w:ascii="Arial" w:cs="Arial" w:eastAsia="Arial" w:hAnsi="Arial"/>
          <w:sz w:val="17"/>
          <w:szCs w:val="17"/>
          <w:color w:val="auto"/>
        </w:rPr>
      </w:pPr>
    </w:p>
    <w:p>
      <w:pPr>
        <w:ind w:left="1800" w:right="479" w:hanging="180"/>
        <w:spacing w:after="0" w:line="270"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 installed base enables cross-selling and incremental revenue streams. </w:t>
      </w:r>
      <w:r>
        <w:rPr>
          <w:rFonts w:ascii="Arial" w:cs="Arial" w:eastAsia="Arial" w:hAnsi="Arial"/>
          <w:sz w:val="17"/>
          <w:szCs w:val="17"/>
          <w:color w:val="auto"/>
        </w:rPr>
        <w:t>Our installed base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captive market for repeat customers and high-margin follow-on service and digital opportunities, as we are best positioned to provide tailored, value-maximizing solutions for our own products. The majority of our customers adopt energy storage as a new asset class and return for subsequent products purchases. We believe our substantial base of customers and data enables cross-selling of our service and digital offerings. Conversely, digital applications sold to non-Fluence energy storage product customers can enable energy storage product cross-sales. By deploying learnings from our digital application customers to develop offerings that meet their business needs, we believe we can create opportunities to convert them into system owners.</w:t>
      </w:r>
    </w:p>
    <w:p>
      <w:pPr>
        <w:spacing w:after="0" w:line="72" w:lineRule="exact"/>
        <w:rPr>
          <w:rFonts w:ascii="Arial" w:cs="Arial" w:eastAsia="Arial" w:hAnsi="Arial"/>
          <w:sz w:val="17"/>
          <w:szCs w:val="17"/>
          <w:color w:val="auto"/>
        </w:rPr>
      </w:pPr>
    </w:p>
    <w:p>
      <w:pPr>
        <w:ind w:left="1800" w:right="419" w:hanging="180"/>
        <w:spacing w:after="0" w:line="271"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supply chain and technology partnerships. </w:t>
      </w:r>
      <w:r>
        <w:rPr>
          <w:rFonts w:ascii="Arial" w:cs="Arial" w:eastAsia="Arial" w:hAnsi="Arial"/>
          <w:sz w:val="17"/>
          <w:szCs w:val="17"/>
          <w:color w:val="auto"/>
        </w:rPr>
        <w:t>We have developed a global supply chain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evolving regionally focused operational model with the objective of assembling products near project sites and partnering with innovative suppliers. For example, we recently signed a technology co-development and supply agreement with Northvolt that expands our battery supply chain into Europe and allows us to develop, manufacture, and commercialize an optimized battery subsystem that is significantly more energy dense than today’s standard solutions. The agreement also enables us to deploy a battery management system that we can integrate with other vendors to extend our value chain, develop battery competencies, and lower total cost of ownership.</w:t>
      </w:r>
    </w:p>
    <w:p>
      <w:pPr>
        <w:spacing w:after="0" w:line="70" w:lineRule="exact"/>
        <w:rPr>
          <w:rFonts w:ascii="Arial" w:cs="Arial" w:eastAsia="Arial" w:hAnsi="Arial"/>
          <w:sz w:val="17"/>
          <w:szCs w:val="17"/>
          <w:color w:val="auto"/>
        </w:rPr>
      </w:pPr>
    </w:p>
    <w:p>
      <w:pPr>
        <w:ind w:left="1800" w:right="499" w:hanging="180"/>
        <w:spacing w:after="0" w:line="286"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Battery technology-agnostic. </w:t>
      </w:r>
      <w:r>
        <w:rPr>
          <w:rFonts w:ascii="Arial" w:cs="Arial" w:eastAsia="Arial" w:hAnsi="Arial"/>
          <w:sz w:val="17"/>
          <w:szCs w:val="17"/>
          <w:color w:val="auto"/>
        </w:rPr>
        <w:t>Our energy storage products are designed to work with many types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batteries, and we have established partnerships with the leading battery manufacturers around the world, with approximately 20 GWh of contracted battery supply expected through 2024. As a result,</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79"/>
        <w:spacing w:after="0" w:line="259" w:lineRule="auto"/>
        <w:rPr>
          <w:sz w:val="20"/>
          <w:szCs w:val="20"/>
          <w:color w:val="auto"/>
        </w:rPr>
      </w:pPr>
      <w:r>
        <w:rPr>
          <w:rFonts w:ascii="Arial" w:cs="Arial" w:eastAsia="Arial" w:hAnsi="Arial"/>
          <w:sz w:val="18"/>
          <w:szCs w:val="18"/>
          <w:color w:val="auto"/>
        </w:rPr>
        <w:t>we do not believe we are exposed to significant risk from changes in battery technology or shifts in market share between different manufacturers. Our sixth-generation product line, as well as our earlier product lines, can take advantage of current and next-generation lithium-ion and lithium batteries (e.g. solid state).</w:t>
      </w:r>
    </w:p>
    <w:p>
      <w:pPr>
        <w:spacing w:after="0" w:line="79" w:lineRule="exact"/>
        <w:rPr>
          <w:sz w:val="20"/>
          <w:szCs w:val="20"/>
          <w:color w:val="auto"/>
        </w:rPr>
      </w:pPr>
    </w:p>
    <w:p>
      <w:pPr>
        <w:ind w:left="1800" w:right="699" w:hanging="180"/>
        <w:spacing w:after="0" w:line="273"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management team with extensive energy storage experience. </w:t>
      </w:r>
      <w:r>
        <w:rPr>
          <w:rFonts w:ascii="Arial" w:cs="Arial" w:eastAsia="Arial" w:hAnsi="Arial"/>
          <w:sz w:val="17"/>
          <w:szCs w:val="17"/>
          <w:color w:val="auto"/>
        </w:rPr>
        <w:t>We believe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assembled one of the most experienced management teams in the energy storage sector, with over 200 years of aggregate industry experience and a proven track-record of managing high-growth, international operations for global industrial and technology companies. Members of our management and Board were on the team that conceived and tested the first ever grid-connected lithium-ion energy storage products and sold the world’s first commercial system.</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We intend to leverage our global scale, technology leadership, and market share position to help transform the way we power our world for a more sustainable future. Some key elements of our growth strategy include:</w:t>
      </w:r>
    </w:p>
    <w:p>
      <w:pPr>
        <w:spacing w:after="0" w:line="89" w:lineRule="exact"/>
        <w:rPr>
          <w:sz w:val="20"/>
          <w:szCs w:val="20"/>
          <w:color w:val="auto"/>
        </w:rPr>
      </w:pPr>
    </w:p>
    <w:p>
      <w:pPr>
        <w:ind w:left="1800" w:right="719" w:hanging="180"/>
        <w:spacing w:after="0" w:line="293" w:lineRule="auto"/>
        <w:tabs>
          <w:tab w:leader="none" w:pos="180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energy products, services, and digital applications packaged into solutions that solve customers’ energy challenges. </w:t>
      </w:r>
      <w:r>
        <w:rPr>
          <w:rFonts w:ascii="Arial" w:cs="Arial" w:eastAsia="Arial" w:hAnsi="Arial"/>
          <w:sz w:val="16"/>
          <w:szCs w:val="16"/>
          <w:color w:val="auto"/>
        </w:rPr>
        <w:t>Our close relationships with customers and our market intimacy informs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and software product development and service offerings and enables us to continually expand use cases for energy storage on the grid. Our technology addresses customers’ existing energy challenges and we are committed to continuing to push the edge of innovation for grid modernization and decarbonization as our customers’ business models evolve.</w:t>
      </w:r>
    </w:p>
    <w:p>
      <w:pPr>
        <w:spacing w:after="0" w:line="56" w:lineRule="exact"/>
        <w:rPr>
          <w:rFonts w:ascii="Arial" w:cs="Arial" w:eastAsia="Arial" w:hAnsi="Arial"/>
          <w:sz w:val="16"/>
          <w:szCs w:val="16"/>
          <w:color w:val="auto"/>
        </w:rPr>
      </w:pPr>
    </w:p>
    <w:p>
      <w:pPr>
        <w:ind w:left="1800" w:right="659" w:hanging="180"/>
        <w:spacing w:after="0" w:line="25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competitive advantage of productization and manufacturing. </w:t>
      </w:r>
      <w:r>
        <w:rPr>
          <w:rFonts w:ascii="Arial" w:cs="Arial" w:eastAsia="Arial" w:hAnsi="Arial"/>
          <w:sz w:val="18"/>
          <w:szCs w:val="18"/>
          <w:color w:val="auto"/>
        </w:rPr>
        <w:t>We aim to create an optimized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organization, develop mass manufacturing facilities globally, and continue to secure partnerships with key battery suppliers. We believe that enhancing our product-focused model and supply chain leverage will support our global growth objectives and result in superior unit economics.</w:t>
      </w:r>
    </w:p>
    <w:p>
      <w:pPr>
        <w:spacing w:after="0" w:line="79" w:lineRule="exact"/>
        <w:rPr>
          <w:rFonts w:ascii="Arial" w:cs="Arial" w:eastAsia="Arial" w:hAnsi="Arial"/>
          <w:sz w:val="18"/>
          <w:szCs w:val="18"/>
          <w:color w:val="auto"/>
        </w:rPr>
      </w:pPr>
    </w:p>
    <w:p>
      <w:pPr>
        <w:ind w:left="1800" w:right="459" w:hanging="180"/>
        <w:spacing w:after="0" w:line="273" w:lineRule="auto"/>
        <w:tabs>
          <w:tab w:leader="none" w:pos="180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Optimize sales channels and market segmentation with a regionalized model. </w:t>
      </w:r>
      <w:r>
        <w:rPr>
          <w:rFonts w:ascii="Arial" w:cs="Arial" w:eastAsia="Arial" w:hAnsi="Arial"/>
          <w:sz w:val="17"/>
          <w:szCs w:val="17"/>
          <w:color w:val="auto"/>
        </w:rPr>
        <w:t>We are focused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expanding standardized offerings that are optimized for each of our sales channels. Having customizable packages for geographic and market segments streamlines product procurement for our customers, improves our sales cycle, enhances our ability to scale, and supports our margin expansion. We are also moving to a more localized, regional organizational structure to better support customers and sales channels, improve logistics, and enhance market focus.</w:t>
      </w:r>
    </w:p>
    <w:p>
      <w:pPr>
        <w:spacing w:after="0" w:line="69" w:lineRule="exact"/>
        <w:rPr>
          <w:rFonts w:ascii="Arial" w:cs="Arial" w:eastAsia="Arial" w:hAnsi="Arial"/>
          <w:sz w:val="17"/>
          <w:szCs w:val="17"/>
          <w:color w:val="auto"/>
        </w:rPr>
      </w:pPr>
    </w:p>
    <w:p>
      <w:pPr>
        <w:ind w:left="1800" w:right="459" w:hanging="180"/>
        <w:spacing w:after="0" w:line="253"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sponsor relationships to accelerate global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partnerships with AES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Siemens provide built-in and growing customer bases and an international sales channel. AES is one of the world’s leading power companies, with operations focused on generating and distributing electric power in 14 countries, while Siemens is a technology powerhouse with a sales and delivery presence in 200 countries. We have benefited from AES’ clean energy project development expertise and position as an anchor customer, as well as Siemens’ global sales channels and deep customer relationships. In addition, in 2021, QIA became a strategic sponsor with its investment through QFH that may help position us to form relationships with additional technology partners, customers, and suppliers.</w:t>
      </w:r>
    </w:p>
    <w:p>
      <w:pPr>
        <w:spacing w:after="0" w:line="88"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services with additional value-add offerings. </w:t>
      </w:r>
      <w:r>
        <w:rPr>
          <w:rFonts w:ascii="Arial" w:cs="Arial" w:eastAsia="Arial" w:hAnsi="Arial"/>
          <w:sz w:val="18"/>
          <w:szCs w:val="18"/>
          <w:color w:val="auto"/>
        </w:rPr>
        <w:t>Our delivery and operational service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the diverse needs of our customers in different markets around the world. We intend to build and expand our portfolio of service offerings, including system upgrades, analysis, performance assurance, risk management products, and software support, using data-driven insights generated from our large installed base of energy storage products.</w:t>
      </w:r>
    </w:p>
    <w:p>
      <w:pPr>
        <w:spacing w:after="0" w:line="79"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Accelerate the deployment of the Fluence Bidding Application and develop new Fluence IQ digital applications. </w:t>
      </w:r>
      <w:r>
        <w:rPr>
          <w:rFonts w:ascii="Arial" w:cs="Arial" w:eastAsia="Arial" w:hAnsi="Arial"/>
          <w:sz w:val="18"/>
          <w:szCs w:val="18"/>
          <w:color w:val="auto"/>
        </w:rPr>
        <w:t>Our digital offerings enable renewable and energy storage asset owners to solve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complexities of power system dispatch on a grid that remains dependent on out-of-date infrastructure and inefficient tools. We are focused on making the Fluence Bidding Application available in more markets while expanding our breadth of digital application offerings, including integrated solutions for specific customer segments and new asset classes.</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55"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Incubate innovative business models. </w:t>
      </w:r>
      <w:r>
        <w:rPr>
          <w:rFonts w:ascii="Arial" w:cs="Arial" w:eastAsia="Arial" w:hAnsi="Arial"/>
          <w:sz w:val="18"/>
          <w:szCs w:val="18"/>
          <w:color w:val="auto"/>
        </w:rPr>
        <w:t>As a market leader in energy storage and renewable bidding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optimization, we are uniquely positioned to pioneer new use cases and customer offerings as the market evolves. We continue to explore disruptive digitally driven business models, including ESaaS, wide-ranging dynamic capacity, virtual storage, asset- and revenue-sharing models, and other offerings that will reinforce our position as a leading provider of comprehensive solutions to support the clean energy transition.</w:t>
      </w:r>
    </w:p>
    <w:p>
      <w:pPr>
        <w:spacing w:after="0" w:line="84" w:lineRule="exact"/>
        <w:rPr>
          <w:rFonts w:ascii="Arial" w:cs="Arial" w:eastAsia="Arial" w:hAnsi="Arial"/>
          <w:sz w:val="18"/>
          <w:szCs w:val="18"/>
          <w:color w:val="auto"/>
        </w:rPr>
      </w:pPr>
    </w:p>
    <w:p>
      <w:pPr>
        <w:ind w:left="1800" w:right="439" w:hanging="180"/>
        <w:spacing w:after="0" w:line="275" w:lineRule="auto"/>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acquire and successfully integrate companies. </w:t>
      </w:r>
      <w:r>
        <w:rPr>
          <w:rFonts w:ascii="Arial" w:cs="Arial" w:eastAsia="Arial" w:hAnsi="Arial"/>
          <w:sz w:val="17"/>
          <w:szCs w:val="17"/>
          <w:color w:val="auto"/>
        </w:rPr>
        <w:t>We have a demonstrated track record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successfully acquiring and integrating companies, and believe we have the operational structure in place to achieve synergies and capture cross-selling opportunities. For example, within eight months of acquiring AMS, we had fully integrated the team and technology into Fluence and grown adoption of the Fluence Bidding Application software by 1.7 GW.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Industry Recognition</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 xml:space="preserve">Guidehouse Consulting has ranked us as the leading energy storage system provider since our inception, based on factors including vision, go-to-market strategy, product performance, technology, and execution. Our numerous awards also include being ranked the leading global utility-scale energy storage systems integrator by Navigant in 2018 and the largest energy storage system integrator in a 2021 report by Clean Horizon, and winning Best Commercial Technology of the Year at the 2020 </w:t>
      </w:r>
      <w:r>
        <w:rPr>
          <w:rFonts w:ascii="Arial" w:cs="Arial" w:eastAsia="Arial" w:hAnsi="Arial"/>
          <w:sz w:val="18"/>
          <w:szCs w:val="18"/>
          <w:i w:val="1"/>
          <w:iCs w:val="1"/>
          <w:color w:val="auto"/>
        </w:rPr>
        <w:t>S&amp;P Global Platts</w:t>
      </w:r>
      <w:r>
        <w:rPr>
          <w:rFonts w:ascii="Arial" w:cs="Arial" w:eastAsia="Arial" w:hAnsi="Arial"/>
          <w:sz w:val="18"/>
          <w:szCs w:val="18"/>
          <w:color w:val="auto"/>
        </w:rPr>
        <w:t xml:space="preserve"> Global Energy Awards.</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Additional awards include:</w:t>
      </w:r>
    </w:p>
    <w:p>
      <w:pPr>
        <w:spacing w:after="0" w:line="117" w:lineRule="exact"/>
        <w:rPr>
          <w:sz w:val="20"/>
          <w:szCs w:val="20"/>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Fast Company’s Most Innovative Companies Award, Energy Category (2019 and 2021)</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Frost &amp; Sullivan, 2021 Global Grid Battery Energy Storage Product Leadership Award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2020 Green Power Leadership Awards, International Green Power Market Development</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DistribuTECH 2017 Project Awards, Grid Optimization Winner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2017 Energy Storage North America Innovation Award, SDG&amp;E Expedited Energy Storage Project</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Edison Awards 2012, 2016 International category and 2021, US Category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2014 ESA Outstanding Industry Award</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Product Offering Roadmap and Philosophy</w:t>
      </w:r>
    </w:p>
    <w:p>
      <w:pPr>
        <w:spacing w:after="0" w:line="162"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Our products reflect the innovation and engineering capabilities of our people. Our product roadmap is rooted in delivering value to the customer through differentiated products and services designed to solve their energy challenges. Products and services are built on and enhanced by our digital capabilities.</w:t>
      </w:r>
    </w:p>
    <w:p>
      <w:pPr>
        <w:spacing w:after="0" w:line="84"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Continuously creating new market applications (such as storage as a transmission asset and virtual dams) and business models that open new opportunities for energy storage are at the heart of our product development philosophy. Our product philosophy is also based on a strong belief in standardizing, mass manufacturing, and continuously optimizing core elements of our products while simultaneously aggregating different offerings into customized packages to provide a unique customer experience. Third-party services and digital applications from strategic partners can also be included in the packages. We have been consistently at the forefront of innovating customer applications by packaging our capabilities into new offerings that deliver valuable grid services not previously offered through energy storage.</w:t>
      </w:r>
    </w:p>
    <w:p>
      <w:pPr>
        <w:spacing w:after="0" w:line="111"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In addition, we are developing improvements to our product offerings to reduce costs and promote a product-based sales approach in which the customer can choose products from a determined portfolio of feature, service, and digital application options.</w:t>
      </w:r>
    </w:p>
    <w:p>
      <w:pPr>
        <w:spacing w:after="0" w:line="116"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We are also planning to introduce improvements and additional functionality to our digital applications, enabling customers to select an optimized set of features to fit their needs. Developing new digital capabilities and applications enables us to innovate new business models, like virtual power plants or structuring an ESaaS offering to support a faster and more efficient clean energy transition.</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addition to the existing Fluence Bidding Application, we plan to develop a suite of market- agnostic Fluence IQ digital applications that will increase our addressable market by accelerating our entry into U.S. regulated power markets, expanding our existing presence in U.S. wholesale power markets, and enabling our entry into wholesale power markets in Europe and Asia. This includes potentially incorporating carbon optimization into digital applications such as a bidding app, a dispatch app, a manage app and an invest app that can be modified by the customer for any organized market and any renewable asset type. As the clean energy transition continues to evolve, we believe we can provide Fluence solutions to support emerging customer needs and business models.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7"/>
          <w:szCs w:val="17"/>
          <w:color w:val="auto"/>
        </w:rPr>
        <w:t>We have an established R&amp;D organization with centers in Arlington, VA, San Francisco, CA, and Erlangen, Germany. Our R&amp;D teams, with deep expertise in batteries, data science, industrial controls, mechanical and electrical engineering, and software development, are focused on building innovative new products, technologies, and digital applications. Our R&amp;D organization covers both core technology and product development (e.g., integrated storage products) as well as cutting -edge artificial intelligence and data science work to drive value-added digital and software applications. Fluence’s new organizational function—Fluence Next—is focused exclusively on assessing longer-term emerging and next-generation technologies that can enable the clean energy sector.</w:t>
      </w:r>
    </w:p>
    <w:p>
      <w:pPr>
        <w:spacing w:after="0" w:line="113"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Our development strategy is to identify products and features that bring value to our customers and differentiate us from our competitors. We evaluate and prioritize our R&amp;D initiatives beginning with defining market requirements, which includes customer research, a program budget, financial payback, resource requirements and time required to launch the new product, system, or service into the market. We employ a stringent engineering stage gate review process that ensures all R&amp;D programs are meeting their stated objectives from inception to deployment.</w:t>
      </w:r>
    </w:p>
    <w:p>
      <w:pPr>
        <w:spacing w:after="0" w:line="12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have a strong R&amp;D team consisting of 69 employees with significant experience not just in energy storage technology, but also in global energy markets and regulatory structures. As needed, we collaborate with academia, national laboratories, and consultants to further enhance our capabilities and confirm results independently.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Marketing, and Partnerships</w:t>
      </w:r>
    </w:p>
    <w:p>
      <w:pPr>
        <w:spacing w:after="0" w:line="148"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7"/>
          <w:szCs w:val="17"/>
          <w:color w:val="auto"/>
        </w:rPr>
        <w:t>Our sales and marketing strategy is to educate key stakeholders involved in procuring, building, owning, and maintaining energy storage products on the merits of our products, services, and data applications, including the benefits of greater configurability, reliability, data-driven intelligence, safety, operational flexibility, and cost advantages compared with competing products. To make our innovative solutions the preferred offerings globally, we conduct comprehensive analysis of market requirements and dynamics and develop in-depth customer segmentation to ensure we are focused on meeting precise needs of customers and pursuing optimal sales and marketing strategies in our target markets.</w:t>
      </w:r>
    </w:p>
    <w:p>
      <w:pPr>
        <w:spacing w:after="0" w:line="112"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We educate customers and stakeholders through a combination of multichannel and account-based marketing, thought leadership, educational whitepapers and webinars, independent third-party studies, training seminars, and participating in industry conferences and events. Fluence regularly engages in regulatory proceedings and helps drive policy and market reform to open new markets to energy storage participation.</w:t>
      </w:r>
    </w:p>
    <w:p>
      <w:pPr>
        <w:spacing w:after="0" w:line="122" w:lineRule="exact"/>
        <w:rPr>
          <w:sz w:val="20"/>
          <w:szCs w:val="20"/>
          <w:color w:val="auto"/>
        </w:rPr>
      </w:pPr>
    </w:p>
    <w:p>
      <w:pPr>
        <w:ind w:left="1260" w:right="479" w:firstLine="360"/>
        <w:spacing w:after="0" w:line="276" w:lineRule="auto"/>
        <w:rPr>
          <w:sz w:val="20"/>
          <w:szCs w:val="20"/>
          <w:color w:val="auto"/>
        </w:rPr>
      </w:pPr>
      <w:r>
        <w:rPr>
          <w:rFonts w:ascii="Arial" w:cs="Arial" w:eastAsia="Arial" w:hAnsi="Arial"/>
          <w:sz w:val="16"/>
          <w:szCs w:val="16"/>
          <w:color w:val="auto"/>
        </w:rPr>
        <w:t>As of May 31, 2021, the Fluence global sales team included 61 employees. We have dedicated regional sales teams to enable faster and more agile decision-making and a focus on region- and market-specific business objectives and customer needs. We also work with third-party sales channels, including Siemens. Our sales relationship is with Siemens Smart Infrastructure and its local sales organization in 200 countries. We have various sales models, including pass-through sales, consortium approaches, and sales support, and we provide channel support tools like sales collateral and in-depth training for our sales partners.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Customers</w:t>
      </w:r>
    </w:p>
    <w:p>
      <w:pPr>
        <w:spacing w:after="0" w:line="148"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We have deployed energy storage products in 29 markets on six continents. We sell our products to a wide range of customers around the world, including utilities / load-serving entities, independent power</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58" w:lineRule="auto"/>
        <w:rPr>
          <w:sz w:val="20"/>
          <w:szCs w:val="20"/>
          <w:color w:val="auto"/>
        </w:rPr>
      </w:pPr>
      <w:r>
        <w:rPr>
          <w:rFonts w:ascii="Arial" w:cs="Arial" w:eastAsia="Arial" w:hAnsi="Arial"/>
          <w:sz w:val="17"/>
          <w:szCs w:val="17"/>
          <w:color w:val="auto"/>
        </w:rPr>
        <w:t>producers, developers, conglomerates, and C&amp;I customers. In fiscal 2020, our five largest customers represented approximately 90% of our revenues. As of June 30, 2021, we had a gross global pipeline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13.3 GWs, and customers in the United States composed the largest portion of our gross global pipeline 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6.5 GWs or 49%, with the United Kingdom following at 1.7 GWs or 13%, and Australia at 0.7 GWs or 5%.</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Commitment to Responsible Environmental and Ethical Practices</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Our mission is to transform the way we power our world for a more sustainable future. We support the clean energy transition by enabling greater adoption of renewable energy and reduced use of thermal generation resources. Our offerings enable more sustainable, reliable, and resilient electric grids in a repeatable, scalable way.</w:t>
      </w:r>
    </w:p>
    <w:p>
      <w:pPr>
        <w:spacing w:after="0" w:line="120"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The AES Alamitos Battery Energy Storage System, which uses Fluence technology, exemplifies our commitment to sustainability. Providing 100 MW / 400 MWh of renewable energy storage to reduce California’s reliance on fossil fuels, it represents the first time in the U.S. that an energy storage product was procured as a peak capacity resource instead of natural gas. This system can provide enough energy to cleanly power 22,000 homes during peak conditions.</w:t>
      </w:r>
    </w:p>
    <w:p>
      <w:pPr>
        <w:spacing w:after="0" w:line="12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plan to report how we oversee and manage environmental, social, and governance (“ESG”) factors material to our business under the sector-specific ESG standards recommended by the Sustainability Accounting Standards Board (the “SASB”), including an annual sustainability report. As part of our plan to provide ESG disclosures pursuant to SASB standards, we will evaluate aligning our internal sustainability goals with certain United Nations Sustainable Development Goals. On an annualized basis, based on MW deployed as of May 2021, we estimate Fluence energy storage products have eliminated 145,000 metric tons of carbon per year that would have otherwise been produced—the equivalent of taking more than 30,000 cars off the road each year.</w:t>
      </w:r>
    </w:p>
    <w:p>
      <w:pPr>
        <w:spacing w:after="0" w:line="11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Our supplier code of conduct is at the core of our compliance expectations, and addresses environmental protection, child labor, conflict minerals, and anti-corruption, among other areas. In addition, we only purchase raw materials and minerals from trusted suppliers. In sourcing cobalt for example, we request that suppliers provide an official cobalt statement disclosing its origin, and we only buy cobalt battery chemistry from suppliers who are part of a sustainable cobalt sourcing initiative. In 2021, our supply chain sustainability coordinator engaged the Carbon Disclosure Project to conduct an audit of our supply chain’s carbon footprint.</w:t>
      </w:r>
    </w:p>
    <w:p>
      <w:pPr>
        <w:spacing w:after="0" w:line="123"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In addition, we are committed to implementing responsible environmental and ethical practices in our corporate offices as well as our supply chain. Our offices are internationally certified to ISO 14001, which requires an organization to implement and demonstrate compliance with an effective environmental management system to identify and control the environmental impact of its activities, products, and services; continually improve environmental performance; and implement a systematic approach to setting environmental objectives and targets.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Capital Management</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We believe our workforce is critical to our success and we strive to create a positive, equitable, and safe work environment. A survey of employees during the pandemic revealed that most people prefer to work remotely rather than in the office, so Fluence has moved to a 75% remote work policy permanently and offers employees a stipend for home office equipment. To create a culture of transparency, we maintain a regular cadence of communications from the executive leadership team to employees, including emails, quarterly all hands meetings, Q&amp;A sessions, and employee resource groups with executive sponsors.</w:t>
      </w:r>
    </w:p>
    <w:p>
      <w:pPr>
        <w:spacing w:after="0" w:line="94"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As of May 31, 2021, we had 379 full-time employees. None of our employees in the United States is represented by a labor union. As of May 31, 2021, approximately 64 of our employees in Germany were represented by a works council. We have not experienced any employment-related work stoppages, and we consider relations with our employees to be good.</w:t>
      </w:r>
    </w:p>
    <w:p>
      <w:pPr>
        <w:spacing w:after="0" w:line="12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Our purpose-driven culture has fostered a work environment in which employees feel supported, empowered to develop in their careers, and fulfilled in their work. Initiatives driven by this culture include a partnership with Inova through which we provide free professional and wellness services to employees and</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color w:val="auto"/>
        </w:rPr>
        <w:t>professional development courses made available to all employees. To assess and continually improve employee sentiment, we conduct regular employee surveys soliciting feedback on topics such as work/life balance, working remotely, career development, and mentorship.</w:t>
      </w:r>
    </w:p>
    <w:p>
      <w:pPr>
        <w:spacing w:after="0" w:line="103"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Fluence is internationally certified to ISO 9001, a quality management standard that ensures a commitment to customer satisfaction, purpose-driven leadership, and equitable involvement for all employees. Fluence is also internationally certified to ISO 45001, an occupational health and safety standard which requires certain proactive measures to ensure employee safety and reduce workplace risks. Fluence’s corporate headquarters is certified to SA8000, which demonstrates our commitment to the elimination of unethical and discriminatory labor practices, while affirming workers’ rights, livable wages, and treating all people with dignity.</w:t>
      </w:r>
    </w:p>
    <w:p>
      <w:pPr>
        <w:spacing w:after="0" w:line="127"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Fluence is committed to fostering a culture of diversity and inclusion that makes our employees feel safe and engaged. We have conducted trainings for hiring managers on how to avoid bias in the interview process, and formed a diversity and inclusion working group to identify and address areas for improvement. Our workforce includes citizens of 38 countries. Women represent 24% of our total workforce and 40% of our key corporate management roles.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Our manufacturing strategy is designed to meet our key objectives: limit capital-intensive and low value-added activities that can be outsourced to other companies; maintain a capital light business model; minimize labor content where possible; minimize the amount of assembly our customers are required to do at the site; and minimize material movement both from vendors to us and within factories.</w:t>
      </w:r>
    </w:p>
    <w:p>
      <w:pPr>
        <w:spacing w:after="0" w:line="90"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Mass manufacturing is a cornerstone of our product delivery approach and a key to driving down product cost and delivering at scale. We aim to create an optimized production organization, develop mass manufacturing capabilities globally through contract manufacturing, and continue to secure partnerships with key battery suppliers. We believe that enhancing our product-focused model and supply chain leverage will support our global growth objectives and result in superior unit economics.</w:t>
      </w:r>
    </w:p>
    <w:p>
      <w:pPr>
        <w:spacing w:after="0" w:line="12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have entered outsourcing contracts for the assembly and production of our Fluence Cube, which ship directly from our contract manufacturers to job sites or designated warehouses. By using regional contract manufacturers, we can drop ship products directly to our customers’ sites, which improves working capital turnover, quality, and inventory management. The Fluence Cube is currently manufactured in Asia, and we intend to expand manufacturing to sites in North America and Europe. As of July 31, 2021, Fluence has contracted approximately 1.2 GW of our sixth-generation products.</w:t>
      </w:r>
    </w:p>
    <w:p>
      <w:pPr>
        <w:spacing w:after="0" w:line="125"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We have developed a global supply chain with an evolving regionally focused operational model with the objective of allowing us to assemble products in proximity to major markets to minimize material movement, working capital investment, and costs of goods sold. Additionally, we believe that the volume of key components we purchase, such as lithium-ion batteries, provides us preferential pricing, terms, and availability from our suppliers, creating a competitive advantage. We recently entered into a technology co-development and supply agreement with Northvolt that expands our battery supply chain into Europe. Pursuant to this agreement, we have a license to develop, manufacture and commercialize an optimized battery subsystem that is significantly more energy dense than today’s standard solutions. The agreement also enables us to deploy as a battery management system that can be integrated with other vendors to extend our value chain, develop battery competencies, and lower total cost of ownership.</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The success of our business depends, in part, on our ability to maintain and protect our proprietary technologies, information, processes and know-how. We rely primarily on patent, trademark, copyright and trade secret laws, confidentiality agreements and procedures, and other contractual arrangements to protect our technology. Fluence also has a perpetual license (terminable in the event of an uncured material breach) to certain patents and other intellectual property that belong to AES and Siemens, including methods for cooling inverters, overvoltage protections, and transfer of large amounts of data (methodology).</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As of May 31, 2021, we had access to twenty-one patents and forty-eight patent applications filed by AES in the United States and multiple other countries, and five patents and eleven patent applications filed by Siemens in the United States and multiple other countries. In addition, as of May 31, 2021, we owned ninety-seven trademark registrations globally, one patent application pending for examination in the United States, and eleven domain name registrations. Many of our patents relate to product architecture, application algorithms, and renewable resource integration.</w:t>
      </w:r>
    </w:p>
    <w:p>
      <w:pPr>
        <w:spacing w:after="0" w:line="11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rely on trade secret protection and confidentiality agreements to safeguard our interests with respect to proprietary know-how and software that is not patented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spacing w:after="0" w:line="120"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We require our customers and business partners to enter into confidentiality agreements before we disclose any sensitive aspects of our technology or business plans.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We experience seasonality and typically see increased order intake in our third and fourth fiscal quarters, driven by demand in the Northern Hemisphere to install energy storage products before the summer of the following year. Combined third and fourth fiscal quarter order intake in fiscal 2019 and 2020 accounted for 80% or more of our total order intake each year. As a result, revenue recognition is typically stronger in our third and fourth fiscal quarters. Cash flows historically have been negative in our first and second fiscal quarters, neutral to positive in our third fiscal quarter, and positive in our fourth fiscal quarter. Our services and digital application offerings do not experience the same seasonality given their recurring nature. See “Recent Developments — Preliminary Fourth Quarter Results.”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Our products, services, and digital applications are highly specialized and specific to the clean energy industry. The unique expertise required to design these offerings as well as customers’ reluctance to try unproven products has confined the number of firms that produce such products to a relatively small number, particularly in the segments we are targeting. In addition, we are continuously engaging in developing new use cases and opening new market segments, which are often less contested.</w:t>
      </w:r>
    </w:p>
    <w:p>
      <w:pPr>
        <w:spacing w:after="0" w:line="10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Our principal competitors include Tesla and Wartsila, but competition varies by geography, grid service or customer segment. A key differentiator is our ability to identify customer needs and deliver customer-centric products, services, and use cases that can compete in the market either as packages or standalone offerings. We believe we compete favorably based on performance and value-creation, including low total cost of ownership, long-term reliability, varied service options, and convenient and efficient sales and delivery processes. We believe we are the current market leader in our space.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 and Compliance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Governments across the globe have announced policies to support the transition from fossil fuels to low-carbon forms of energy. For example, the United States recently rejoined the Paris Agreement, an international climate change agreement among almost 200 nations that calls for countries to set their own greenhouse gas (“GHG”) emissions targets and be transparent about the measures each country will use to achieve these targets, and proposed a tax incentive for standalone energy storage projects as part of President Biden’s American Jobs Plan. Internationally, the European Union has proposed legislation targeting achieving net-zero emissions by 2050, Australia announced a targeted two thirds reduction in the emissions intensity of its economy by 2030, and India pledged to achieve a 33 – 35% reduction in emissions intensity by 2030.</w:t>
      </w:r>
    </w:p>
    <w:p>
      <w:pPr>
        <w:spacing w:after="0" w:line="115" w:lineRule="exact"/>
        <w:rPr>
          <w:sz w:val="20"/>
          <w:szCs w:val="20"/>
          <w:color w:val="auto"/>
        </w:rPr>
      </w:pPr>
    </w:p>
    <w:p>
      <w:pPr>
        <w:ind w:left="1260" w:right="459" w:firstLine="360"/>
        <w:spacing w:after="0" w:line="311" w:lineRule="auto"/>
        <w:rPr>
          <w:sz w:val="20"/>
          <w:szCs w:val="20"/>
          <w:color w:val="auto"/>
        </w:rPr>
      </w:pPr>
      <w:r>
        <w:rPr>
          <w:rFonts w:ascii="Arial" w:cs="Arial" w:eastAsia="Arial" w:hAnsi="Arial"/>
          <w:sz w:val="16"/>
          <w:szCs w:val="16"/>
          <w:color w:val="auto"/>
        </w:rPr>
        <w:t>Current and future legislation or regulations that may be adopted to address climate change could make lower GHG-emitting energy sources, such as solar and wind, more desirable than higher GHG-emitting energy sources, such as coal and natural gas. As a result, such climate change regulatory and legislative</w:t>
      </w:r>
    </w:p>
    <w:p>
      <w:pPr>
        <w:sectPr>
          <w:pgSz w:w="11900" w:h="16838" w:orient="portrait"/>
          <w:cols w:equalWidth="0" w:num="1">
            <w:col w:w="9879"/>
          </w:cols>
          <w:pgMar w:left="580" w:top="131" w:right="1440" w:bottom="1440" w:gutter="0" w:footer="0" w:header="0"/>
        </w:sectPr>
      </w:pPr>
    </w:p>
    <w:p>
      <w:pPr>
        <w:spacing w:after="0" w:line="33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79"/>
        <w:spacing w:after="0" w:line="261" w:lineRule="auto"/>
        <w:rPr>
          <w:sz w:val="20"/>
          <w:szCs w:val="20"/>
          <w:color w:val="auto"/>
        </w:rPr>
      </w:pPr>
      <w:r>
        <w:rPr>
          <w:rFonts w:ascii="Arial" w:cs="Arial" w:eastAsia="Arial" w:hAnsi="Arial"/>
          <w:sz w:val="18"/>
          <w:szCs w:val="18"/>
          <w:color w:val="auto"/>
        </w:rPr>
        <w:t>initiatives with more stringent limitations on GHG emissions would potentially increase the demand for energy storage products.</w:t>
      </w:r>
    </w:p>
    <w:p>
      <w:pPr>
        <w:spacing w:after="0" w:line="90" w:lineRule="exact"/>
        <w:rPr>
          <w:sz w:val="20"/>
          <w:szCs w:val="20"/>
          <w:color w:val="auto"/>
        </w:rPr>
      </w:pPr>
    </w:p>
    <w:p>
      <w:pPr>
        <w:jc w:val="both"/>
        <w:ind w:left="1260" w:right="799" w:firstLine="360"/>
        <w:spacing w:after="0" w:line="270" w:lineRule="auto"/>
        <w:rPr>
          <w:sz w:val="20"/>
          <w:szCs w:val="20"/>
          <w:color w:val="auto"/>
        </w:rPr>
      </w:pPr>
      <w:r>
        <w:rPr>
          <w:rFonts w:ascii="Arial" w:cs="Arial" w:eastAsia="Arial" w:hAnsi="Arial"/>
          <w:sz w:val="17"/>
          <w:szCs w:val="17"/>
          <w:color w:val="auto"/>
        </w:rPr>
        <w:t>There are varying policy frameworks across the United States and abroad designed to support and accelerate adoption of clean and/or reliable distributed generation technologies. These policy initiatives come in the form of tax incentives, cash grants, performance incentives, and/or electric tariffs.</w:t>
      </w:r>
    </w:p>
    <w:p>
      <w:pPr>
        <w:spacing w:after="0" w:line="96"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Our energy storage products are currently installed or in delivery in Arizona, California, Colorado, Indiana, Maryland, Massachusetts, New York, New Jersey, North Carolina, Ohio, Pennsylvania, Texas, and West Virginia, each of which has its own enabling policy framework. Some states have utility procurement programs and/or renewable portfolio standards for which our technology is eligible. Many states, including California, Massachusetts, and New York, offer tax exemptions or other customer incentives. These policy provisions are subject to change.</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Although we generally are not regulated as a utility, federal, state, and local government statutes and regulations concerning electricity heavily influence the market for our product and services. These statutes and regulations often relate to electricity pricing, net metering, incentives, taxation, competition with utilities and the interconnection of customer-owned electricity generation. In the United States, governments continuously modify these statutes and regulations. Governments, often acting through state utility or public service commissions, change and adopt different rates for commercial (and residential) customers on a regular basis. These changes can have a positive or negative impact on our ability to deliver cost savings to customers for the purchase of electricity.</w:t>
      </w:r>
    </w:p>
    <w:p>
      <w:pPr>
        <w:spacing w:after="0" w:line="11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Several states have an energy storage mandate or policies designed to encourage the adoption of storage. For example, Virginia has a mandate for 3.1 GW of energy storage by 2035, California offers a cash rebate for storage installations through the Self Generation Incentive Program, and Massachusetts and New York offer performance-based financial incentives for storage. Storage installations also are supported in certain states by state public utility commission policies that require utilities to consider alternatives such as storage before they can build new generation. In February 2018, the Federal Energy Regulatory Commission (“FERC”) issued Order 841 directing regional transmission operators and independent system operators to remove barriers to the participation of storage in wholesale electricity markets and to establish rules to help ensure storage resources are compensated for the services they provide. An appeal of Order 841 filed by utility trade associations and other parties challenging the extent of FERC’s jurisdiction over storage resources connected to distribution systems (among other issues) is currently pending before the U.S. Court of Appeals for the D.C. Circuit. In September 2020, the FERC issued Order 2222 opening U.S. wholesale energy markets to aggregations of distributed energy resources like rooftop solar, “behind the meter” batteries and electric vehicles.</w:t>
      </w:r>
    </w:p>
    <w:p>
      <w:pPr>
        <w:spacing w:after="0" w:line="12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Energy storage products require interconnection agreements from the applicable authorities having jurisdiction to operate. In almost all cases, interconnection agreements are standard form agreements that have been pre-approved by the local public utility commission or other regulatory body with jurisdiction over interconnection agreements. As such, no additional regulatory approvals are typically required once interconnection agreements are signed.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Permits and Approvals</w:t>
      </w:r>
    </w:p>
    <w:p>
      <w:pPr>
        <w:spacing w:after="0" w:line="162"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Each of our installations or customer installations must be designed, constructed, and operated in compliance with applicable federal, state, and local regulations, codes, standards, guidelines, policies, and laws. To install and operate energy storage products on our platform, we, our customers, or our partners, as applicable, are required to obtain applicable permits and approvals from local authorities having jurisdiction to install energy storage products and to interconnect the products with the local electrical utility.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Incentives</w:t>
      </w:r>
    </w:p>
    <w:p>
      <w:pPr>
        <w:spacing w:after="0" w:line="148"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The U.S. Congress is considering a variety of proposals for tax incentives that will benefit the energy storage industry, including in the form of tax credits. IRS private letter ruling 201809003 clarified that energy storage is eligible for federal tax credits if charged primarily by qualifying renewable resources. In</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6" w:lineRule="auto"/>
        <w:rPr>
          <w:sz w:val="20"/>
          <w:szCs w:val="20"/>
          <w:color w:val="auto"/>
        </w:rPr>
      </w:pPr>
      <w:r>
        <w:rPr>
          <w:rFonts w:ascii="Arial" w:cs="Arial" w:eastAsia="Arial" w:hAnsi="Arial"/>
          <w:sz w:val="17"/>
          <w:szCs w:val="17"/>
          <w:color w:val="auto"/>
        </w:rPr>
        <w:t>December 2020, the U.S. Congress passed a spending bill that includes $35 billion in energy research and development programs, a two-year extension of the Investment Tax Credit (“ITC”) for solar power, a one-year extension of the Production Tax Credit for wind power projects, and an extension through 2025 for offshore wind tax credits. In June 2021, the White House announced that it will look into dramatically expanding U.S. production of lithium batteries, rare earth minerals, and semiconductors, and seek to stimulate demand for domestically manufactured batteries by expanding federal energy storage procurement, expanding the ITC to include stationary energy storage as a standalone resource, and instituting power transmission regulatory reform to support renewable power and stationary energy storage. Also in June, the Senate passed a $250 billion bipartisan technology and manufacturing bill whose provisions included: (i) provide $52 billion to support domestic semiconductor manufacturing; and</w:t>
      </w:r>
    </w:p>
    <w:p>
      <w:pPr>
        <w:spacing w:after="0" w:line="8" w:lineRule="exact"/>
        <w:rPr>
          <w:sz w:val="20"/>
          <w:szCs w:val="20"/>
          <w:color w:val="auto"/>
        </w:rPr>
      </w:pPr>
    </w:p>
    <w:p>
      <w:pPr>
        <w:jc w:val="both"/>
        <w:ind w:left="1260" w:right="499"/>
        <w:spacing w:after="0" w:line="281" w:lineRule="auto"/>
        <w:tabs>
          <w:tab w:leader="none" w:pos="1543" w:val="left"/>
        </w:tabs>
        <w:numPr>
          <w:ilvl w:val="0"/>
          <w:numId w:val="83"/>
        </w:numPr>
        <w:rPr>
          <w:rFonts w:ascii="Arial" w:cs="Arial" w:eastAsia="Arial" w:hAnsi="Arial"/>
          <w:sz w:val="16"/>
          <w:szCs w:val="16"/>
          <w:color w:val="auto"/>
        </w:rPr>
      </w:pPr>
      <w:r>
        <w:rPr>
          <w:rFonts w:ascii="Arial" w:cs="Arial" w:eastAsia="Arial" w:hAnsi="Arial"/>
          <w:sz w:val="16"/>
          <w:szCs w:val="16"/>
          <w:color w:val="auto"/>
        </w:rPr>
        <w:t>authorize $16.9 billion for the Department of Energy from FY22 to FY26 for research and development and energy-related supply chains in key technology areas. Proposals being considered by Congress include:</w:t>
      </w:r>
    </w:p>
    <w:p>
      <w:pPr>
        <w:spacing w:after="0" w:line="1" w:lineRule="exact"/>
        <w:rPr>
          <w:rFonts w:ascii="Arial" w:cs="Arial" w:eastAsia="Arial" w:hAnsi="Arial"/>
          <w:sz w:val="16"/>
          <w:szCs w:val="16"/>
          <w:color w:val="auto"/>
        </w:rPr>
      </w:pPr>
    </w:p>
    <w:p>
      <w:pPr>
        <w:ind w:left="1260" w:right="539"/>
        <w:spacing w:after="0" w:line="265" w:lineRule="auto"/>
        <w:tabs>
          <w:tab w:leader="none" w:pos="1489"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establishment of an ITC for standalone energy storage (i.e., products not paired with a renewable resource); (ii) extension of the federal solar energy ITC for ten (10) more years, keeping the credit at 30% through 2029; (iii) the consolidation of 44 federal energy tax incentives into three provisions to award credits for clean electricity, lower-emitting transportation fuels and energy efficient offices and homes; and</w:t>
      </w:r>
    </w:p>
    <w:p>
      <w:pPr>
        <w:ind w:left="1260" w:right="599"/>
        <w:spacing w:after="0" w:line="253" w:lineRule="auto"/>
        <w:tabs>
          <w:tab w:leader="none" w:pos="158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allowance of renewable electricity production and investment tax credits to be transferred on a limited basis to any entity involved in a renewable energy project, regardless of whether they have taxable income. There can be no assurance that all or any of the above proposals will be adopted by the U.S. Congress.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Our corporate headquarters are in Arlington, Virginia, and consist of approximately 17,000 square feet of office space. We lease our corporate headquarters. We also have offices in Alpharetta, Georgia, San Francisco, California, Erlangen, Germany, Melbourne, Australia, and Taguig City, Philippines. Our Erlangen office includes an energy storage testing facility.</w:t>
      </w:r>
    </w:p>
    <w:p>
      <w:pPr>
        <w:spacing w:after="0" w:line="11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We believe that our existing properties are in good condition and are sufficient and suitable for the conduct of our business for the foreseeable future. To the extent our needs change as our business grows, we expect that additional space and facilities will be available.</w:t>
      </w:r>
    </w:p>
    <w:p>
      <w:pPr>
        <w:spacing w:after="0" w:line="11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have gone through rigorous certification processes at several of our offices and are actively pursuing additional certification at others. The corporate office space and the testing facility in Erlangen are ISO 9001, ISO 14001, and ISO 45001 certified (quality, environmental and safety certifications, respectively). Our Melbourne office is ISO 9001 certified, and our U.S. Arlington office is SA8000 certified which is a standard of ethical and decent working conditions.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From time to time, we may be involved in litigation relating to claims that arise out of our operations and businesses and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MANAGEMENT</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following table provides information regarding our executive officers and members of our board of directors as of the date of this prospectus: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3780" w:type="dxa"/>
            <w:vAlign w:val="bottom"/>
          </w:tcPr>
          <w:p>
            <w:pPr>
              <w:ind w:left="1580"/>
              <w:spacing w:after="0"/>
              <w:rPr>
                <w:sz w:val="20"/>
                <w:szCs w:val="20"/>
                <w:color w:val="auto"/>
              </w:rPr>
            </w:pPr>
            <w:r>
              <w:rPr>
                <w:rFonts w:ascii="Arial" w:cs="Arial" w:eastAsia="Arial" w:hAnsi="Arial"/>
                <w:sz w:val="14"/>
                <w:szCs w:val="14"/>
                <w:b w:val="1"/>
                <w:bCs w:val="1"/>
                <w:color w:val="auto"/>
              </w:rPr>
              <w:t>Position(s)</w:t>
            </w:r>
          </w:p>
        </w:tc>
      </w:tr>
      <w:tr>
        <w:trPr>
          <w:trHeight w:val="26"/>
        </w:trPr>
        <w:tc>
          <w:tcPr>
            <w:tcW w:w="3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50"/>
        </w:trPr>
        <w:tc>
          <w:tcPr>
            <w:tcW w:w="3880" w:type="dxa"/>
            <w:vAlign w:val="bottom"/>
            <w:gridSpan w:val="2"/>
          </w:tcPr>
          <w:p>
            <w:pPr>
              <w:spacing w:after="0"/>
              <w:rPr>
                <w:sz w:val="20"/>
                <w:szCs w:val="20"/>
                <w:color w:val="auto"/>
              </w:rPr>
            </w:pPr>
            <w:r>
              <w:rPr>
                <w:rFonts w:ascii="Arial" w:cs="Arial" w:eastAsia="Arial" w:hAnsi="Arial"/>
                <w:sz w:val="18"/>
                <w:szCs w:val="18"/>
                <w:color w:val="auto"/>
              </w:rPr>
              <w:t>Manuel Perez Dubuc</w:t>
            </w:r>
          </w:p>
        </w:tc>
        <w:tc>
          <w:tcPr>
            <w:tcW w:w="340" w:type="dxa"/>
            <w:vAlign w:val="bottom"/>
          </w:tcPr>
          <w:p>
            <w:pPr>
              <w:ind w:left="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56"/>
        </w:trPr>
        <w:tc>
          <w:tcPr>
            <w:tcW w:w="3880" w:type="dxa"/>
            <w:vAlign w:val="bottom"/>
            <w:gridSpan w:val="2"/>
          </w:tcPr>
          <w:p>
            <w:pPr>
              <w:spacing w:after="0"/>
              <w:rPr>
                <w:sz w:val="20"/>
                <w:szCs w:val="20"/>
                <w:color w:val="auto"/>
              </w:rPr>
            </w:pPr>
            <w:r>
              <w:rPr>
                <w:rFonts w:ascii="Arial" w:cs="Arial" w:eastAsia="Arial" w:hAnsi="Arial"/>
                <w:sz w:val="18"/>
                <w:szCs w:val="18"/>
                <w:color w:val="auto"/>
              </w:rPr>
              <w:t>Dennis Fehr</w:t>
            </w:r>
          </w:p>
        </w:tc>
        <w:tc>
          <w:tcPr>
            <w:tcW w:w="340" w:type="dxa"/>
            <w:vAlign w:val="bottom"/>
          </w:tcPr>
          <w:p>
            <w:pPr>
              <w:ind w:left="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6"/>
              </w:rPr>
              <w:t>Senior Vice President and Chief Financial Officer</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Seyed Madaeni</w:t>
            </w:r>
          </w:p>
        </w:tc>
        <w:tc>
          <w:tcPr>
            <w:tcW w:w="340" w:type="dxa"/>
            <w:vAlign w:val="bottom"/>
          </w:tcPr>
          <w:p>
            <w:pPr>
              <w:ind w:left="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Senior Vice President and Chief Digital Officer</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Rebecca Boll</w:t>
            </w:r>
          </w:p>
        </w:tc>
        <w:tc>
          <w:tcPr>
            <w:tcW w:w="340" w:type="dxa"/>
            <w:vAlign w:val="bottom"/>
          </w:tcPr>
          <w:p>
            <w:pPr>
              <w:ind w:left="8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8"/>
              </w:rPr>
              <w:t>Senior Vice President and Chief Product Officer</w:t>
            </w:r>
          </w:p>
        </w:tc>
      </w:tr>
      <w:tr>
        <w:trPr>
          <w:trHeight w:val="242"/>
        </w:trPr>
        <w:tc>
          <w:tcPr>
            <w:tcW w:w="3880" w:type="dxa"/>
            <w:vAlign w:val="bottom"/>
            <w:gridSpan w:val="2"/>
          </w:tcPr>
          <w:p>
            <w:pPr>
              <w:spacing w:after="0"/>
              <w:rPr>
                <w:sz w:val="20"/>
                <w:szCs w:val="20"/>
                <w:color w:val="auto"/>
              </w:rPr>
            </w:pPr>
            <w:r>
              <w:rPr>
                <w:rFonts w:ascii="Arial" w:cs="Arial" w:eastAsia="Arial" w:hAnsi="Arial"/>
                <w:sz w:val="18"/>
                <w:szCs w:val="18"/>
                <w:color w:val="auto"/>
              </w:rPr>
              <w:t>Carol Couch</w:t>
            </w:r>
          </w:p>
        </w:tc>
        <w:tc>
          <w:tcPr>
            <w:tcW w:w="340" w:type="dxa"/>
            <w:vAlign w:val="bottom"/>
          </w:tcPr>
          <w:p>
            <w:pPr>
              <w:ind w:left="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Senior Vice President and Chief Supply Chain</w:t>
            </w:r>
          </w:p>
        </w:tc>
      </w:tr>
      <w:tr>
        <w:trPr>
          <w:trHeight w:val="230"/>
        </w:trPr>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and Manufacturing Officer</w:t>
            </w:r>
          </w:p>
        </w:tc>
      </w:tr>
      <w:tr>
        <w:trPr>
          <w:trHeight w:val="283"/>
        </w:trPr>
        <w:tc>
          <w:tcPr>
            <w:tcW w:w="3880" w:type="dxa"/>
            <w:vAlign w:val="bottom"/>
            <w:gridSpan w:val="2"/>
          </w:tcPr>
          <w:p>
            <w:pPr>
              <w:spacing w:after="0"/>
              <w:rPr>
                <w:sz w:val="20"/>
                <w:szCs w:val="20"/>
                <w:color w:val="auto"/>
              </w:rPr>
            </w:pPr>
            <w:r>
              <w:rPr>
                <w:rFonts w:ascii="Arial" w:cs="Arial" w:eastAsia="Arial" w:hAnsi="Arial"/>
                <w:sz w:val="18"/>
                <w:szCs w:val="18"/>
                <w:color w:val="auto"/>
              </w:rPr>
              <w:t>Julian Nebreda</w:t>
            </w:r>
          </w:p>
        </w:tc>
        <w:tc>
          <w:tcPr>
            <w:tcW w:w="340" w:type="dxa"/>
            <w:vAlign w:val="bottom"/>
          </w:tcPr>
          <w:p>
            <w:pPr>
              <w:ind w:left="8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Lisa Krueger</w:t>
            </w:r>
          </w:p>
        </w:tc>
        <w:tc>
          <w:tcPr>
            <w:tcW w:w="340" w:type="dxa"/>
            <w:vAlign w:val="bottom"/>
          </w:tcPr>
          <w:p>
            <w:pPr>
              <w:ind w:left="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Barbara Humpton</w:t>
            </w:r>
          </w:p>
        </w:tc>
        <w:tc>
          <w:tcPr>
            <w:tcW w:w="340" w:type="dxa"/>
            <w:vAlign w:val="bottom"/>
          </w:tcPr>
          <w:p>
            <w:pPr>
              <w:ind w:left="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Emma Falck</w:t>
            </w:r>
          </w:p>
        </w:tc>
        <w:tc>
          <w:tcPr>
            <w:tcW w:w="340" w:type="dxa"/>
            <w:vAlign w:val="bottom"/>
          </w:tcPr>
          <w:p>
            <w:pPr>
              <w:ind w:left="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Axel Meier</w:t>
            </w:r>
          </w:p>
        </w:tc>
        <w:tc>
          <w:tcPr>
            <w:tcW w:w="340" w:type="dxa"/>
            <w:vAlign w:val="bottom"/>
          </w:tcPr>
          <w:p>
            <w:pPr>
              <w:ind w:left="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Chris Shelton</w:t>
            </w:r>
          </w:p>
        </w:tc>
        <w:tc>
          <w:tcPr>
            <w:tcW w:w="340" w:type="dxa"/>
            <w:vAlign w:val="bottom"/>
          </w:tcPr>
          <w:p>
            <w:pPr>
              <w:ind w:left="8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Simon Smith</w:t>
            </w:r>
          </w:p>
        </w:tc>
        <w:tc>
          <w:tcPr>
            <w:tcW w:w="340" w:type="dxa"/>
            <w:vAlign w:val="bottom"/>
          </w:tcPr>
          <w:p>
            <w:pPr>
              <w:ind w:left="8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Cynthia Arnold</w:t>
            </w:r>
          </w:p>
        </w:tc>
        <w:tc>
          <w:tcPr>
            <w:tcW w:w="340" w:type="dxa"/>
            <w:vAlign w:val="bottom"/>
          </w:tcPr>
          <w:p>
            <w:pPr>
              <w:ind w:left="8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Herman Bulls</w:t>
            </w:r>
          </w:p>
        </w:tc>
        <w:tc>
          <w:tcPr>
            <w:tcW w:w="340" w:type="dxa"/>
            <w:vAlign w:val="bottom"/>
          </w:tcPr>
          <w:p>
            <w:pPr>
              <w:ind w:left="8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Elizabeth Fessenden</w:t>
            </w:r>
          </w:p>
        </w:tc>
        <w:tc>
          <w:tcPr>
            <w:tcW w:w="340" w:type="dxa"/>
            <w:vAlign w:val="bottom"/>
          </w:tcPr>
          <w:p>
            <w:pPr>
              <w:ind w:left="8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Harald von Heynitz</w:t>
            </w:r>
          </w:p>
        </w:tc>
        <w:tc>
          <w:tcPr>
            <w:tcW w:w="340" w:type="dxa"/>
            <w:vAlign w:val="bottom"/>
          </w:tcPr>
          <w:p>
            <w:pPr>
              <w:ind w:left="8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Manuel Perez Dubuc has served as chief executive officer of Fluence since May 2020 and served on our board of directors from October 2018 to May 2020. Mr. Dubuc previously served as SVP of Global Renewables at The AES Corporation from October 2018 to May 2020, president of AES South America from March 2018 to October 2018, and president of AES Mexico, Central America and the Caribbean from December 2012 to March 2018. He was also chairman &amp; CEO of Meiya Power Corporation (MPC), based in Hong Kong, and president of AES China and North Asia, based in Beijing. Prior to that, he served as CFO and corporate treasurer for EDC in Venezuela and director for Eletropaulo, Brazil and Ron Santa Teresa, Venezuela. Mr. Dubuc holds an MBA in finance from IESA and a bachelor’s degree in electrical engineering from Universidad Simón Bolívar. We believe Mr. Dubuc is qualified to service as our chief executive officer and on our board of directors due to his over 35 years of senior leadership experience in the energy sector and deep knowledge of energy storage technology and renewable energy optimization.</w:t>
      </w:r>
    </w:p>
    <w:p>
      <w:pPr>
        <w:spacing w:after="0" w:line="11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Dennis Fehr has served as Chief Financial Officer of Fluence Energy, LLC since January 2018. Prior to his current role, Mr. Fehr was the Vice President of Finance at Siemens from November 2014 to December 2017. Mr. Fehr’s tenure at Siemens dated back to 2003, and he held various finance-related positions across the German, Indonesian and Chinese entities of Siemens from 2003 to 2014. In addition to his responsibilities at Fluence, Mr. Fehr has also served as a member of the Board of Directors of German International School Society Washington, D.C. from June 2019 to present. Mr. Fehr obtained his bachelor’s degree in business administration from Cooperative State University Villingen-Schwenningen.</w:t>
      </w:r>
    </w:p>
    <w:p>
      <w:pPr>
        <w:spacing w:after="0" w:line="96"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Dr. Seyed Madaeni has served as Chief Digital Officer and head of our Fluence Digital business unit since October 2020. From November 2019 until starting his current role, he was Chief Executive Officer and a member of the Board of Directors of Advanced Microgrid Solutions Inc. (AMS), a leading software-as-a-service startup that was acquired by Fluence in October 2020. Dr. Madaeni began his tenure at AMS in 2018, previously serving as Senior Vice President of Product Strategy and Chief Product Officer.</w:t>
      </w:r>
    </w:p>
    <w:p>
      <w:pPr>
        <w:spacing w:after="0" w:line="3" w:lineRule="exact"/>
        <w:rPr>
          <w:sz w:val="20"/>
          <w:szCs w:val="20"/>
          <w:color w:val="auto"/>
        </w:rPr>
      </w:pPr>
    </w:p>
    <w:p>
      <w:pPr>
        <w:ind w:left="1260" w:right="659"/>
        <w:spacing w:after="0" w:line="255" w:lineRule="auto"/>
        <w:rPr>
          <w:sz w:val="20"/>
          <w:szCs w:val="20"/>
          <w:color w:val="auto"/>
        </w:rPr>
      </w:pPr>
      <w:r>
        <w:rPr>
          <w:rFonts w:ascii="Arial" w:cs="Arial" w:eastAsia="Arial" w:hAnsi="Arial"/>
          <w:sz w:val="18"/>
          <w:szCs w:val="18"/>
          <w:color w:val="auto"/>
        </w:rPr>
        <w:t>Dr. Madaeni also had engineering roles at Tesla Inc. from February 2017 until January 2018 leading software and digital applications development for energy storage. He also served as Principal Engineer at SolarCity</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color w:val="auto"/>
        </w:rPr>
        <w:t>from September 2015 until January 2017. Dr. Madaeni graduated with bachelor’s and master’s degrees in electrical engineering from the University of Tehran and earned his PhD in Industrial and Systems Engineering from The Ohio State University.</w:t>
      </w:r>
    </w:p>
    <w:p>
      <w:pPr>
        <w:spacing w:after="0" w:line="10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Rebecca Boll has served as Chief Product Officer for Fluence since June 2020. She is responsible for developing energy storage products and services that anticipate customer needs and ensure Fluence’s leadership position within the energy storage industry. Prior to joining Fluence, Ms. Boll was Chief Technology Officer for the Digital Buildings business at Schneider Electric. She spent 13 years at General Electric serving as Chief Technology Officer for Licensing &amp; Technology Ventures and previously in various leadership roles at GE Aviation, GE Global Research and GE Power. Ms. Boll’s career began in the United States Air Force, where she served for six years as an Electronic Combat Officer on a surveillance plane called AWACS (Airborne Warning &amp; Controls System). She received her bachelor’s degree in applied mathematics from Boston University and master’s in human relations from the University of Oklahoma.</w:t>
      </w:r>
    </w:p>
    <w:p>
      <w:pPr>
        <w:spacing w:after="0" w:line="116"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Carol Couch has served as Chief Supply Chain and Manufacturing Officer of Fluence since May 2021. Prior to joining Fluence, Ms. Couch was the Vice President of Supply Chain Operations at Itron Inc. from November 2016 to April 2021. From March 2016 until joining Itron Inc., she was the Chief Operating Officer and a member of the Board of Directors of DataLogic. From 2014 to March 2016, she was the Vice President of Americas Operations at Hewlett Packard Enterprise. Before 2014, Ms. Couch also had extensive experience in manufacturing and supply chain optimization at several other companies.</w:t>
      </w:r>
    </w:p>
    <w:p>
      <w:pPr>
        <w:spacing w:after="0" w:line="4" w:lineRule="exact"/>
        <w:rPr>
          <w:sz w:val="20"/>
          <w:szCs w:val="20"/>
          <w:color w:val="auto"/>
        </w:rPr>
      </w:pPr>
    </w:p>
    <w:p>
      <w:pPr>
        <w:ind w:left="1260" w:right="1039"/>
        <w:spacing w:after="0" w:line="243" w:lineRule="auto"/>
        <w:rPr>
          <w:sz w:val="20"/>
          <w:szCs w:val="20"/>
          <w:color w:val="auto"/>
        </w:rPr>
      </w:pPr>
      <w:r>
        <w:rPr>
          <w:rFonts w:ascii="Arial" w:cs="Arial" w:eastAsia="Arial" w:hAnsi="Arial"/>
          <w:sz w:val="18"/>
          <w:szCs w:val="18"/>
          <w:color w:val="auto"/>
        </w:rPr>
        <w:t>Ms. Couch obtained her bachelor of science degree and master’s in business administration from the University of Colorado—Colorado Springs.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Directors</w:t>
      </w:r>
    </w:p>
    <w:p>
      <w:pPr>
        <w:spacing w:after="0" w:line="16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Julian Nebreda has served as a member of our board of directors since September 2021. He currently serves as President of the South America Strategic Business Unit of The AES Corporation since October 2018. Prior to assuming his current position, Mr. Nebreda served as the President of the AES Brazil Strategic Business Unit from April 2016 to October 2018, and the President of the Europe Strategic Business Unit from 2009 to April 2016. Prior to that, Mr. Nebreda held several senior positions, such as Vice President for Central America and Caribbean from 2007 to 2009, Chief Executive Officer of Electricidad de Caracas from 2005 to 2007, and President of AES Dominicana, in Santo Domingo, Dominican Republic from 2003 to 2005. Mr. Nebreda serves as Chairman of the Board of AES Andes and AES Brasil. Before joining AES, Mr. Nebreda has held positions in the public and private sectors, namely he served as Counsellor to the Executive Director from Panama and Venezuela at the Inter-American Development Bank from 1993 to 1999. Mr. Nebreda earned a law degree from Universidad Católica Andrés Bello in Caracas, Venezuela. He also earned a master of laws in common law with a fullbright fellowship and a master of laws in securities and financial regulations, both from Georgetown University. Mr. Nebreda’s leadership experience with AES and in the energy storage industry, together with his extensive background in renewables and corporate finance, makes him qualified to govern Fluence as a member of the board of directors.</w:t>
      </w:r>
    </w:p>
    <w:p>
      <w:pPr>
        <w:spacing w:after="0" w:line="11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Lisa Krueger has served as a member of our board of directors since September 2021. Ms. Krueger currently serves as Executive Vice President and President of The AES Corporation in the U.S. since August 2018, where she unites AES utilities, clean energy solutions and generates business to accelerate a greener, smarter energy future for its U.S. customers. She also served as an Independent Consultant from July 2017 to August 2018, Chief Commercial Officer at Cogentrix Energy, LLC from January 2017 to June 2017, and President and Chief Executive Officer at Essential Power, LLC from 2014 to June 2017. Ms. Krueger earned a bachelor’s degree in chemical engineering from the Missouri University of Science and Technology and a master’s degree from the Jones Graduate School of Business at Rice University. We believe Ms. Krueger is qualified to serve on our board of directors due to her leadership experience at AES and Essential Power, and her deep knowledge of and commitment to clean energy technology and creating a sustainable climate future.</w:t>
      </w:r>
    </w:p>
    <w:p>
      <w:pPr>
        <w:spacing w:after="0" w:line="128"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Barbara Humpton has served as a member of our board of directors since September 2021. She is President and Chief Executive Officer of Siemens Corporation, where, since June 2018, she guides the company’s strategy and engagement in serving the company’s largest market. Previously, Ms. Humpton spent 2015 to 2018 as President and Chief Executive Officer of Siemens Government Technologies, Inc., a leading integrator of Siemens’ products and services for federal government agencies. Prior to joining Siemens</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in 2011, she served as a Vice President at Booz Allen Hamilton where she was responsible for program performance and new business development for technology consulting in the U.S. Department of Justice and U.S. Department of Homeland Security. She has also served as Vice President at Lockheed Martin Corporation, where she was responsible for Biometrics Programs, Border and Transportation Security, and Critical Infrastructure Protection. Ms. Humpton holds a bachelor’s degree in mathematics from Wake Forest University. We believe Ms. Humpton is qualified to serve on our board of directors due to her experience as President and Chief Executive Officer of Siemens USA, where she guides the company’s strategy and execution in the company’s largest market, and to her expertise in the energy industry, including innovative product, technologies and services programs.</w:t>
      </w:r>
    </w:p>
    <w:p>
      <w:pPr>
        <w:spacing w:after="0" w:line="10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Emma Falck has served as a member of our board of directors since September 2021. Ms. Falck currently serves as Head of Strategy of Smart Infrastructure at Siemens Schweiz AG since September 2020. She also served as Managing Director and Partner at the Boston Consulting Group from May 2017 to August 2020, Vice President, Greater China Area New Equipment, and China Frontline Product Strategy and Marketing for the KONE Corporation from 2015 to April 2017. At KONE, Ms. Falck also served as Director, Greater China Area New Equipment, and China Frontline Product Strategy and Marketing from 2014 to 2015 and Director of Strategy Development from 2012 to 2014. She holds a master’s degree in engineering physics and a doctor of philosophy degree from Aalto University. Ms. Falck is qualified to serve on our board of directors from her extensive leadership experience for Siemens and KONE leading operations all over the world, and her expertise and dedication to smart infrastructure, the energy industry and product strategy.</w:t>
      </w:r>
    </w:p>
    <w:p>
      <w:pPr>
        <w:spacing w:after="0" w:line="12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Axel Meier is a member of our board of directors and had served as a member of the board of directors of Fluence Energy, LLC since January 2020. Since April 2019, Mr. Meier has served as Chief Financial Officer of Siemens Smart Infrastructure. From 2015 until starting his current role, Mr. Meier was the Chief Financial Officer of Siemens Building Technologies. He started his career at Siemens Germany in 1988 with increasing responsibilities in businesses pertaining to Communications, Industry and Infrastructure.</w:t>
      </w:r>
    </w:p>
    <w:p>
      <w:pPr>
        <w:spacing w:after="0" w:line="3" w:lineRule="exact"/>
        <w:rPr>
          <w:sz w:val="20"/>
          <w:szCs w:val="20"/>
          <w:color w:val="auto"/>
        </w:rPr>
      </w:pPr>
    </w:p>
    <w:p>
      <w:pPr>
        <w:ind w:left="1260" w:right="459"/>
        <w:spacing w:after="0" w:line="277" w:lineRule="auto"/>
        <w:rPr>
          <w:sz w:val="20"/>
          <w:szCs w:val="20"/>
          <w:color w:val="auto"/>
        </w:rPr>
      </w:pPr>
      <w:r>
        <w:rPr>
          <w:rFonts w:ascii="Arial" w:cs="Arial" w:eastAsia="Arial" w:hAnsi="Arial"/>
          <w:sz w:val="17"/>
          <w:szCs w:val="17"/>
          <w:color w:val="auto"/>
        </w:rPr>
        <w:t>Mr. Meier graduated from the University of Siegen in Germany with a financial degree in financial business management. We believe Mr. Meier is qualified to serve on our board of directors due to his financial acumen and extensive international experience creating value for businesses and shareholders.</w:t>
      </w:r>
    </w:p>
    <w:p>
      <w:pPr>
        <w:spacing w:after="0" w:line="105"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John Christopher Shelton is a member of our board of directors and had served as a member of the board of directors of Fluence Energy, LLC since January 2018. Mr. Shelton currently serves as Senior Vice President and Chief Product Officer of AES and President of AES Next, the strategic venture arm of AES. He began his tenure at AES in 1994, previously serving as President of AES Energy Storage, Vice President of New Energy Solutions, and as Chief Technology Innovation Officer. Mr. Shelton currently serves on the board of directors of Uplight, a privately held software-as-service customer platform for utilities.</w:t>
      </w:r>
    </w:p>
    <w:p>
      <w:pPr>
        <w:spacing w:after="0" w:line="1" w:lineRule="exact"/>
        <w:rPr>
          <w:sz w:val="20"/>
          <w:szCs w:val="20"/>
          <w:color w:val="auto"/>
        </w:rPr>
      </w:pPr>
    </w:p>
    <w:p>
      <w:pPr>
        <w:ind w:left="1260" w:right="559"/>
        <w:spacing w:after="0" w:line="269" w:lineRule="auto"/>
        <w:rPr>
          <w:sz w:val="20"/>
          <w:szCs w:val="20"/>
          <w:color w:val="auto"/>
        </w:rPr>
      </w:pPr>
      <w:r>
        <w:rPr>
          <w:rFonts w:ascii="Arial" w:cs="Arial" w:eastAsia="Arial" w:hAnsi="Arial"/>
          <w:sz w:val="17"/>
          <w:szCs w:val="17"/>
          <w:color w:val="auto"/>
        </w:rPr>
        <w:t>Mr. Shelton served as Chairman of the Board of the Electricity Storage Association from 2011 to 2013. Mr. Shelton is listed as an inventor on 16 patents, 8 of which are grid energy storage related. Mr. Shelton holds a B.S. from Indiana University of Pennsylvania and executive certificates in Strategy and Innovation from The Sloan School of Management at MIT and Organizational Leadership from The McDonough School of Business at Georgetown University. We believe Mr. Shelton is qualified to serve on our board of directors due to his experience in inventing, commercializing, and scaling lithium-ion battery solutions for the electric grid and his broader experience in commercializing renewable energy and digital innovations.</w:t>
      </w:r>
    </w:p>
    <w:p>
      <w:pPr>
        <w:spacing w:after="0" w:line="99"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Simon Smith is a member of our board of directors and had served as a member of the board of directors of Fluence Energy, LLC since June 2021. Mr. Smith has worked for Qatar Investment Authority, the Sovereign Wealth Fund of Qatar, since 2012. He is an Industrials Director covering a global portfolio of public and private investments. Prior to joining Qatar Investment Authority, Mr. Smith spent 10 years working in equity research, as the sector head of European Capital Goods at Credit Suisse, and at Citigroup covering the Capital Goods and Transportation sectors. He additionally worked for a number of investment firms in London at the beginning of his career. Mr. Smith graduated from the University of Bristol with a BSc in Mathematics and has a Masters in Finance with distinction from London Business School. We believe Mr. Smith is qualified to serve on our board of directors due to his experience investing in high growth companies across the spectrum of ‘green’ technology and his experience working with the management and boards of public and private companies.</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Cynthia Arnold is expected to serve as our director upon the effectiveness of the registration statement of which this prospectus forms a part. Prior to retirement, Dr. Arnold, Ph.D. served as the Chief Technology Officer for Valspar from 2011 to July 2017. In this role, Dr. Arnold led Valspar's global technology activities and became an officer of the company. Dr. Arnold joined Valspar from Sun Chemical where she served as Chief Technology Officer from 2004 to 2011. Prior to Sun Chemical, she served as Vice President, Technology, Coatings Adhesives and Specialties, for Eastman Chemical from 2003 to 2004 and in R&amp;D and business leadership positions with GE from 1994 to 2003. Dr. Arnold was a Sloan Executive Science and Engineering Fellow in the White House Office of Science and Technology Policy, and she currently serves on the boards of Cabot Corporation, Milliken, Avantium, Citrine, and on the External Advisor Board of the University of Minnesota Department of Chemical Engineering and Materials Science. Dr. Arnold holds a doctorate in materials science and engineering from Virginia Polytechnic Institute and State University, and master of business administration and bachelor’s degrees from the University of California, Berkeley. We believe Dr. Arnold is qualified to serve on our board of directors due to her leadership experience, and her expertise and dedication to renewable energy and technology.</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Herman Bulls is expected to serve as our director upon the effectiveness of the registration statement of which this prospectus forms a part. He has spent over thirty years at JLL, currently serving as Vice Chairman, Americas, and International Director and founder of JLL’s Public Institutions business unit, which specializes in delivering comprehensive real estate solutions to nonprofit organizations, higher education institutions, and governments at the federal, state, and local levels. A thought leader and strategic advisor, Mr. Bulls guides the firm and senior executive clients on issues related to real estate occupancy, the environment, corporate governance, and social trends. Additionally, Mr. Bulls co-founded and served as President and Chief Executive Officer of Bulls Capital Partners, a multi-family financing company, and founded Bulls Advisory Group, LLC, a management and real estate advisory firm. Prior to joining JLL, Mr. Bulls completed nearly twelve years of active-duty service with the United States Army. He retired as a Colonel in the U.S. Army Reserves in 2008 and received the Legion of Merit award for his leadership and strategic thinking skills. Mr. Bulls currently serves on the board of directors for Host Hotels and Resorts since June 2021, USAA since 2010, American Campus Communities since January 2021, Comfort Systems USA since 2001, Collegis Education since September 2020, American Red Cross since September 2016, Military Bowl by Northrup Grumman since 2010, and the West Point Association of Graduates since 1996. He holds a master of business administration from Harvard Business School and a bachelor’s degree in engineering from the United States Military Academy at West Point. We believe Mr. Bulls is qualified to serve on our board of directors due to his leadership experience, and his financial expertise and dedication to the environment.</w:t>
      </w:r>
    </w:p>
    <w:p>
      <w:pPr>
        <w:spacing w:after="0" w:line="11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6"/>
          <w:szCs w:val="16"/>
          <w:color w:val="auto"/>
        </w:rPr>
        <w:t>Elizabeth Fessenden is expected to serve as our director upon the effectiveness of the registration statement of which this prospectus forms a part. Ms. Fessenden is a strategic leader with demonstrated success in profit and loss management from over twenty- five years as a senior executive with Fortune 100 global industrial manufacturing company, Alcoa Inc, and private equity firm American Capital. At American Capital, Ms. Fessenden served as Principal, Operations Team from 2005 to 2007. At Alcoa Inc, Ms. Fessenden most recently served as President, Flexible Packaging, from 2002 to 2005. Prior to that role, she served as President, Primary Metals Allied Businesses from 2000 to 2002, Director, Executive Staffing and Leadership Development from 1998 to 2000, and Smelting Plant Manager from 1994 to 1998. Ms. Fessenden has extensive experience as a board director and leader for public and private companies including experience as chair of Compensation, Governance, Audit, and CEO Search. She currently serves as an Independent Director on a number of boards of directors, including at Meritor since June 2021, Alpha Metallugical Resources since February 2021, Ampco-Pittsburgh Corporation since August 2017, Plan International USA since November 2017, and Quarles Petroleum since 2015. She holds a master of business administration, master’s degree in systems engineering, and bachelor’s degree in electrical engineering from Clarkson University. We believe Ms. Fessenden is qualified to serve on our board of directors due to her leadership experience, and her financial acumen and commitment to clean energy technology.</w:t>
      </w:r>
    </w:p>
    <w:p>
      <w:pPr>
        <w:spacing w:after="0" w:line="30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Harald von Heynitz is expected to serve as our director upon the effectiveness of the registration statement of which this prospectus forms a part. Mr. von Heynitz is a senior accountant and auditor certified in Germany and the United States with extensive experience in accounting, auditing, financial, and business advisory. He has been registered in own practice since January 2020, and started as a member of management of FAS Steuerberatungsgesellschaft mbH, Munich in March 2020. Mr. von Heynitz worked for</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KPMG in Munich and New York for thirty-three years. He became a partner in 1999 and has served as Audit Lead Partner and/or Global client Lead Partner at large publicly listed companies including Siemens, Airbus Group, and Linde. During the last fifteen years, he held different leadership positions within KPMG, including serving as the Lead Audit Partner for Siemens from 2001 to 2004, Partner in charge of the Audit function for Southern Germany from 2004 to 2007 and member of the KPMG Europe LLP Board from 2007 until 2012. Mr. von Heynitz currently serves as Chairman of the Audit, Compliance and Related Party Transactions Committee and Member of the Appointments and Remunerations Committee for the Siemens Gamesa Renewable Energy SA board of directors. He graduated with a degree in business administration from the University of Munich and has been certified as a tax consultant and certified public accountant in Germany for twenty-five years. He is also a certified public accountant in the United States and has been a member of the AICPA for twenty -two years. We believe Mr. von Heynitz is qualified to serve on our board of directors due to his leadership experience and financial expertise.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Family Relationships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Our business and affairs are managed under the direction of our board of directors, which will consist of 12 members upon consummation of the Transactions. Our amended and restated certificate of incorporation will provide that, subject to the rights of the holders of preferred stock, the number of directors on our board of directors shall be fixed exclusively by resolution adopted by our board of directors (provided that such number shall not be less than the aggregate number of directors that the parties to the Stockholders Agreement are entitled to nominate from time to time). Our amended and restated certificate of incorporation and our amended and restated bylaws will provide that each member of our board of directors will serve for a one-year term, being elected each year by our stockholders.</w:t>
      </w:r>
    </w:p>
    <w:p>
      <w:pPr>
        <w:spacing w:after="0" w:line="11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0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Prior to the consummation of the Transactions, we will enter into the Stockholders Agreement with our Continuing Equity Owners, pursuant to which each party thereto will agree to vote, or cause to be voted, all of their outstanding shares of our Class A common stock, Class B-1 common stock and Class B-2 common stock at any annual or special meeting of stockholders in which directors are elected, so as to cause the election of all of the directors that are nominated by the other Continuing Equity Owners. Immediately following the consummation of the Transactions, each of AES Grid Stability and Siemens Industry will directly or indirectly own 117,173,390 shares of Class B-1 common stock of Fluence Energy, Inc., which in each case represents approximately 92.2% of the combined voting power of all of Fluence Energy, Inc.’s common stock, and the Blocker Shareholder will directly or indirectly own 18,493,275 shares of Class A common stock of Fluence Energy, Inc., which represents approximately 2.9% of the combined voting power of all of Fluence Energy, Inc.’s common stock. For a description of the terms of the Stockholders Agreement, see “Certain Relationships and Related Party Transactions—Stockholders Agreement.”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Prior to the consummation of the Transactions, our board of directors undertook a review of the independence of our directors and considered whether any director has a relationship with us that could compromise that director’s ability to exercise independent judgment in carrying out that director’s responsibilities. Our board of directors has affirmatively determined that Cynthia Arnold, Herman Bulls, Elizabeth Fessenden and Harald von Heynitz are each an “independent director,” as defined under the Nasdaq rules. In making these determinations, our board of directors considered the current and prior relationships that each director has with the Company and all other facts and circumstances our board of directors</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48" w:lineRule="auto"/>
        <w:rPr>
          <w:sz w:val="20"/>
          <w:szCs w:val="20"/>
          <w:color w:val="auto"/>
        </w:rPr>
      </w:pPr>
      <w:r>
        <w:rPr>
          <w:rFonts w:ascii="Arial" w:cs="Arial" w:eastAsia="Arial" w:hAnsi="Arial"/>
          <w:sz w:val="18"/>
          <w:szCs w:val="18"/>
          <w:color w:val="auto"/>
        </w:rPr>
        <w:t>deemed relevant in determining his or her independence, including the beneficial ownership of our capital stock by each director, and the transactions involving them described in the section titled “Certain Relationships and Related Party Transactions.”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Controlled Company Exception</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After the consummation of the Transactions, AES Grid Stability and Siemens Industry, and the Continuing Equity Owners as a whole, will collectively have beneficial ownership of more than 50% of the combined voting power of our common stock. As a result, we will be a “controlled company” within the meaning of the corporate governance standards of the Nasdaq rules and intend to elect not to comply with certain corporate governance standards, including that: (1) a majority of our board of directors consists of “independent directors,” as defined under the Nasdaq rules; (2) our board of directors have a compensation committee that is comprised entirely of independent directors with a written charter addressing the committee’s purpose and responsibilities; and (3) our director nominations be made, or recommended to our full board of directors, by our independent directors or by a nominations committee that is comprised entirely of independent directors and that we adopt a written charter or board resolution addressing the nominations process. We intend to rely on the foregoing exemptions provided to controlled companies under the Nasdaq rules. Therefore, immediately following the consummation of the Transactions, we may not have a majority of independent directors on our board of directors, have our director nominations be made by our independent directors or by an entirely independent nominations committee or an entirely independent compensation committee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the Nasdaq, we will be required to comply with these provisions within the applicable transition periods. See “Risk Factors—Risks related to the offering and ownership of our Class A common stock—We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and its standing committees. We will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04" w:lineRule="exact"/>
        <w:rPr>
          <w:sz w:val="20"/>
          <w:szCs w:val="20"/>
          <w:color w:val="auto"/>
        </w:rPr>
      </w:pPr>
    </w:p>
    <w:p>
      <w:pPr>
        <w:ind w:left="1800" w:right="99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appointing, approving the fees of, retaining, and overseeing our independent registered public accounting firm;</w:t>
      </w:r>
    </w:p>
    <w:p>
      <w:pPr>
        <w:spacing w:after="0" w:line="62" w:lineRule="exact"/>
        <w:rPr>
          <w:rFonts w:ascii="Arial" w:cs="Arial" w:eastAsia="Arial" w:hAnsi="Arial"/>
          <w:sz w:val="18"/>
          <w:szCs w:val="18"/>
          <w:color w:val="auto"/>
        </w:rPr>
      </w:pPr>
    </w:p>
    <w:p>
      <w:pPr>
        <w:ind w:left="1800" w:right="119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any audit problems or difficulties and management’s response;</w:t>
      </w:r>
    </w:p>
    <w:p>
      <w:pPr>
        <w:spacing w:after="0" w:line="48"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62"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159" w:hanging="180"/>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complaints regarding questionable accounting, internal controls or auditing matters.</w:t>
      </w:r>
    </w:p>
    <w:p>
      <w:pPr>
        <w:spacing w:after="0" w:line="89" w:lineRule="exact"/>
        <w:rPr>
          <w:sz w:val="20"/>
          <w:szCs w:val="20"/>
          <w:color w:val="auto"/>
        </w:rPr>
      </w:pPr>
    </w:p>
    <w:p>
      <w:pPr>
        <w:ind w:left="1260" w:right="919" w:firstLine="360"/>
        <w:spacing w:after="0" w:line="274" w:lineRule="auto"/>
        <w:rPr>
          <w:sz w:val="20"/>
          <w:szCs w:val="20"/>
          <w:color w:val="auto"/>
        </w:rPr>
      </w:pPr>
      <w:r>
        <w:rPr>
          <w:rFonts w:ascii="Arial" w:cs="Arial" w:eastAsia="Arial" w:hAnsi="Arial"/>
          <w:sz w:val="17"/>
          <w:szCs w:val="17"/>
          <w:color w:val="auto"/>
        </w:rPr>
        <w:t>Upon the consummation of the Transactions, our audit committee will consist of Cynthia Arnold, Herman Bulls, Elizabeth Fessenden and Harald von Heynitz, with Ms. Fessenden serving as chair.</w:t>
      </w:r>
    </w:p>
    <w:p>
      <w:pPr>
        <w:ind w:left="1260" w:right="479"/>
        <w:spacing w:after="0" w:line="267" w:lineRule="auto"/>
        <w:rPr>
          <w:sz w:val="20"/>
          <w:szCs w:val="20"/>
          <w:color w:val="auto"/>
        </w:rPr>
      </w:pPr>
      <w:r>
        <w:rPr>
          <w:rFonts w:ascii="Arial" w:cs="Arial" w:eastAsia="Arial" w:hAnsi="Arial"/>
          <w:sz w:val="17"/>
          <w:szCs w:val="17"/>
          <w:color w:val="auto"/>
        </w:rPr>
        <w:t xml:space="preserve">Rule 10A-3 of the Exchange Act and the Nasdaq rules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affirmatively determined that Herman Bulls, Cynthia Arnold, Harald von Heynitz and Elizabeth Fessenden each meet the definition of “independent director” for purposes of serving on the audit committee under the Nasdaq rules and the independence standards under Rule 10A-3 of the Exchange Act and the Nasdaq rules. Each member of our audit committee meets the financial literacy requirements of the Nasdaq rules. In addition, our board of directors has determined that each of Elizabeth Fessenden and Harald von Heynitz will qualify as an “audit committee financial expert,” as such term is defined in Item 407(d)(5) of Regulation S-K. Our board of directors will adopt a written charter for the audit committee, which will be available on our principal corporate website at </w:t>
      </w:r>
      <w:r>
        <w:rPr>
          <w:rFonts w:ascii="Arial" w:cs="Arial" w:eastAsia="Arial" w:hAnsi="Arial"/>
          <w:sz w:val="17"/>
          <w:szCs w:val="17"/>
          <w:i w:val="1"/>
          <w:iCs w:val="1"/>
          <w:color w:val="auto"/>
        </w:rPr>
        <w:t>https:// fluenceenergy.com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nominating and corporate governance committee will be responsible for, among other things:</w:t>
      </w:r>
    </w:p>
    <w:p>
      <w:pPr>
        <w:spacing w:after="0" w:line="117" w:lineRule="exact"/>
        <w:rPr>
          <w:sz w:val="20"/>
          <w:szCs w:val="20"/>
          <w:color w:val="auto"/>
        </w:rPr>
      </w:pPr>
    </w:p>
    <w:p>
      <w:pPr>
        <w:ind w:left="1800" w:right="479" w:hanging="180"/>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 as set forth in our corporate governance guidelines and in accordance with the terms of the Stockholders Agreement;</w:t>
      </w:r>
    </w:p>
    <w:p>
      <w:pPr>
        <w:spacing w:after="0" w:line="75"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annually reviewing the committee structure of the board of directors and recommending to the board of the directors the directors to serve as members of each committee;</w:t>
      </w:r>
    </w:p>
    <w:p>
      <w:pPr>
        <w:spacing w:after="0" w:line="62"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 and from time to time, reviewing and reassessing the corporate governance guidelines and recommending any proposed changes to our board of directors for approval;</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overseeing the annual self-evaluations of our board of directors and its committees;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governance matters, including, but not limited to, the certificate of incorporation, bylaws, and the charters;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making regular reports to our board of directors regarding the activities of the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making periodic evaluations of the performance of the committee; and</w:t>
      </w:r>
    </w:p>
    <w:p>
      <w:pPr>
        <w:spacing w:after="0" w:line="117"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annually reviewing and reassessing the charter and submitting any recommended changes to our board of directors for its consideration.</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 xml:space="preserve">Upon the consummation of the Transactions, our nominating and corporate governance committee will consist of Cynthia Arnold, Herman Bulls, Harald von Heynitz, Lisa Krueger and Axel Meier, with Mr. Bulls serving as chair. We intend to avail ourselves of the “controlled company” exception under the Nasdaq rules, which exempts us from the requirement that we have a nominating and corporate governance committee composed entirely of independent directors. Axel Meier and Lisa Krueger do not qualify as “independent directors” under the Nasdaq rules. Our board of directors will adopt a written charter for the nominating and corporate governance committee, which will be available on our principal corporate website at </w:t>
      </w:r>
      <w:r>
        <w:rPr>
          <w:rFonts w:ascii="Arial" w:cs="Arial" w:eastAsia="Arial" w:hAnsi="Arial"/>
          <w:sz w:val="18"/>
          <w:szCs w:val="18"/>
          <w:i w:val="1"/>
          <w:iCs w:val="1"/>
          <w:color w:val="auto"/>
        </w:rPr>
        <w:t>https:// fluenceenergy.com</w:t>
      </w:r>
      <w:r>
        <w:rPr>
          <w:rFonts w:ascii="Arial" w:cs="Arial" w:eastAsia="Arial" w:hAnsi="Arial"/>
          <w:sz w:val="18"/>
          <w:szCs w:val="18"/>
          <w:color w:val="auto"/>
        </w:rPr>
        <w:t xml:space="preserve"> substantially concurrently with the consummation of the Transactions. The information on any of our websites is deemed not to be incorporated in this prospectus or to be part of this prospectus.</w:t>
      </w: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90" w:lineRule="exact"/>
        <w:rPr>
          <w:sz w:val="20"/>
          <w:szCs w:val="20"/>
          <w:color w:val="auto"/>
        </w:rPr>
      </w:pPr>
    </w:p>
    <w:p>
      <w:pPr>
        <w:ind w:left="1800" w:right="499" w:hanging="180"/>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of directors approve, the compensation of our Chief Executive Officer and other executive officers;</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director compensation;</w:t>
      </w:r>
    </w:p>
    <w:p>
      <w:pPr>
        <w:spacing w:after="0" w:line="90" w:lineRule="exact"/>
        <w:rPr>
          <w:rFonts w:ascii="Arial" w:cs="Arial" w:eastAsia="Arial" w:hAnsi="Arial"/>
          <w:sz w:val="18"/>
          <w:szCs w:val="18"/>
          <w:color w:val="auto"/>
        </w:rPr>
      </w:pPr>
    </w:p>
    <w:p>
      <w:pPr>
        <w:ind w:left="1800" w:right="899" w:hanging="180"/>
        <w:spacing w:after="0" w:line="308" w:lineRule="auto"/>
        <w:tabs>
          <w:tab w:leader="none" w:pos="18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reviewing and approving incentive compensation and equity-based plans and arrangements and making grants of cash-based and equity-based awards under such plans;</w:t>
      </w:r>
    </w:p>
    <w:p>
      <w:pPr>
        <w:spacing w:after="0" w:line="51"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all employment agreements and severance arrangements for the executive officers;</w:t>
      </w:r>
    </w:p>
    <w:p>
      <w:pPr>
        <w:spacing w:after="0" w:line="62"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participating in the oversight of success plans for the chief executive officer and other executive officers or senior management, and advising on the recruitment, retention and operation of the senior executive team, as appropriate;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required under the SEC rules;</w:t>
      </w:r>
    </w:p>
    <w:p>
      <w:pPr>
        <w:spacing w:after="0" w:line="130" w:lineRule="exact"/>
        <w:rPr>
          <w:rFonts w:ascii="Arial" w:cs="Arial" w:eastAsia="Arial" w:hAnsi="Arial"/>
          <w:sz w:val="18"/>
          <w:szCs w:val="18"/>
          <w:color w:val="auto"/>
        </w:rPr>
      </w:pPr>
    </w:p>
    <w:p>
      <w:pPr>
        <w:ind w:left="1800" w:right="639" w:hanging="180"/>
        <w:spacing w:after="0" w:line="259"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the extent a Compensation Discussion Analysis (“CD&amp;A”) is required, in the annual report on Form 10-K or annual proxy statement, reviewing and discussing with management the CD&amp;A and considering whether it will recommend to our board of directors that the CD&amp;A be included in the appropriate filing;</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reporting regularly to our board of directors regarding the activities of the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periodically performing an evaluation of the performance of the committee; and</w:t>
      </w:r>
    </w:p>
    <w:p>
      <w:pPr>
        <w:spacing w:after="0" w:line="117"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annually reviewing and reassessing the charter and submitting any recommended changes to our board of directors for its consideration.</w:t>
      </w:r>
    </w:p>
    <w:p>
      <w:pPr>
        <w:spacing w:after="0" w:line="35"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 xml:space="preserve">Upon the consummation of the Transactions, our compensation committee will consist of Cynthia Arnold, Elizabeth Fessenden, Harald von Heynitz, Barbara Humpton and Julian Nebreda, with Ms. Arnold serving as chair. We intend to avail ourselves of the “controlled company” exception under the Nasdaq rules, which exempts us from the requirement that we have a compensation committee composed entirely of independent directors. Barbara Humpton and Julian Nebreda do not qualify as “independent directors” under the Nasdaq rules. Our board of directors will adopt a written charter for the compensation committee, which will be available on our principal corporate website at </w:t>
      </w:r>
      <w:r>
        <w:rPr>
          <w:rFonts w:ascii="Arial" w:cs="Arial" w:eastAsia="Arial" w:hAnsi="Arial"/>
          <w:sz w:val="17"/>
          <w:szCs w:val="17"/>
          <w:i w:val="1"/>
          <w:iCs w:val="1"/>
          <w:color w:val="auto"/>
        </w:rPr>
        <w:t>https://fluenceenergy.com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Oversight</w:t>
      </w:r>
    </w:p>
    <w:p>
      <w:pPr>
        <w:spacing w:after="0" w:line="9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policies and strategy, the most significant risks facing us, and oversee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None of our executive officers serves as a member of the board of directors or compensation committee (or other committee performing equivalent functions) of any entity that has one or more executive officers serving on our board of directors or compensation committee.</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 xml:space="preserve">Fluence Energy, LLC has had a written code of business conduct and ethics since 2018. Prior to the completion of the Transactions, Fluence Energy, Inc. will adopt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t>
      </w:r>
      <w:r>
        <w:rPr>
          <w:rFonts w:ascii="Arial" w:cs="Arial" w:eastAsia="Arial" w:hAnsi="Arial"/>
          <w:sz w:val="18"/>
          <w:szCs w:val="18"/>
          <w:i w:val="1"/>
          <w:iCs w:val="1"/>
          <w:color w:val="auto"/>
        </w:rPr>
        <w:t>https://fluenceenergy.com</w:t>
      </w:r>
      <w:r>
        <w:rPr>
          <w:rFonts w:ascii="Arial" w:cs="Arial" w:eastAsia="Arial" w:hAnsi="Arial"/>
          <w:sz w:val="18"/>
          <w:szCs w:val="18"/>
          <w:color w:val="auto"/>
        </w:rPr>
        <w:t>. In addition, we intend to post on our website all disclosures that are required by law or the Nasdaq rules concerning any amendments to, or</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color w:val="auto"/>
        </w:rPr>
        <w:t>waivers from, any provision of the code. The information on any of our websites is deemed not to be incorporated in this prospectus or to be part of this prospectus.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None of our directors for our fiscal year ended September 30, 2021 or any prior fiscal years have received any compensation for their services as a director. In connection with this offering, we have implemented a policy, effective as of this offering, pursuant to which each independent non-employee independent director will receive an annual director fee of $50,000 as well as an additional annual fee of $25,000 for service as our chairman and $10,000 for service as the chair of our audit committee, compensation committee, or nominating and corporate governance committee, each earned on a quarterly basis. Each non-employee independent director will also receive an annual equity award with a grant date value of $100,000 which will vest in full on the date of our annual shareholder meeting immediately following the date of grant, subject to the non-employee independent director continuing in service through such meeting date, as well as an equity award with a grant date value of $100,000 in connection with this offering. The award is further subject to accelerated vesting upon a change in control (to be defined in the 2021 Incentive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“2021 Summary Compensation Table” below. For the year ended September 30, 2021, our “named executive officers” and their positions were as follows:</w:t>
      </w:r>
    </w:p>
    <w:p>
      <w:pPr>
        <w:spacing w:after="0" w:line="76" w:lineRule="exact"/>
        <w:rPr>
          <w:sz w:val="20"/>
          <w:szCs w:val="20"/>
          <w:color w:val="auto"/>
        </w:rPr>
      </w:pPr>
    </w:p>
    <w:p>
      <w:pPr>
        <w:ind w:left="1800" w:hanging="180"/>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Manuel Perez Dubuc, Chief Executive Officer;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Dennis Fehr, Chief Financial Officer;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Rebecca Boll, Chief Product Officer;</w:t>
      </w:r>
    </w:p>
    <w:p>
      <w:pPr>
        <w:spacing w:after="0" w:line="15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2021 Summary Compensation Table</w:t>
      </w:r>
    </w:p>
    <w:p>
      <w:pPr>
        <w:spacing w:after="0" w:line="162"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our fiscal year ended September 30, 2021.</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91"/>
              </w:rPr>
              <w:t>Salary ($)</w:t>
            </w:r>
          </w:p>
        </w:tc>
        <w:tc>
          <w:tcPr>
            <w:tcW w:w="22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88"/>
              </w:rPr>
              <w:t>Stock Awards ($)</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Option Awards ($)</w:t>
            </w:r>
          </w:p>
        </w:tc>
        <w:tc>
          <w:tcPr>
            <w:tcW w:w="74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Manuel Perez Dubuc</w:t>
            </w: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2021</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412,395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240"/>
              <w:spacing w:after="0" w:line="222" w:lineRule="exact"/>
              <w:rPr>
                <w:sz w:val="20"/>
                <w:szCs w:val="20"/>
                <w:color w:val="auto"/>
              </w:rPr>
            </w:pPr>
            <w:r>
              <w:rPr>
                <w:rFonts w:ascii="Arial" w:cs="Arial" w:eastAsia="Arial" w:hAnsi="Arial"/>
                <w:sz w:val="17"/>
                <w:szCs w:val="17"/>
                <w:color w:val="auto"/>
                <w:w w:val="95"/>
              </w:rPr>
              <w:t>673,992</w:t>
            </w:r>
            <w:r>
              <w:rPr>
                <w:rFonts w:ascii="Arial" w:cs="Arial" w:eastAsia="Arial" w:hAnsi="Arial"/>
                <w:sz w:val="25"/>
                <w:szCs w:val="25"/>
                <w:color w:val="auto"/>
                <w:w w:val="95"/>
                <w:vertAlign w:val="superscript"/>
              </w:rPr>
              <w:t>(2)</w:t>
            </w:r>
          </w:p>
        </w:tc>
        <w:tc>
          <w:tcPr>
            <w:tcW w:w="220" w:type="dxa"/>
            <w:vAlign w:val="bottom"/>
            <w:vMerge w:val="continue"/>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609,316</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1,695,703</w:t>
            </w:r>
          </w:p>
        </w:tc>
        <w:tc>
          <w:tcPr>
            <w:tcW w:w="0" w:type="dxa"/>
            <w:vAlign w:val="bottom"/>
          </w:tcPr>
          <w:p>
            <w:pPr>
              <w:spacing w:after="0"/>
              <w:rPr>
                <w:sz w:val="1"/>
                <w:szCs w:val="1"/>
                <w:color w:val="auto"/>
              </w:rPr>
            </w:pPr>
          </w:p>
        </w:tc>
      </w:tr>
      <w:tr>
        <w:trPr>
          <w:trHeight w:val="244"/>
        </w:trPr>
        <w:tc>
          <w:tcPr>
            <w:tcW w:w="344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gridSpan w:val="3"/>
          </w:tcPr>
          <w:p>
            <w:pPr>
              <w:spacing w:after="0"/>
              <w:rPr>
                <w:sz w:val="20"/>
                <w:szCs w:val="20"/>
                <w:color w:val="auto"/>
              </w:rPr>
            </w:pPr>
            <w:r>
              <w:rPr>
                <w:rFonts w:ascii="Arial" w:cs="Arial" w:eastAsia="Arial" w:hAnsi="Arial"/>
                <w:sz w:val="18"/>
                <w:szCs w:val="18"/>
                <w:color w:val="auto"/>
              </w:rPr>
              <w:t>Dennis Fehr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2021</w:t>
            </w:r>
          </w:p>
        </w:tc>
        <w:tc>
          <w:tcPr>
            <w:tcW w:w="620" w:type="dxa"/>
            <w:vAlign w:val="bottom"/>
          </w:tcPr>
          <w:p>
            <w:pPr>
              <w:ind w:left="20"/>
              <w:spacing w:after="0"/>
              <w:rPr>
                <w:sz w:val="20"/>
                <w:szCs w:val="20"/>
                <w:color w:val="auto"/>
              </w:rPr>
            </w:pPr>
            <w:r>
              <w:rPr>
                <w:rFonts w:ascii="Arial" w:cs="Arial" w:eastAsia="Arial" w:hAnsi="Arial"/>
                <w:sz w:val="18"/>
                <w:szCs w:val="18"/>
                <w:color w:val="auto"/>
                <w:w w:val="89"/>
              </w:rPr>
              <w:t>305,711</w:t>
            </w:r>
          </w:p>
        </w:tc>
        <w:tc>
          <w:tcPr>
            <w:tcW w:w="220" w:type="dxa"/>
            <w:vAlign w:val="bottom"/>
          </w:tcPr>
          <w:p>
            <w:pPr>
              <w:spacing w:after="0"/>
              <w:rPr>
                <w:sz w:val="19"/>
                <w:szCs w:val="19"/>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302,808</w:t>
            </w: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274,371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882,890</w:t>
            </w:r>
          </w:p>
        </w:tc>
        <w:tc>
          <w:tcPr>
            <w:tcW w:w="0" w:type="dxa"/>
            <w:vAlign w:val="bottom"/>
          </w:tcPr>
          <w:p>
            <w:pPr>
              <w:spacing w:after="0"/>
              <w:rPr>
                <w:sz w:val="1"/>
                <w:szCs w:val="1"/>
                <w:color w:val="auto"/>
              </w:rPr>
            </w:pPr>
          </w:p>
        </w:tc>
      </w:tr>
      <w:tr>
        <w:trPr>
          <w:trHeight w:val="237"/>
        </w:trPr>
        <w:tc>
          <w:tcPr>
            <w:tcW w:w="3440" w:type="dxa"/>
            <w:vAlign w:val="bottom"/>
            <w:gridSpan w:val="3"/>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Rebecca Boll</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2021</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306,557</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270,248</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243,192</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819,997</w:t>
            </w:r>
          </w:p>
        </w:tc>
        <w:tc>
          <w:tcPr>
            <w:tcW w:w="0" w:type="dxa"/>
            <w:vAlign w:val="bottom"/>
          </w:tcPr>
          <w:p>
            <w:pPr>
              <w:spacing w:after="0"/>
              <w:rPr>
                <w:sz w:val="1"/>
                <w:szCs w:val="1"/>
                <w:color w:val="auto"/>
              </w:rPr>
            </w:pPr>
          </w:p>
        </w:tc>
      </w:tr>
      <w:tr>
        <w:trPr>
          <w:trHeight w:val="244"/>
        </w:trPr>
        <w:tc>
          <w:tcPr>
            <w:tcW w:w="344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Chief Product Officer</w:t>
            </w: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4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-1062355</wp:posOffset>
            </wp:positionV>
            <wp:extent cx="137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-1062355</wp:posOffset>
            </wp:positionV>
            <wp:extent cx="137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-1062355</wp:posOffset>
            </wp:positionV>
            <wp:extent cx="137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-1062355</wp:posOffset>
            </wp:positionV>
            <wp:extent cx="137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-1062355</wp:posOffset>
            </wp:positionV>
            <wp:extent cx="137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620" w:right="439" w:hanging="360"/>
        <w:spacing w:after="0" w:line="25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and individual bonus factors required for our board of directors to determine the annual, performance-based bonuses for fiscal year 2021 are not final, and accordingly our board of directors has not yet determined the bonus amounts for our named executive officers. We anticipate that such determinations will be made in the first quarter of the fiscal year 2022, at which time the Company will disclose the amount of such bonuses.</w:t>
      </w:r>
    </w:p>
    <w:p>
      <w:pPr>
        <w:spacing w:after="0" w:line="39" w:lineRule="exact"/>
        <w:rPr>
          <w:rFonts w:ascii="Arial" w:cs="Arial" w:eastAsia="Arial" w:hAnsi="Arial"/>
          <w:sz w:val="18"/>
          <w:szCs w:val="18"/>
          <w:color w:val="auto"/>
        </w:rPr>
      </w:pPr>
    </w:p>
    <w:p>
      <w:pPr>
        <w:ind w:left="1620" w:right="439" w:hanging="360"/>
        <w:spacing w:after="0" w:line="259"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fiscal year 2021, we granted 20,700 phantom units to Mr. Dubuc on April 2, 2021. However, in September 2021, the Company and Mr. Dubuc mutually agreed that Mr. Dubuc would relinquish his phantom units awarded on April 2, 2021, in connection with the compensation review in anticipation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Base Salaries</w:t>
      </w:r>
    </w:p>
    <w:p>
      <w:pPr>
        <w:spacing w:after="0" w:line="14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w:t>
      </w:r>
    </w:p>
    <w:p>
      <w:pPr>
        <w:spacing w:after="0" w:line="9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The actual salaries paid to each named executive officer for 2021 are set forth in the “Summary Compensation Table” above in the column entitled “Salary.” Effective August 1, 2021, each named executive officer received a base salary increase. Mr. Dubuc’s current base salary is $450,000, Mr. Fehr’s current base salary is $350,000 and Ms. Boll’s current base salary is $325,000.</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Bonus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Annual Cash Bonus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Each of our named executive officers are eligible for an annual, performance-based bonus for fiscal year 2021. The performance-based bonus has both a Company bonus factor and an individual bonus factor. The Company bonus factor is determined as a percentage, up to 200%. The individual bonus factor is determined using a five-point rating score, of which the Company will ascribe as a percentage, up to 125%. The amount of the annual bonus for each named executive officer will be determined by our board of directors. Mr. Dubuc’s target annual bonus opportunity for fiscal year 2021 was $337,500, which was 75% of his annual base salary for fiscal year 2021, which increased from 70% in August 2021. Mr. Fehr’s target annual bonus opportunity for fiscal year 2021 was $175,000, which was 50% of his annual base salary for fiscal year 2021. Ms. Boll’s target annual bonus opportunity for fiscal year 2021 was $146,250, which was 45% of her annual base salary for fiscal year 2021, which increased from 40% in August 2021. The Company and individual bonus factors required for our board of directors to determine the annual, performance-based bonuses for fiscal year 2021 are not final, and accordingly our board of directors has not yet determined the bonus amounts for our named executive officers. We anticipate that such determinations will be made in the first quarter of the fiscal year 2022, at which time the Company will disclose the amount of such bonuses.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Long Term Incentive Program</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2018, the Company approved the cash long term incentive program, pursuant to which participants were eligible to earn a cash bonus based on a three-year performance period dependent on the Company’s achievement of certain target metrics of revenue, profit and/or operating cash flow. Mr. Fehr received awards under such program for the following performance periods: fiscal year 2018 through fiscal year 2020, fiscal year 2019 through fiscal year 2021 and fiscal year 2020 through fiscal year 2022. For the performance period ending in fiscal year 2021, Mr. Fehr’s target bonus under the incentive program was $137,500. Ms. Boll only participated in such program for the fiscal year 2020 through fiscal year 2023 performance period and Mr. Dubuc did not participate in such program. The Company bonus factors required for our board of directors to determine Mr. Fehr’s bonus under this long term incentive program for the performance period ending in fiscal year 2021 are not final, and accordingly our board of directors has not yet determined the bonus amount for him. We anticipate that such determination will be made in the first quarter of the fiscal year 2022, at which time the Company will disclose the amount of such bonuses.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Unit Option Plan of Fluence Energy, LLC</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maintain the 2020 Unit Option Plan of Fluence Energy, LLC (the “Existing Equity Plan”). The Existing Equity Plan provides our employees (including the named executive officers), consultants, non-employee directors, and other service providers and those of our affiliates the opportunity to participate in the equity appreciation of our business through the receipt of options to purchase Class A-1 Units. We believe that such unit options encourage a sense of proprietorship and stimulate interest in our development and financial success. Following this offering, no further awards are expected to be made under the Existing Equity Plan.</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fiscal year 2021, we granted unit options to Messrs. Dubuc and Fehr and Ms. Boll on April 2, 2021, covering 68,400, 30,800, and 27,300 Class A-1 Units, respectively. Unit option awards are each scheduled to vest upon the satisfaction of a service-based requirement and a liquidity-event requirement. The service-based requirement will be satisfied over a three-year period, as to one-third of the unit option on each of the first, second and third anniversaries of the grant date, subject to the executive’s continued employment with the Company through each applicable vesting date. The liquidity-event requirement will be satisfied upon the earlier to occur of a Liquidation Event, as defined in the Existing Equity Plan (which generally means a merger, consolidation or similar transaction where the Class A-1 Units do not continue to represent a majority of the voting power of the surviving entity (or a parent thereof) or a sale, lease, transfer, license or other disposition of substantially all of the Company’s assets), or an initial public offering, which includes this offering, subject to continued service through such liquidity event.</w:t>
      </w:r>
    </w:p>
    <w:p>
      <w:pPr>
        <w:spacing w:after="0" w:line="101" w:lineRule="exact"/>
        <w:rPr>
          <w:sz w:val="20"/>
          <w:szCs w:val="20"/>
          <w:color w:val="auto"/>
        </w:rPr>
      </w:pPr>
    </w:p>
    <w:p>
      <w:pPr>
        <w:ind w:left="1260" w:right="619" w:firstLine="360"/>
        <w:spacing w:after="0" w:line="279" w:lineRule="auto"/>
        <w:rPr>
          <w:sz w:val="20"/>
          <w:szCs w:val="20"/>
          <w:color w:val="auto"/>
        </w:rPr>
      </w:pPr>
      <w:r>
        <w:rPr>
          <w:rFonts w:ascii="Arial" w:cs="Arial" w:eastAsia="Arial" w:hAnsi="Arial"/>
          <w:sz w:val="17"/>
          <w:szCs w:val="17"/>
          <w:color w:val="auto"/>
        </w:rPr>
        <w:t>It is anticipated that any unit options granted pursuant to the Existing Equity Plan will be converted into stock options in the Company and remain outstanding and continue to vest in accordance with their terms upon and following the effectiveness of this offering. Each Class A-1 Unit subject to an outstanding grant under the Existing Equity Plan will be converted into approximately 14.8 shares of the Company.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Fluence Energy, LLC Phantom Equity Incentive Plan</w:t>
      </w:r>
    </w:p>
    <w:p>
      <w:pPr>
        <w:spacing w:after="0" w:line="15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also maintain the Fluence Energy, LLC Phantom Equity Incentive Plan (the “Existing Phantom Equity Plan”). The Existing Phantom Equity Plan is designed to further align employees’ interests with the interests of Fluence Energy, LLC, and its subsidiaries, and each phantom unit granted under the Existing Phantom Equity Plan represents a right to a potential one-time payment equal to the value of a Class A-1 Unit, less such phantom unit’s strike price (if any). In general, awards of phantom equity vest and are paid upon the six-month anniversary of an initial public offering, which includes this offering, unless otherwise determined by a majority of each of the Class A and Class B Units, subject to continued employment through such date. However, in connection with this offering, the awards for Mr. Fehr and Ms. Boll and certain other executive team members will vest with respect to 1/3 of their respective phantom units on each of the sixth, eighteenth and thirtieth-month anniversaries of this offering.</w:t>
      </w:r>
    </w:p>
    <w:p>
      <w:pPr>
        <w:spacing w:after="0" w:line="118"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In fiscal year 2021, we granted phantom units to Messrs. Dubuc and Fehr and Ms. Boll, on April 2, 2021, which following this offering will be in respect of 306,248, 137,589 and 122,795 shares of the Company, respectively. The strike price of such phantom units was $0.00. However, in September 2021, the Company and Mr. Dubuc mutually agreed that Mr. Dubuc would relinquish his phantom units awarded on April 2, 2021, in connection with the compensation review in anticipation of this offering.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have adopted the 2021 Incentive Award Plan in connection with this offering in order to facilitate the grant of cash and equity incentives to directors, employees (including our named executive officers) and consultants of the Company and certain of its affiliates and to enable the Company and certain of its affiliates to obtain and retain services of these individuals, which we believe is essential to our long-term success. For additional information about the 2021 Incentive Award Plan, please see the section titled “New Incentive Plans” below.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Elements of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The Internal Revenue Code allows eligible employees to defer a portion of their compensation, within prescribed limits, on a pre-tax basis through contributions to the 401(k) plan. Currently, we match employee contributions up to a maximum of 5% of the employee’s compensation per pay period. We believe that providing a vehicle for tax-deferred retirement savings though our 401(k) plan, and making matching and non-elective contributions, adds to the overall desirability of our executive compensation package and further incentivizes our employees, including our named executive officers, in accordance with our compensation policies.</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44"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Health/Welfare Plans</w:t>
      </w:r>
      <w:r>
        <w:rPr>
          <w:rFonts w:ascii="Arial" w:cs="Arial" w:eastAsia="Arial" w:hAnsi="Arial"/>
          <w:sz w:val="18"/>
          <w:szCs w:val="18"/>
          <w:color w:val="auto"/>
        </w:rPr>
        <w:t>. All of our full-time employees, including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our health and welfare plans, including:</w:t>
      </w:r>
    </w:p>
    <w:p>
      <w:pPr>
        <w:spacing w:after="0" w:line="62" w:lineRule="exact"/>
        <w:rPr>
          <w:sz w:val="20"/>
          <w:szCs w:val="20"/>
          <w:color w:val="auto"/>
        </w:rPr>
      </w:pPr>
    </w:p>
    <w:p>
      <w:pPr>
        <w:ind w:left="1800" w:hanging="180"/>
        <w:spacing w:after="0"/>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commuter benefits;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health savings account and flexible spending account;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dependent care program;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employee assistance program.</w:t>
      </w:r>
    </w:p>
    <w:p>
      <w:pPr>
        <w:spacing w:after="0" w:line="15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We believe the benefits described above are necessary and appropriate to provide a competitive compensation package to our employees, including our named executive officers.</w:t>
      </w:r>
    </w:p>
    <w:p>
      <w:pPr>
        <w:spacing w:after="0" w:line="103" w:lineRule="exact"/>
        <w:rPr>
          <w:sz w:val="20"/>
          <w:szCs w:val="20"/>
          <w:color w:val="auto"/>
        </w:rPr>
      </w:pPr>
    </w:p>
    <w:p>
      <w:pPr>
        <w:ind w:left="1620"/>
        <w:spacing w:after="0"/>
        <w:tabs>
          <w:tab w:leader="none" w:pos="2640" w:val="left"/>
        </w:tabs>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did not provide any perquisites to our named executives officers in fiscal year 2021.</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44"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48" w:lineRule="exact"/>
        <w:rPr>
          <w:sz w:val="20"/>
          <w:szCs w:val="20"/>
          <w:color w:val="auto"/>
        </w:rPr>
      </w:pPr>
    </w:p>
    <w:p>
      <w:pPr>
        <w:ind w:left="1260" w:right="600" w:firstLine="360"/>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September 30, 2021.</w:t>
      </w:r>
    </w:p>
    <w:p>
      <w:pPr>
        <w:spacing w:after="0" w:line="175" w:lineRule="exact"/>
        <w:rPr>
          <w:sz w:val="20"/>
          <w:szCs w:val="20"/>
          <w:color w:val="auto"/>
        </w:rPr>
      </w:pPr>
    </w:p>
    <w:tbl>
      <w:tblPr>
        <w:tblLayout w:type="fixed"/>
        <w:tblInd w:w="78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Incentive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Plan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Unearned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Payout Value</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Value of</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Shares,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 or</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Units or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7"/>
              </w:rPr>
              <w:t>Option</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Units 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Units of</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Grant</w:t>
            </w: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6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That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That</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8"/>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Options (#)</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Options (#)</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Unearned</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Expiration</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Have Not</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Have Not</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Have Not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212"/>
        </w:trPr>
        <w:tc>
          <w:tcPr>
            <w:tcW w:w="10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Price ($)</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Vested (#)</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Vested ($)</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Vested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Vested ($)</w:t>
            </w:r>
            <w:r>
              <w:rPr>
                <w:rFonts w:ascii="Arial" w:cs="Arial" w:eastAsia="Arial" w:hAnsi="Arial"/>
                <w:sz w:val="17"/>
                <w:szCs w:val="17"/>
                <w:b w:val="1"/>
                <w:bCs w:val="1"/>
                <w:color w:val="auto"/>
                <w:w w:val="84"/>
                <w:vertAlign w:val="superscript"/>
              </w:rPr>
              <w:t>(4)</w:t>
            </w:r>
          </w:p>
        </w:tc>
        <w:tc>
          <w:tcPr>
            <w:tcW w:w="0" w:type="dxa"/>
            <w:vAlign w:val="bottom"/>
          </w:tcPr>
          <w:p>
            <w:pPr>
              <w:spacing w:after="0"/>
              <w:rPr>
                <w:sz w:val="1"/>
                <w:szCs w:val="1"/>
                <w:color w:val="auto"/>
              </w:rPr>
            </w:pPr>
          </w:p>
        </w:tc>
      </w:tr>
      <w:tr>
        <w:trPr>
          <w:trHeight w:val="250"/>
        </w:trPr>
        <w:tc>
          <w:tcPr>
            <w:tcW w:w="1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Manuel Dubuc</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4/2/2021</w:t>
            </w:r>
          </w:p>
        </w:tc>
        <w:tc>
          <w:tcPr>
            <w:tcW w:w="840" w:type="dxa"/>
            <w:vAlign w:val="bottom"/>
            <w:gridSpan w:val="3"/>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right"/>
              <w:spacing w:after="0" w:line="250" w:lineRule="exact"/>
              <w:rPr>
                <w:sz w:val="20"/>
                <w:szCs w:val="20"/>
                <w:color w:val="auto"/>
              </w:rPr>
            </w:pPr>
            <w:r>
              <w:rPr>
                <w:rFonts w:ascii="Arial" w:cs="Arial" w:eastAsia="Arial" w:hAnsi="Arial"/>
                <w:sz w:val="16"/>
                <w:szCs w:val="16"/>
                <w:color w:val="auto"/>
                <w:w w:val="93"/>
              </w:rPr>
              <w:t>1,011,952</w:t>
            </w:r>
            <w:r>
              <w:rPr>
                <w:rFonts w:ascii="Arial" w:cs="Arial" w:eastAsia="Arial" w:hAnsi="Arial"/>
                <w:sz w:val="25"/>
                <w:szCs w:val="25"/>
                <w:color w:val="auto"/>
                <w:w w:val="93"/>
                <w:vertAlign w:val="superscript"/>
              </w:rPr>
              <w:t>(1)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line="250" w:lineRule="exact"/>
              <w:rPr>
                <w:sz w:val="20"/>
                <w:szCs w:val="20"/>
                <w:color w:val="auto"/>
              </w:rPr>
            </w:pPr>
            <w:r>
              <w:rPr>
                <w:rFonts w:ascii="Arial" w:cs="Arial" w:eastAsia="Arial" w:hAnsi="Arial"/>
                <w:sz w:val="16"/>
                <w:szCs w:val="16"/>
                <w:color w:val="auto"/>
                <w:w w:val="93"/>
              </w:rPr>
              <w:t>2.45</w:t>
            </w:r>
            <w:r>
              <w:rPr>
                <w:rFonts w:ascii="Arial" w:cs="Arial" w:eastAsia="Arial" w:hAnsi="Arial"/>
                <w:sz w:val="25"/>
                <w:szCs w:val="25"/>
                <w:color w:val="auto"/>
                <w:w w:val="93"/>
                <w:vertAlign w:val="superscript"/>
              </w:rPr>
              <w:t>(2)</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4/2/2031</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2"/>
        </w:trPr>
        <w:tc>
          <w:tcPr>
            <w:tcW w:w="1080" w:type="dxa"/>
            <w:vAlign w:val="bottom"/>
            <w:gridSpan w:val="3"/>
          </w:tcPr>
          <w:p>
            <w:pPr>
              <w:spacing w:after="0"/>
              <w:rPr>
                <w:sz w:val="20"/>
                <w:szCs w:val="20"/>
                <w:color w:val="auto"/>
              </w:rPr>
            </w:pPr>
            <w:r>
              <w:rPr>
                <w:rFonts w:ascii="Arial" w:cs="Arial" w:eastAsia="Arial" w:hAnsi="Arial"/>
                <w:sz w:val="16"/>
                <w:szCs w:val="16"/>
                <w:color w:val="auto"/>
              </w:rPr>
              <w:t>Dennis Fehr</w:t>
            </w:r>
          </w:p>
        </w:tc>
        <w:tc>
          <w:tcPr>
            <w:tcW w:w="720" w:type="dxa"/>
            <w:vAlign w:val="bottom"/>
            <w:gridSpan w:val="3"/>
          </w:tcPr>
          <w:p>
            <w:pPr>
              <w:jc w:val="center"/>
              <w:spacing w:after="0"/>
              <w:rPr>
                <w:sz w:val="20"/>
                <w:szCs w:val="20"/>
                <w:color w:val="auto"/>
              </w:rPr>
            </w:pPr>
            <w:r>
              <w:rPr>
                <w:rFonts w:ascii="Arial" w:cs="Arial" w:eastAsia="Arial" w:hAnsi="Arial"/>
                <w:sz w:val="16"/>
                <w:szCs w:val="16"/>
                <w:color w:val="auto"/>
                <w:w w:val="89"/>
              </w:rPr>
              <w:t>4/2/2021</w:t>
            </w:r>
          </w:p>
        </w:tc>
        <w:tc>
          <w:tcPr>
            <w:tcW w:w="840" w:type="dxa"/>
            <w:vAlign w:val="bottom"/>
            <w:gridSpan w:val="3"/>
          </w:tcPr>
          <w:p>
            <w:pPr>
              <w:jc w:val="center"/>
              <w:ind w:right="8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500" w:type="dxa"/>
            <w:vAlign w:val="bottom"/>
            <w:gridSpan w:val="3"/>
          </w:tcPr>
          <w:p>
            <w:pPr>
              <w:jc w:val="right"/>
              <w:spacing w:after="0" w:line="242" w:lineRule="exact"/>
              <w:rPr>
                <w:sz w:val="20"/>
                <w:szCs w:val="20"/>
                <w:color w:val="auto"/>
              </w:rPr>
            </w:pPr>
            <w:r>
              <w:rPr>
                <w:rFonts w:ascii="Arial" w:cs="Arial" w:eastAsia="Arial" w:hAnsi="Arial"/>
                <w:sz w:val="16"/>
                <w:szCs w:val="16"/>
                <w:color w:val="auto"/>
              </w:rPr>
              <w:t>455,674</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2.45</w:t>
            </w:r>
            <w:r>
              <w:rPr>
                <w:rFonts w:ascii="Arial" w:cs="Arial" w:eastAsia="Arial" w:hAnsi="Arial"/>
                <w:sz w:val="25"/>
                <w:szCs w:val="25"/>
                <w:color w:val="auto"/>
                <w:vertAlign w:val="superscript"/>
              </w:rPr>
              <w:t>(2)</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4/2/2031</w:t>
            </w:r>
          </w:p>
        </w:tc>
        <w:tc>
          <w:tcPr>
            <w:tcW w:w="80" w:type="dxa"/>
            <w:vAlign w:val="bottom"/>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1"/>
        </w:trPr>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6"/>
                <w:szCs w:val="16"/>
                <w:color w:val="auto"/>
                <w:w w:val="89"/>
              </w:rPr>
              <w:t>4/2/2021</w:t>
            </w:r>
          </w:p>
        </w:tc>
        <w:tc>
          <w:tcPr>
            <w:tcW w:w="840" w:type="dxa"/>
            <w:vAlign w:val="bottom"/>
            <w:gridSpan w:val="3"/>
          </w:tcPr>
          <w:p>
            <w:pPr>
              <w:jc w:val="center"/>
              <w:ind w:right="8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60"/>
              <w:spacing w:after="0" w:line="271" w:lineRule="exact"/>
              <w:rPr>
                <w:sz w:val="20"/>
                <w:szCs w:val="20"/>
                <w:color w:val="auto"/>
              </w:rPr>
            </w:pPr>
            <w:r>
              <w:rPr>
                <w:rFonts w:ascii="Arial" w:cs="Arial" w:eastAsia="Arial" w:hAnsi="Arial"/>
                <w:sz w:val="16"/>
                <w:szCs w:val="16"/>
                <w:color w:val="auto"/>
                <w:w w:val="99"/>
              </w:rPr>
              <w:t>137,589</w:t>
            </w:r>
            <w:r>
              <w:rPr>
                <w:rFonts w:ascii="Arial" w:cs="Arial" w:eastAsia="Arial" w:hAnsi="Arial"/>
                <w:sz w:val="25"/>
                <w:szCs w:val="25"/>
                <w:color w:val="auto"/>
                <w:w w:val="99"/>
                <w:vertAlign w:val="superscript"/>
              </w:rPr>
              <w:t>(3)</w:t>
            </w: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2"/>
        </w:trPr>
        <w:tc>
          <w:tcPr>
            <w:tcW w:w="1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Rebecca Boll</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4/2/2021</w:t>
            </w:r>
          </w:p>
        </w:tc>
        <w:tc>
          <w:tcPr>
            <w:tcW w:w="840" w:type="dxa"/>
            <w:vAlign w:val="bottom"/>
            <w:gridSpan w:val="3"/>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60" w:type="dxa"/>
            <w:vAlign w:val="bottom"/>
            <w:gridSpan w:val="2"/>
            <w:shd w:val="clear" w:color="auto" w:fill="CCEEFF"/>
          </w:tcPr>
          <w:p>
            <w:pPr>
              <w:jc w:val="right"/>
              <w:ind w:right="60"/>
              <w:spacing w:after="0" w:line="242" w:lineRule="exact"/>
              <w:rPr>
                <w:sz w:val="20"/>
                <w:szCs w:val="20"/>
                <w:color w:val="auto"/>
              </w:rPr>
            </w:pPr>
            <w:r>
              <w:rPr>
                <w:rFonts w:ascii="Arial" w:cs="Arial" w:eastAsia="Arial" w:hAnsi="Arial"/>
                <w:sz w:val="16"/>
                <w:szCs w:val="16"/>
                <w:color w:val="auto"/>
              </w:rPr>
              <w:t>403,893</w:t>
            </w:r>
            <w:r>
              <w:rPr>
                <w:rFonts w:ascii="Arial" w:cs="Arial" w:eastAsia="Arial" w:hAnsi="Arial"/>
                <w:sz w:val="25"/>
                <w:szCs w:val="25"/>
                <w:color w:val="auto"/>
                <w:vertAlign w:val="superscript"/>
              </w:rPr>
              <w:t>(1)</w:t>
            </w:r>
          </w:p>
        </w:tc>
        <w:tc>
          <w:tcPr>
            <w:tcW w:w="540" w:type="dxa"/>
            <w:vAlign w:val="bottom"/>
            <w:shd w:val="clear" w:color="auto" w:fill="CCEEFF"/>
          </w:tcPr>
          <w:p>
            <w:pPr>
              <w:jc w:val="right"/>
              <w:spacing w:after="0" w:line="242" w:lineRule="exact"/>
              <w:rPr>
                <w:sz w:val="20"/>
                <w:szCs w:val="20"/>
                <w:color w:val="auto"/>
              </w:rPr>
            </w:pPr>
            <w:r>
              <w:rPr>
                <w:rFonts w:ascii="Arial" w:cs="Arial" w:eastAsia="Arial" w:hAnsi="Arial"/>
                <w:sz w:val="16"/>
                <w:szCs w:val="16"/>
                <w:color w:val="auto"/>
                <w:w w:val="93"/>
              </w:rPr>
              <w:t>2.45</w:t>
            </w:r>
            <w:r>
              <w:rPr>
                <w:rFonts w:ascii="Arial" w:cs="Arial" w:eastAsia="Arial" w:hAnsi="Arial"/>
                <w:sz w:val="25"/>
                <w:szCs w:val="25"/>
                <w:color w:val="auto"/>
                <w:w w:val="93"/>
                <w:vertAlign w:val="superscript"/>
              </w:rPr>
              <w:t>(2)</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4/2/2031</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4/2/2021</w:t>
            </w:r>
          </w:p>
        </w:tc>
        <w:tc>
          <w:tcPr>
            <w:tcW w:w="840" w:type="dxa"/>
            <w:vAlign w:val="bottom"/>
            <w:gridSpan w:val="3"/>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122,795</w:t>
            </w:r>
            <w:r>
              <w:rPr>
                <w:rFonts w:ascii="Arial" w:cs="Arial" w:eastAsia="Arial" w:hAnsi="Arial"/>
                <w:sz w:val="25"/>
                <w:szCs w:val="25"/>
                <w:color w:val="auto"/>
                <w:w w:val="99"/>
                <w:vertAlign w:val="superscript"/>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-1019810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-1019810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-1019810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-1019810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-1019810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-1019810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-1019810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-1019810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-1019810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-1019810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ind w:left="1620" w:right="580" w:hanging="360"/>
        <w:spacing w:after="0" w:line="254"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unit option awards vest upon the satisfaction of both a service-based requirement and a liquidity-event requirement. The service-based requirement will be satisfied over a three-year period, as to one-third of the unit option on each of the first, second and third anniversaries of April 2, 2021, subject to the executive’s continued employment with the Company through each applicable vesting date. The liquidity-event requirement will be satisfied upon the earlier to occur of a Liquidation Event or an initial public offering, which includes this offering, subject to continued service through such liquidity event. The number of options set forth herein represents the number of shares of Class A common stock subject to such options.</w:t>
      </w:r>
    </w:p>
    <w:p>
      <w:pPr>
        <w:spacing w:after="0" w:line="83" w:lineRule="exact"/>
        <w:rPr>
          <w:rFonts w:ascii="Arial" w:cs="Arial" w:eastAsia="Arial" w:hAnsi="Arial"/>
          <w:sz w:val="18"/>
          <w:szCs w:val="18"/>
          <w:color w:val="auto"/>
        </w:rPr>
      </w:pPr>
    </w:p>
    <w:p>
      <w:pPr>
        <w:ind w:left="1620" w:right="840" w:hanging="360"/>
        <w:spacing w:after="0" w:line="277"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exercise price set forth herein represents the per share Class A common stock exercise price of such options.</w:t>
      </w:r>
    </w:p>
    <w:p>
      <w:pPr>
        <w:spacing w:after="0" w:line="62" w:lineRule="exact"/>
        <w:rPr>
          <w:rFonts w:ascii="Arial" w:cs="Arial" w:eastAsia="Arial" w:hAnsi="Arial"/>
          <w:sz w:val="18"/>
          <w:szCs w:val="18"/>
          <w:color w:val="auto"/>
        </w:rPr>
      </w:pPr>
    </w:p>
    <w:p>
      <w:pPr>
        <w:ind w:left="1620" w:right="580" w:hanging="360"/>
        <w:spacing w:after="0" w:line="308" w:lineRule="auto"/>
        <w:tabs>
          <w:tab w:leader="none" w:pos="1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One-third of the phantom units will vest on each of the six-month, eighteen-month and thirtieth-month anniversaries of this offering, in each case, subject to continued employment through such date.</w:t>
      </w:r>
    </w:p>
    <w:p>
      <w:pPr>
        <w:spacing w:after="0" w:line="38" w:lineRule="exact"/>
        <w:rPr>
          <w:rFonts w:ascii="Arial" w:cs="Arial" w:eastAsia="Arial" w:hAnsi="Arial"/>
          <w:sz w:val="17"/>
          <w:szCs w:val="17"/>
          <w:color w:val="auto"/>
        </w:rPr>
      </w:pPr>
    </w:p>
    <w:p>
      <w:pPr>
        <w:ind w:left="1620" w:right="580" w:hanging="360"/>
        <w:spacing w:after="0" w:line="275" w:lineRule="auto"/>
        <w:tabs>
          <w:tab w:leader="none" w:pos="1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There is no public market for the phantom interests. For purposes of this disclosure, the Company has valued the phantom units using a third-party valuation on a per-unit basis as of September 30, 2021. The amount reported above under the heading “Equity Incentive Plan Awards: Market or Payout Value of Unearned Shares, Units or Other Rights That Have Not Vested” reflects the intrinsic value of the phantom units as of September 30, 2021, based upon the terms of each individual’s phantom units.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Employment and Severance Arrangements</w:t>
      </w:r>
    </w:p>
    <w:p>
      <w:pPr>
        <w:spacing w:after="0" w:line="162" w:lineRule="exact"/>
        <w:rPr>
          <w:sz w:val="20"/>
          <w:szCs w:val="20"/>
          <w:color w:val="auto"/>
        </w:rPr>
      </w:pPr>
    </w:p>
    <w:p>
      <w:pPr>
        <w:ind w:left="1260" w:right="720" w:firstLine="360"/>
        <w:spacing w:after="0" w:line="259" w:lineRule="auto"/>
        <w:rPr>
          <w:sz w:val="20"/>
          <w:szCs w:val="20"/>
          <w:color w:val="auto"/>
        </w:rPr>
      </w:pPr>
      <w:r>
        <w:rPr>
          <w:rFonts w:ascii="Arial" w:cs="Arial" w:eastAsia="Arial" w:hAnsi="Arial"/>
          <w:sz w:val="18"/>
          <w:szCs w:val="18"/>
          <w:color w:val="auto"/>
        </w:rPr>
        <w:t>Our named executive officers are currently not party to any employment agreements. Following this offering, we intend to enter into an executive severance plan, pursuant to which certain of our named executive officers will be eligible to receive severance upon certain qualifying terminations. The material terms of such plan have not yet been determined.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Manuel Perez Dubuc</w:t>
      </w:r>
    </w:p>
    <w:p>
      <w:pPr>
        <w:spacing w:after="0" w:line="144" w:lineRule="exact"/>
        <w:rPr>
          <w:sz w:val="20"/>
          <w:szCs w:val="20"/>
          <w:color w:val="auto"/>
        </w:rPr>
      </w:pPr>
    </w:p>
    <w:p>
      <w:pPr>
        <w:ind w:left="1260" w:right="600" w:firstLine="360"/>
        <w:spacing w:after="0" w:line="259" w:lineRule="auto"/>
        <w:rPr>
          <w:sz w:val="20"/>
          <w:szCs w:val="20"/>
          <w:color w:val="auto"/>
        </w:rPr>
      </w:pPr>
      <w:r>
        <w:rPr>
          <w:rFonts w:ascii="Arial" w:cs="Arial" w:eastAsia="Arial" w:hAnsi="Arial"/>
          <w:sz w:val="18"/>
          <w:szCs w:val="18"/>
          <w:color w:val="auto"/>
        </w:rPr>
        <w:t>Mr. Dubuc is not party to any offer letter or employment agreement but is subject to certain restrictive covenants and confidentiality and inventions assignment obligations pursuant to a separate confidential information and invention assignment agreement, including a perpetual nondisclosure of confidential information and trade secrets and an invention assignment covenant.</w:t>
      </w: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Dennis Fehr</w:t>
      </w:r>
    </w:p>
    <w:p>
      <w:pPr>
        <w:spacing w:after="0" w:line="14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Mr. Fehr is a party to an offer letter with the Company, dated as of October 27, 2017 (the “Fehr Offer Letter”), providing for his position as Chief Financial Officer of the Company. Mr. Fehr’s employment with the Company is at-will and either party may terminate Mr. Fehr’s employment at any time for any reason. The Fehr Offer Letter provides that Mr. Fehr is entitled to a base salary of $275,000 per year and a target annual cash bonus opportunity of 50% of his base salary. Mr. Fehr’s base salary has been updated since entering into the Fehr Offer Letter and his 2021 base salary is set forth above.</w:t>
      </w:r>
    </w:p>
    <w:p>
      <w:pPr>
        <w:spacing w:after="0" w:line="10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Mr. Fehr is also subject to certain restrictive covenants and confidentiality and inventions assignment obligations pursuant to a separate confidential information and invention assignment agreement, including a perpetual nondisclosure of confidential information and trade secrets and an invention assignment covenant.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Rebecca Boll</w:t>
      </w:r>
    </w:p>
    <w:p>
      <w:pPr>
        <w:spacing w:after="0" w:line="15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Ms. Boll is a party to an offer letter with the Company, dated as of May 12, 2020 (the “Boll Offer Letter”), providing for her position as Chief Product Officer of the Company. Ms. Boll’s employment with the Company is at-will and either party may terminate Ms. Boll’s employment at any time for any reason. The Boll Offer Letter provides that Ms. Boll is entitled to a base salary of $300,000 per year and a target annual cash bonus opportunity of 40% of her base salary. Ms. Boll’s base salary and annual cash bonus opportunity have been updated since entering into the Boll Offer Letter and her 2021 base salary and annual cash bonus opportunity are set forth above.</w:t>
      </w:r>
    </w:p>
    <w:p>
      <w:pPr>
        <w:spacing w:after="0" w:line="11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Ms. Boll is also subject to certain restrictive covenants and confidentiality and inventions assignment obligations pursuant to a separate confidential information and invention assignment agreement, including a perpetual nondisclosure of confidential information and trade secrets and an invention assignment covenant.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Incentive Plans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As of October 18, 2021, options covering an aggregate of 829,180 Class A-1 Units were outstanding under the Existing Equity Plan and 150,120 phantom units were outstanding under the Existing Phantom Equity Plan. In connection with this offering, the Class A- 1 Units reserved under the Existing Equity Plan with respect to outstanding options will be converted into 12,267,403 shares of the Company and Class A-1 Units in respect of outstanding grants under the Existing Equity Phantom Plan or Existing Phantom Equity Plan will be converted into 2,220,968 shares of the Company. Following the effectiveness of this offering, we do not intend to make any new grants of awards under the Existing Equity Plan or Existing Phantom Equity Plan, but rather intend to make grants under the 2021 Incentive Award Plan described below.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have adopted the 2021 Incentive Award Plan in connection with this offering in order to facilitate the grant of cash and equity incentives to directors, employees (including our named executive officers) and consultants of the Company and certain of its affiliates and to enable the Company and certain of its affiliates to obtain and retain services of these individuals, which we believe is essential to our long-term success. The material terms of such plan are summarized below.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Eligibility and Administration</w:t>
      </w:r>
    </w:p>
    <w:p>
      <w:pPr>
        <w:spacing w:after="0" w:line="144"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Company’s employees, consultants and directors, and employees and consultants of any of the Company’s subsidiaries, will be eligible to receive awards under the 2021 Plan. The basis for participation in the 2021 Plan by eligible persons is the selection of such persons for participation by the plan administrator in its discretion. The 2021 Plan will be generally administered by our board of directors, which may delegate its duties and responsibilities to committees of our board of directors and/or officers (referred to collectively as the plan administrator below), subject to certain limitations that may be imposed under the 2021 Plan, Section 16 of the Exchange Act and/or stock exchange rules, as applicable. The plan administrator will</w:t>
      </w: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1" w:lineRule="auto"/>
        <w:rPr>
          <w:sz w:val="20"/>
          <w:szCs w:val="20"/>
          <w:color w:val="auto"/>
        </w:rPr>
      </w:pPr>
      <w:r>
        <w:rPr>
          <w:rFonts w:ascii="Arial" w:cs="Arial" w:eastAsia="Arial" w:hAnsi="Arial"/>
          <w:sz w:val="17"/>
          <w:szCs w:val="17"/>
          <w:color w:val="auto"/>
        </w:rPr>
        <w:t>have the authority to make all determinations and interpretations under, and adopt rules for the administration of, the 2021 Plan, subject to its express terms and conditions. The plan administrator will also set the terms and conditions of all awards under the 2021 Plan, including any vesting and vesting acceleration conditions. The plan administrator may also institute and determine the terms and conditions of an “exchange program,” which could provide for the surrender or cancellation, transfer, or reduction or increase of exercise price, of outstanding awards, subject to the limitations provided for in the 2021 Plan. The plan administrator’s determinations under the 2021 Plan are in its sole discretion and will be final and binding on all persons having or claiming any interest in the 2021 Plan or any award thereunder.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Awards and Shares Available</w:t>
      </w:r>
    </w:p>
    <w:p>
      <w:pPr>
        <w:spacing w:after="0" w:line="144"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The number of shares initially available for issuance under awards granted pursuant to the 2021 Plan will be 9,500,000. No more than 9,500,000 shares of common stock may be issued upon the exercise of incentive stock options under the 2021 Plan. Shares issued under the 2021 Plan may be authorized but unissued shares, shares purchased in the open market or treasury shares.</w:t>
      </w:r>
    </w:p>
    <w:p>
      <w:pPr>
        <w:spacing w:after="0" w:line="11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If an award under the 2021 Plan expires, lapses or is terminated, exchanged for cash, surrendered, repurchased, cancelled without having been fully exercised or forfeited, then any shares subject to such award will, as applicable, become or again be available for new grants under the 2021 Plan. Shares delivered to the Company by a participant to satisfy the applicable exercise price or purchase price of an award and/or satisfy any applicable tax withholding obligation (including shares retained by the Company from the award being exercised or purchased and/or creating the tax obligation), will not become or again be available for award grants under the 2021 Plan. The payment of dividend equivalents in cash in conjunction with any outstanding awards will not count against the number of shares available for issuance under the 2021 Plan. Awards granted under the 2021 Plan upon the assumption of, or in substitution or exchange for, awards authorized or outstanding under a qualifying equity plan maintained by an entity with which we enter into a merger, consolidation, acquisition or similar corporate transaction will not reduce the shares available for grant under the 2021 Plan. The plan administrator may, in its discretion, make adjustments to the maximum number and kind of shares which may be issued under the 2021 Plan upon the occurrence of a merger, reorganization, consolidation, combination, amalgamation,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or similar corporate transaction or event.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2021 Plan provides for the grant of stock options, including incentive stock options, or ISOs, and nonqualified stock options, or NSOs; restricted stock; dividend equivalents; restricted stock units, or RSUs; stock appreciation rights, or SARs; and other stock or cash-based awards.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the terms and conditions of the awards, including any applicable vesting and payment terms and post-termination exercise limitations. A brief description of each award type follows.</w:t>
      </w:r>
    </w:p>
    <w:p>
      <w:pPr>
        <w:spacing w:after="0" w:line="111"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provide for the purchase of shares of common stock in the future at an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set on the grant date. ISOs, by contrast to NSOs, may provide tax deferral beyond exercise and favorable capital gains tax treatment to their holders if certain holding period and other requirements of the Code are satisfied. Unless otherwise determined by the plan administrator and only with respect to certain substitute options granted in connection with a corporate transaction, the exercise price of a stock option will not be less than 100% of the fair market value of the underlying share on the date of grant (or 110% in the case of ISOs granted to certain significant shareholders). Unless otherwise determined by the plan administrator in accordance with applicable laws, the term of a stock option may not be longer than ten years (or five years in the case of ISOs granted to certain significant shareholders). Vesting conditions determined by the plan administrator may apply to stock options and may include continued service,</w:t>
      </w:r>
    </w:p>
    <w:p>
      <w:pPr>
        <w:sectPr>
          <w:pgSz w:w="11900" w:h="16838" w:orient="portrait"/>
          <w:cols w:equalWidth="0" w:num="1">
            <w:col w:w="9879"/>
          </w:cols>
          <w:pgMar w:left="580" w:top="131"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19"/>
        <w:spacing w:after="0" w:line="248" w:lineRule="auto"/>
        <w:rPr>
          <w:sz w:val="20"/>
          <w:szCs w:val="20"/>
          <w:color w:val="auto"/>
        </w:rPr>
      </w:pPr>
      <w:r>
        <w:rPr>
          <w:rFonts w:ascii="Arial" w:cs="Arial" w:eastAsia="Arial" w:hAnsi="Arial"/>
          <w:sz w:val="18"/>
          <w:szCs w:val="18"/>
          <w:color w:val="auto"/>
        </w:rPr>
        <w:t>performance and/or other conditions as the plan administrator may determine. ISOs may be granted only to the Company’s U.S. employees and employees of the Company’s present or future parent or subsidiaries, if any.</w:t>
      </w:r>
    </w:p>
    <w:p>
      <w:pPr>
        <w:spacing w:after="0" w:line="10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the Company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of the shares 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unless otherwise determined by the plan administrator in accordance with applicable laws, the term of a SAR may not be longer than ten years. Vesting conditions determined by the plan administrator may apply to SARs and may include continued service, performance and/or other conditions as the plan administrator may determine.</w:t>
      </w:r>
    </w:p>
    <w:p>
      <w:pPr>
        <w:spacing w:after="0" w:line="12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remain forfeitable unless and until specified conditions are met, and which may be subject to a purchase price. RSUs are unfunded, unsecured rights to receive, on the applicable settlement date, common stock or an amount in cash or other consideration determined by the plan administrator to be of equal value as of such settlement date, subject to certain vesting conditions and other restrictions during the applicable restriction period or periods set forth in the award agreement. RSUs may be accompanied by the right to receive the equivalent value of dividends paid on shares of common stock prior to the delivery of the underlying shares, subject to the same restrictions on transferability and forfeitability as the RSUs with respect to which the dividend equivalents are granted. Delivery of the shares underlying RSUs may be deferred under the terms of the award or at the election of the participant, if the plan administrator permits such a deferral and in accordance with applicable law. Conditions applicable to restricted stock and RSUs may be based on continuing service, performance and/or such other conditions as the plan administrator may determine.</w:t>
      </w:r>
    </w:p>
    <w:p>
      <w:pPr>
        <w:spacing w:after="0" w:line="12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i w:val="1"/>
          <w:iCs w:val="1"/>
          <w:color w:val="auto"/>
        </w:rPr>
        <w:t xml:space="preserve">Other stock or cash-based awards </w:t>
      </w:r>
      <w:r>
        <w:rPr>
          <w:rFonts w:ascii="Arial" w:cs="Arial" w:eastAsia="Arial" w:hAnsi="Arial"/>
          <w:sz w:val="17"/>
          <w:szCs w:val="17"/>
          <w:color w:val="auto"/>
        </w:rPr>
        <w:t>. Other stock or cash-based awards may be granted to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awards entitling participants to receive common stock to be delivered in the future and including annual or other periodic or long- term cash bonus awards (whether based on specified performance criteria or otherwise). Such awards may be paid in common stock, cash or other property, as the administrator determines. Other stock or cash -based awards may be granted to participants and may also be available as a payment form in the settlement of other awards, as standalone payments and as payment in lieu of compensation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44"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liquidity, activity, profitability or leverage); debt levels or reductions; sales-related goals; financing and other capital raising transactions; cash on hand; acquisition activity; investment sourcing activity; marketing initiatives; and other measures of performance selected by the Company’s board of directors or its applicable committee, any of which may be measured in absolute terms or as compared to any incremental increase or decrease. Such performance goals also may be based solely by reference to the Company’s performance or the performance of its subsidiary, division, business segment or business unit,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not directly related to the business or outside of the reasonable control of management, foreign exchange gains or losses, and legal, regulatory, tax or accounting changes.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Provisions of the 2021 Plan Relating to Director Compensation</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2021 Plan provides that the plan administrator may establish compensation for non-employee independent directors from time to time subject to the 2021 Plan’s limitations. The plan administrator may establish the terms, conditions and amounts of all such non-employee independent director compensation in its discretion and in the exercise of its business judgment, taking into account such factors, circumstances and considerations as it shall deem relevant from time to time, provided that the sum of any cash compensation or other compensation and the grant date fair value (as determined in accordance with ASC 718, or any successor thereto) of any equity awards granted as compensation for services as a non-employee independent director during any calendar year may not exceed $500,000, increased to $750,000 for a non-employee independent directors initial fiscal year of service as a non-employee independent director. The plan administrator may make exceptions to this limits for individual non-employee independent directors in extraordinary circumstances, as the plan administrator may determine in its discretion, provided that the non-employee independent director receiving such additional compensation may not participate in the decision to award such compensation or in other contemporaneous compensation decisions involving non-employee independent directors.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Transactions</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In connection with certain transactions and events affecting common stock, including, without limitation, any dividend or other distribution, reorganization, merger, consolidation, recapitalization, or sale of all or substantially all of the assets of the Company, or sale or exchange of common stock or other securities of the Company, a change in control, or issuance of warrants or other rights to purchase common stock or other securities of the Company, or similar corporate transaction or event, or change in any applicable laws or accounting principles, the plan administrator has broad discretion to take action under the 2021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and/or terminating awards under the 2021 Plan.</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purposes of the 2021 Plan, a “change in control” means and includes each of the following:</w:t>
      </w:r>
    </w:p>
    <w:p>
      <w:pPr>
        <w:spacing w:after="0" w:line="117" w:lineRule="exact"/>
        <w:rPr>
          <w:sz w:val="20"/>
          <w:szCs w:val="20"/>
          <w:color w:val="auto"/>
        </w:rPr>
      </w:pPr>
    </w:p>
    <w:p>
      <w:pPr>
        <w:ind w:left="1800" w:right="479" w:hanging="180"/>
        <w:spacing w:after="0" w:line="253" w:lineRule="auto"/>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transaction or series of transactions (other than certain public offerings of common stock) whereby any “person” or related “group” of “persons” (as such terms are used in Sections 13(d) and 14(d)(2) of the Exchange Act) (other than the Company or its subsidiaries or any employee benefit plan maintained by the Company or any of its subsidiaries or a “person” that, prior to such transaction, directly or indirectly controls, is controlled by, or is under common control with, the Company, Siemens, AES or any “person” or related “group” of “persons” (as such terms are used in Sections 13(d) and 14(d)(2) of the Exchange Act) of which AES or Siemens is a member so long as AES and/or Siemens (individually or in the aggregate) directly or directly has beneficial ownership of a</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spacing w:after="0" w:line="259" w:lineRule="auto"/>
        <w:rPr>
          <w:sz w:val="20"/>
          <w:szCs w:val="20"/>
          <w:color w:val="auto"/>
        </w:rPr>
      </w:pPr>
      <w:r>
        <w:rPr>
          <w:rFonts w:ascii="Arial" w:cs="Arial" w:eastAsia="Arial" w:hAnsi="Arial"/>
          <w:sz w:val="17"/>
          <w:szCs w:val="17"/>
          <w:color w:val="auto"/>
        </w:rPr>
        <w:t>greater percentage of the combined voting power of the Company’s securities outstanding immediately after such acquisition than any other member of such “group”) directly or indirectly acquires beneficial ownership (within the meaning of Rule 13d-3 under the Exchange Act) of the Company’s securities possessing more than 50% of the total combined voting power of the Company’s securities outstanding immediately after such acquisition; or</w:t>
      </w:r>
    </w:p>
    <w:p>
      <w:pPr>
        <w:spacing w:after="0" w:line="52" w:lineRule="exact"/>
        <w:rPr>
          <w:sz w:val="20"/>
          <w:szCs w:val="20"/>
          <w:color w:val="auto"/>
        </w:rPr>
      </w:pPr>
    </w:p>
    <w:p>
      <w:pPr>
        <w:ind w:left="1800" w:right="599" w:hanging="180"/>
        <w:spacing w:after="0" w:line="272" w:lineRule="auto"/>
        <w:tabs>
          <w:tab w:leader="none" w:pos="1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Company board of directors together with any new directors (other than a director designated by a person who shall have entered into an agreement with the Company to effect a change in control transaction) whose election by the Company board of directors or nomination for election by the Company’s shareholders was approved by a vote of at least seventy-five percent of the directors or was made by AES, Siemens or QIA pursuant to the terms of the Stockholders Agreements, cease for any reason to constitute a majority of the Company board of directors; or</w:t>
      </w:r>
    </w:p>
    <w:p>
      <w:pPr>
        <w:spacing w:after="0" w:line="69" w:lineRule="exact"/>
        <w:rPr>
          <w:rFonts w:ascii="Arial" w:cs="Arial" w:eastAsia="Arial" w:hAnsi="Arial"/>
          <w:sz w:val="17"/>
          <w:szCs w:val="17"/>
          <w:color w:val="auto"/>
        </w:rPr>
      </w:pPr>
    </w:p>
    <w:p>
      <w:pPr>
        <w:ind w:left="1800" w:right="499" w:hanging="180"/>
        <w:spacing w:after="0" w:line="279" w:lineRule="auto"/>
        <w:tabs>
          <w:tab w:leader="none" w:pos="1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consummation by the Company (whether directly or indirectly)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3" w:lineRule="exact"/>
        <w:rPr>
          <w:rFonts w:ascii="Arial" w:cs="Arial" w:eastAsia="Arial" w:hAnsi="Arial"/>
          <w:sz w:val="17"/>
          <w:szCs w:val="17"/>
          <w:color w:val="auto"/>
        </w:rPr>
      </w:pPr>
    </w:p>
    <w:p>
      <w:pPr>
        <w:ind w:left="2160" w:right="419" w:hanging="180"/>
        <w:spacing w:after="0" w:line="254" w:lineRule="auto"/>
        <w:tabs>
          <w:tab w:leader="none" w:pos="2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Company’s business, directly or indirectly, at least a majority of the combined voting power of the successor entity’s outstanding voting securities immediately after the transaction, and</w:t>
      </w:r>
    </w:p>
    <w:p>
      <w:pPr>
        <w:spacing w:after="0" w:line="73" w:lineRule="exact"/>
        <w:rPr>
          <w:rFonts w:ascii="Arial" w:cs="Arial" w:eastAsia="Arial" w:hAnsi="Arial"/>
          <w:sz w:val="18"/>
          <w:szCs w:val="18"/>
          <w:color w:val="auto"/>
        </w:rPr>
      </w:pPr>
    </w:p>
    <w:p>
      <w:pPr>
        <w:ind w:left="2160" w:right="499" w:hanging="180"/>
        <w:spacing w:after="0" w:line="257" w:lineRule="auto"/>
        <w:tabs>
          <w:tab w:leader="none" w:pos="2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after which no person or group beneficially owns voting securities representing 50% or more of the combined voting power of the successor entity; provided, however, that no person or group shall be treated as beneficially owning 50% or more of the combined voting power of the successor entity solely as a result of the voting power held in the Company prior to the consummation of the transaction.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Participants, Claw-back Provisions, Transferability and Participant Payments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With respect to foreign participants, the plan administrator may modify award terms, establish subplans and/or adjust other terms and conditions of awards, subject to the share limits described above. All awards will be subject to the provisions of any claw-back policy implemented by the Company to the extent set forth in such claw-back policy or in the applicable award agreement. With limited exceptions for estate planning, domestic relations orders, certain beneficiary designations and the laws of descent and distribution, awards under the 2021 Plan are generally non-transferable prior to vesting and are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and subject to any applicable blackout or lock-up periods, accept cash, wire transfer, or check, shares of common stock that meet specified conditions (a market sell order) or such other consideration as it deems suitable or any combination of the foregoing.</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Plan Amendment and Termination</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Company’s board of directors may amend, suspend or terminate the 2021 Plan at any time. However, no amendment, other than an increase in the number of shares available under the 2021 Plan, in excess of the initial pool and annual increase as described above, may materially and adversely affect any award outstanding at the time of such amendment without the affected participant’s consent. The Company’s board of directors will obtain stockholder approval for any plan amendment to the extent necessary to comply with applicable laws. The plan administrator will have the authority, without the approval of the Company’s shareholders, to amend any outstanding award, including by substituting another award of the same or different type, changing the exercise or settlement date, or converting an ISO to an NSO. No award may be granted pursuant to the 2021 Plan after the expiration of the 2021 Plan. The 2021 Plan is scheduled to remain in effect until the earlier of (i) the tenth anniversary of the date on which the Company’s</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board of directors adopts the 2021 Plan and (ii) the earliest date as of which all awards granted under the 2021 Plan have been satisfied in full or terminated and no shares approved for issuance under the 2021 Plan remain available to be granted under new awards.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Securities Laws</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2021 Plan is intended to conform to all provisions of the Securities Act, the Exchange Act and any and all regulations and rules promulgated by the SEC thereunder, including, without limitation, Exchange Act Rule 16b-3. The 2021 Plan will be administered, and awards will be granted and may be exercised, only in such a manner as to conform to such laws, rules and regulations.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5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material federal income tax consequences of the 2021 Plan under current federal income tax law are summarized in the following discussion, which deals with the general U.S. federal income tax principles applicable to the 2021 Plan.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i w:val="1"/>
          <w:iCs w:val="1"/>
          <w:color w:val="auto"/>
        </w:rPr>
        <w:t xml:space="preserve">Stock options and SARs </w:t>
      </w:r>
      <w:r>
        <w:rPr>
          <w:rFonts w:ascii="Arial" w:cs="Arial" w:eastAsia="Arial" w:hAnsi="Arial"/>
          <w:sz w:val="17"/>
          <w:szCs w:val="17"/>
          <w:color w:val="auto"/>
        </w:rPr>
        <w:t>. A 2021 Plan participant generally will not recognize taxable income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generally will not be entitled to a tax deduction upon the grant of a stock option or SAR. The tax consequences of exercising a stock option and the subsequent disposition of the shares received upon exercise will depend upon whether the option qualifies as an ISO or an NSO. Upon exercising an NSO when the fair market value of common stock is higher than the exercise price of the option, an 2021 Plan participant generally will recognize taxable income at ordinary income tax rates equal to the excess of the fair market value of the stock on the date of exercise over the purchase price, and the Company (or its subsidiaries, if any) generally will be entitled to a corresponding tax deduction for compensation expense, in the amount equal to the amount by which the fair market value of the shares purchased exceeds the purchase price for the shares. Upon a subsequent sale or other disposition of the option shares, the participant will recognize a short-term or long-term capital gain or loss in the amount of the difference between the sales price of the shares and the participant’s tax basis in the shares.</w:t>
      </w:r>
    </w:p>
    <w:p>
      <w:pPr>
        <w:spacing w:after="0" w:line="10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Upon exercising an ISO, 2021 Plan participant generally will not recognize taxable income, and the Company will not be entitled to a tax deduction for compensation expense. However, upon exercise, the amount by which the fair market value of the shares purchased exceeds the purchase price will be an item of adjustment for 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 exercise. If the sale or disposition occurs before these two periods are satisfied, then a disqualifying disposition generally will result.</w:t>
      </w:r>
    </w:p>
    <w:p>
      <w:pPr>
        <w:spacing w:after="0" w:line="113"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Upon a qualifying disposition of ISO shares, the participant will recognize long-term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 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110"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Company will not be entitled to any tax deduction if the participant makes a qualifying disposition of ISO shares. If the participant makes a disqualifying disposition of the shares, the Company should be entitled to a tax deduction for compensation expense in the amount of the ordinary income recognized by the participant.</w:t>
      </w:r>
    </w:p>
    <w:p>
      <w:pPr>
        <w:spacing w:after="0" w:line="106" w:lineRule="exact"/>
        <w:rPr>
          <w:sz w:val="20"/>
          <w:szCs w:val="20"/>
          <w:color w:val="auto"/>
        </w:rPr>
      </w:pPr>
    </w:p>
    <w:p>
      <w:pPr>
        <w:ind w:left="1260" w:right="699" w:firstLine="360"/>
        <w:spacing w:after="0" w:line="342" w:lineRule="auto"/>
        <w:rPr>
          <w:sz w:val="20"/>
          <w:szCs w:val="20"/>
          <w:color w:val="auto"/>
        </w:rPr>
      </w:pPr>
      <w:r>
        <w:rPr>
          <w:rFonts w:ascii="Arial" w:cs="Arial" w:eastAsia="Arial" w:hAnsi="Arial"/>
          <w:sz w:val="16"/>
          <w:szCs w:val="16"/>
          <w:color w:val="auto"/>
        </w:rPr>
        <w:t>Upon exercising or settling a SAR, 2021 Plan participant will recognize taxable income at ordinary income tax rates, and the Company should be entitled to a corresponding tax deduction for compensation</w:t>
      </w: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84" w:lineRule="auto"/>
        <w:rPr>
          <w:sz w:val="20"/>
          <w:szCs w:val="20"/>
          <w:color w:val="auto"/>
        </w:rPr>
      </w:pPr>
      <w:r>
        <w:rPr>
          <w:rFonts w:ascii="Arial" w:cs="Arial" w:eastAsia="Arial" w:hAnsi="Arial"/>
          <w:sz w:val="16"/>
          <w:szCs w:val="16"/>
          <w:color w:val="auto"/>
        </w:rPr>
        <w:t>expense, in the amount paid or value of the shares issued upon exercise or settlement.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7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2021 Plan participant generally will not recognize taxable income at</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tax rates and the Company generally will not be entitled to a tax deduction upon the grant of restricted stock or RSUs. Upon the termination of restrictions on restricted stock or the payment of RSUs, the participant will recognize taxable income at ordinary income tax rates, and the Company should be entitled to a corresponding tax deduction for compensation expense, in the amount paid to the participant or the amount by which the then fair market value of the shares received by the participant exceeds the amount, if any, paid for them. Upon the subsequent disposition of any shares, the participant will recognize a short -term or long-term capital gain or loss in the amount of the difference between the sales price of the shares and the participant’s tax basis in the shares.</w:t>
      </w:r>
    </w:p>
    <w:p>
      <w:pPr>
        <w:spacing w:after="0" w:line="12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However, 2021 Plan participant granted restricted stock that is subject to forfeiture or repurchase through a vesting schedule such that it is subject to a risk of forfeiture (as defined in Section 83 of the Code) may make an election under Section 83(b) of the Code to recognize taxable income at ordinary income tax rates, at the time of the grant, in an amount equal to the fair market value of the shares of common stock on the date of grant, less the amount paid, if any, for the shares. The Company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the Company will not be entitled to any additional tax deduction.</w:t>
      </w:r>
    </w:p>
    <w:p>
      <w:pPr>
        <w:spacing w:after="0" w:line="124"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i w:val="1"/>
          <w:iCs w:val="1"/>
          <w:color w:val="auto"/>
        </w:rPr>
        <w:t>Other stock or cash-based awards</w:t>
      </w:r>
      <w:r>
        <w:rPr>
          <w:rFonts w:ascii="Arial" w:cs="Arial" w:eastAsia="Arial" w:hAnsi="Arial"/>
          <w:sz w:val="18"/>
          <w:szCs w:val="18"/>
          <w:color w:val="auto"/>
        </w:rPr>
        <w:t>. 2021 Plan participant will not recognize taxable income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not be entitled to a tax deduction upon the grant of other stock or cash-based awards until cash or shares are paid or distributed to the participant. At that time, any cash payments or the fair market value of shares that the participant receives will be taxable to the participant at ordinary income tax rates and the Company should be entitled to a corresponding tax deduction for compensation expense. Payments in shares will be valued at the fair market value of the shares at the time of the payment. Upon the subsequent disposition of the shares, the participant will recognize a short-term or long-term capital gain or loss in the amount of the difference between the sales price of the shares and the participant’s tax basis in the shares.</w:t>
      </w:r>
    </w:p>
    <w:p>
      <w:pPr>
        <w:spacing w:after="0" w:line="110"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i w:val="1"/>
          <w:iCs w:val="1"/>
          <w:color w:val="auto"/>
        </w:rPr>
        <w:t>Section 162(m) of the Code</w:t>
      </w:r>
      <w:r>
        <w:rPr>
          <w:rFonts w:ascii="Arial" w:cs="Arial" w:eastAsia="Arial" w:hAnsi="Arial"/>
          <w:sz w:val="18"/>
          <w:szCs w:val="18"/>
          <w:color w:val="auto"/>
        </w:rPr>
        <w:t>. Section 162(m) of the Code currently limits the deduction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may take for otherwise deductible compensation payable to certain executive officers of the employer to the extent the compensation paid to such an officer for the year exceeds $1 million. Payment of awards under the 2021 Plan could result in an officer (or any other employee covered by Section 162(m) in the future) receiving compensation in excess of $1 million in a year and thus a loss of deductibility for the Company.</w:t>
      </w:r>
    </w:p>
    <w:p>
      <w:pPr>
        <w:spacing w:after="0" w:line="12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i w:val="1"/>
          <w:iCs w:val="1"/>
          <w:color w:val="auto"/>
        </w:rPr>
        <w:t>Section 280G of the Code</w:t>
      </w:r>
      <w:r>
        <w:rPr>
          <w:rFonts w:ascii="Arial" w:cs="Arial" w:eastAsia="Arial" w:hAnsi="Arial"/>
          <w:sz w:val="17"/>
          <w:szCs w:val="17"/>
          <w:color w:val="auto"/>
        </w:rPr>
        <w:t>. Section 280G of the Code limits the deduction that the employer may take</w:t>
      </w:r>
      <w:r>
        <w:rPr>
          <w:rFonts w:ascii="Arial" w:cs="Arial" w:eastAsia="Arial" w:hAnsi="Arial"/>
          <w:sz w:val="17"/>
          <w:szCs w:val="17"/>
          <w:i w:val="1"/>
          <w:iCs w:val="1"/>
          <w:color w:val="auto"/>
        </w:rPr>
        <w:t xml:space="preserve"> </w:t>
      </w:r>
      <w:r>
        <w:rPr>
          <w:rFonts w:ascii="Arial" w:cs="Arial" w:eastAsia="Arial" w:hAnsi="Arial"/>
          <w:sz w:val="17"/>
          <w:szCs w:val="17"/>
          <w:color w:val="auto"/>
        </w:rPr>
        <w:t>for otherwise deductible compensation payable to certain individuals if the compensation constitutes an “excess parachute payment.” Excess parachute payments arise from payments made to disqualified individuals that are in the nature of compensation and are contingent on changes in ownership or control of the employer or certain affiliates. Accelerated vesting or payment of awards under the 2021 Plan upon a change in ownership or control of the employer or its affiliates could result in excess parachute payments. In addition to the deduction limitation applicable to the employer, a disqualified individual receiving an excess parachute payment is subject to a 20% excise tax on the amount thereof.</w:t>
      </w:r>
    </w:p>
    <w:p>
      <w:pPr>
        <w:spacing w:after="0" w:line="11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i w:val="1"/>
          <w:iCs w:val="1"/>
          <w:color w:val="auto"/>
        </w:rPr>
        <w:t xml:space="preserve">Section 409A of the Code. </w:t>
      </w:r>
      <w:r>
        <w:rPr>
          <w:rFonts w:ascii="Arial" w:cs="Arial" w:eastAsia="Arial" w:hAnsi="Arial"/>
          <w:sz w:val="18"/>
          <w:szCs w:val="18"/>
          <w:color w:val="auto"/>
        </w:rPr>
        <w:t>Section 409A of the Code (“Section 409A”) imposes an additional 20% tax</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on an individual receiving non-qualified deferred compensation under a plan that fails to satisfy certain requirements. For purposes of Section 409A, “non-qualified deferred compensation” could include equity-based incentive programs, including certain stock options, stock appreciation rights and RSU programs. Generally speaking, Section 409A does not apply to incentive stock options, non-discounted non-qualified stock options and stock appreciation rights if no deferral is provided beyond exercise, or restricted stock.</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The awards made pursuant to the 2021 Plan are expected to be designed in a manner intended to be exempt from, or comply with, the requirements of Section 409A of the Code. However, if the 2021 Plan or any award thereunder fails to be maintained and administered in compliance with Section 409A, a participant could be subject to the additional taxes and interest.</w:t>
      </w:r>
    </w:p>
    <w:p>
      <w:pPr>
        <w:spacing w:after="0" w:line="106"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State, local and foreign tax consequences may in some cases differ from the United States federal income tax consequences described above. The foregoing summary of the United States federal income tax consequences in respect of the 2021 Plan is for general information only. Interested parties should consult their own advisors as to specific tax consequences of their awards.</w:t>
      </w:r>
    </w:p>
    <w:p>
      <w:pPr>
        <w:spacing w:after="0" w:line="119"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2021 Plan is not subject to the Employee Retirement Income Security Act of 1974, as amended, and is not intended to be qualified under Section 401(a)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 xml:space="preserve">The following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Agreements in Effect Prior to the Transactions</w:t>
      </w:r>
    </w:p>
    <w:p>
      <w:pPr>
        <w:spacing w:after="0" w:line="162"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Prior to the completion of this offering and the other Transactions, we were owned by AES Grid Stability and Siemens Industry and, beginning in June 2021, QFH (as a result of the completion of the transaction contemplated by our subscription agreement with QFH, dated as of December 27, 2020, for the issuance of 1,250,000 Class B units for a total value of $125.0 million). During that time, Fluence Energy, LLC entered into various agreements that governed its relationship with those shareholders, including:</w:t>
      </w:r>
    </w:p>
    <w:p>
      <w:pPr>
        <w:spacing w:after="0" w:line="68" w:lineRule="exact"/>
        <w:rPr>
          <w:sz w:val="20"/>
          <w:szCs w:val="20"/>
          <w:color w:val="auto"/>
        </w:rPr>
      </w:pPr>
    </w:p>
    <w:p>
      <w:pPr>
        <w:jc w:val="both"/>
        <w:ind w:left="1800" w:right="519" w:hanging="180"/>
        <w:spacing w:after="0" w:line="308" w:lineRule="auto"/>
        <w:tabs>
          <w:tab w:leader="none" w:pos="1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Fluence Energy LLC Second Amended and Restated LLC Agreement, which will be superseded by the Fluence Energy LLC Agreement upon completion of this offering and the other Transactions,</w:t>
      </w:r>
    </w:p>
    <w:p>
      <w:pPr>
        <w:spacing w:after="0" w:line="38" w:lineRule="exact"/>
        <w:rPr>
          <w:rFonts w:ascii="Arial" w:cs="Arial" w:eastAsia="Arial" w:hAnsi="Arial"/>
          <w:sz w:val="17"/>
          <w:szCs w:val="17"/>
          <w:color w:val="auto"/>
        </w:rPr>
      </w:pPr>
    </w:p>
    <w:p>
      <w:pPr>
        <w:ind w:left="1800" w:right="1199" w:hanging="180"/>
        <w:spacing w:after="0" w:line="277"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master sales cooperation agreement with Siemens Industry and a commercial cooperation agreement with AES,</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equipment and service purchase agreement defining general terms for the procurement of goods and services from Siemens Industry,</w:t>
      </w:r>
    </w:p>
    <w:p>
      <w:pPr>
        <w:spacing w:after="0" w:line="62"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storage core frame purchase agreements defining general terms for the sale of battery storage products to AES and Siemens Industry,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licensing agreements for trademarks, patents, and other intellectual property from AES and Siemens,</w:t>
      </w:r>
    </w:p>
    <w:p>
      <w:pPr>
        <w:spacing w:after="0" w:line="128" w:lineRule="exact"/>
        <w:rPr>
          <w:rFonts w:ascii="Arial" w:cs="Arial" w:eastAsia="Arial" w:hAnsi="Arial"/>
          <w:sz w:val="17"/>
          <w:szCs w:val="17"/>
          <w:color w:val="auto"/>
        </w:rPr>
      </w:pPr>
    </w:p>
    <w:p>
      <w:pPr>
        <w:ind w:left="1800" w:right="439" w:hanging="180"/>
        <w:spacing w:after="0" w:line="263"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various agreements for support in connection with the launch of our business in 2018, such as assistance with finance and treasury administration, information technology, certain human resources functions, quality, supply chain, salesforce, and purchasing functions,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seconding a limited number of employees to service for Fluence.</w:t>
      </w:r>
    </w:p>
    <w:p>
      <w:pPr>
        <w:spacing w:after="0" w:line="158"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We have entered into sales agency agreements with Siemens, in certain locations, to utilize its sales force. In addition, in the ordinary course of business, both AES and Siemens purchase our products and services for energy storage projects in multiple countries, and Siemens is a supplier to us of goods and services that we use when delivering and maintaining energy storage projects for customers. Occasionally, in the ordinary course of business Siemens and Fluence act as a consortium to deliver energy storage projects for customers.</w:t>
      </w:r>
    </w:p>
    <w:p>
      <w:pPr>
        <w:spacing w:after="0" w:line="111"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We have entered into a patent assignment agreement with Siemens pursuant to which Siemens has assigned, sold and transferred to us the entire right, title and interest in the United States and all foreign countries, in and to any and all inventions and improvements disclosed in certain identified patent applications, pending patent applications and granted letter patents.</w:t>
      </w:r>
    </w:p>
    <w:p>
      <w:pPr>
        <w:spacing w:after="0" w:line="11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On September 9, 2021, we entered into an intellectual property assignment agreement with AES (the “Patent Transfer Agreement”), whereby AES assigned certain intellectual property to Fluence that we had previously utilized pursuant to a license from AES. In connection with the Patent Transfer Agreement, we entered into a License Agreement with AES (the “License-Back Agreement”), whereby we granted AES perpetual, non-exclusive, worldwide rights to do any acts within the current and future fields of business of AES, which are not activities which are exclusive to us and which would otherwise infringe any of the intellectual property just transferred to us, under fair, reasonable and non-discriminatory royalty terms, to be negotiated by the parties thereto. The Patent Transfer Agreement contains customary limitation of liability provisions.</w:t>
      </w:r>
    </w:p>
    <w:p>
      <w:pPr>
        <w:spacing w:after="0" w:line="129"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Prior to the completion of this offering and the other Transactions, AES and Siemens provided support services to us in the ordinary course of business, pursuant to various support agreements, such as</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59" w:lineRule="auto"/>
        <w:rPr>
          <w:sz w:val="20"/>
          <w:szCs w:val="20"/>
          <w:color w:val="auto"/>
        </w:rPr>
      </w:pPr>
      <w:r>
        <w:rPr>
          <w:rFonts w:ascii="Arial" w:cs="Arial" w:eastAsia="Arial" w:hAnsi="Arial"/>
          <w:sz w:val="18"/>
          <w:szCs w:val="18"/>
          <w:color w:val="auto"/>
        </w:rPr>
        <w:t>engineering support, software development, HR, and payroll services, and seconding a limited number of employees to service for Fluence. Prior to the completion of this offering and the other Transactions, AES and Siemens Industry provided revolving credit support for our business pursuant to an Amended and Restated Credit Support and Reimbursement Agreement.</w:t>
      </w:r>
    </w:p>
    <w:p>
      <w:pPr>
        <w:spacing w:after="0" w:line="106"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Prior to August 1, 2021, Manuel Perez Dubuc, our chief executive officer, was seconded from AES, which paid Mr. Dubuc’s salary. We reimbursed AES for that expense. After August 2, 2021, Mr. Dubuc became our employee.</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On April 28, 2021 and June 3, 2021, we borrowed $25.0 million and $25.0 million from AES and Siemens Industry, respectively, in the form of one-year promissory notes, each bearing annual interest at 2.86%. On May 3, 2021, we borrowed $25.0 million from Siemens Industry, in the form of a one-year promissory note with an annual interest rate of 2.86%. The proceeds were used for general working capital needs. As of June 22, 2021, the total $75.0 million in borrowings from AES and Siemens Industry were paid off in full.</w:t>
      </w:r>
    </w:p>
    <w:p>
      <w:pPr>
        <w:spacing w:after="0" w:line="125" w:lineRule="exact"/>
        <w:rPr>
          <w:sz w:val="20"/>
          <w:szCs w:val="20"/>
          <w:color w:val="auto"/>
        </w:rPr>
      </w:pPr>
    </w:p>
    <w:p>
      <w:pPr>
        <w:jc w:val="both"/>
        <w:ind w:left="1260" w:right="619" w:firstLine="360"/>
        <w:spacing w:after="0" w:line="263" w:lineRule="auto"/>
        <w:rPr>
          <w:sz w:val="20"/>
          <w:szCs w:val="20"/>
          <w:color w:val="auto"/>
        </w:rPr>
      </w:pPr>
      <w:r>
        <w:rPr>
          <w:rFonts w:ascii="Arial" w:cs="Arial" w:eastAsia="Arial" w:hAnsi="Arial"/>
          <w:sz w:val="18"/>
          <w:szCs w:val="18"/>
          <w:color w:val="auto"/>
        </w:rPr>
        <w:t>Prior to the completion of this offering and the other Transactions, Fluence Energy, LLC entered into customary indemnification agreements with the individual members of the Fluence Energy, LLC Board of Directors, as it was constituted at that time.</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For more information regarding transactions between us, AES and Siemens prior to consummation of this offering and the Transactions, see Note 13 of “Notes to Condensed Combined Financial Statements” for the two fiscal years ended September 30, 2020 and the nine-months ended June 30, 2021 and 2022 included in this prospectus.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Notes</w:t>
      </w:r>
    </w:p>
    <w:p>
      <w:pPr>
        <w:spacing w:after="0" w:line="162"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The Promissory Notes are unsecured and (i) the AES Promissory Note has a maturity date of August 11, 2022 and (ii) the Siemens Promissory Note has a maturity date of December 31, 2021. If we complete a private placement or public offering of certain equity securities prior to the maturity date, the Promissory Notes and all accrued interest thereunder will automatically and without notice be due and payable within five business days. The Promissory Notes bear interest at 2.86% per annum through and until the earliest of the maturity date thereunder and or a mandatory prepayment event, at which time the interest rate will increase by an additional 2%. The proceeds from the Promissory Notes are being used by Fluence Energy, LLC to provide additional liquidity and to fund ongoing working capital needs.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Agreements after the Transactions</w:t>
      </w:r>
    </w:p>
    <w:p>
      <w:pPr>
        <w:spacing w:after="0" w:line="162"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connection with this offering, we will amend certain of our existing affiliate agreements and enter into a number of new agreements with those shareholders and their affiliates in order to provide a framework for our relationship with those shareholders, including a Tax Receivable Agreement, the Fluence Energy LLC Agreement, the Stockholders Agreement, the Registration Rights Agreement, certain intellectual property and trademark license agreements, an amended and restated equipment and services purchase agreement, an amended and restated storage core frame purchase agreement, a credit support and reimbursement agreement with Siemens Industry and AES, an amended and restated cooperation agreement with AES, certain employment agreements, and indemnification agreements with each of our directors and executive officers, each as described below.</w:t>
      </w:r>
    </w:p>
    <w:p>
      <w:pPr>
        <w:spacing w:after="0" w:line="100"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We do not currently expect to enter into additional agreements with our shareholders outside the ordinary course of business, or with any of our directors, officers or other affiliates, other than those specified below. However, after the closing of this offering, in the ordinary course of our business we do expect that both AES and Siemens will continue to purchase our products and services for energy storage projects in multiple countries, and Siemens will continue to be a supplier to us of goods and services that we</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use when delivering and maintaining energy storage projects for customers. Occasionally, in the ordinary course of business, Siemens and Fluence will continue to act as a consortium to deliver energy storage projects for customers.</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Although we do not currently have plans to procure new support services from our shareholders or their affiliates, it is possible that we might do so in the future. After the closing of this offering, any transactions with shareholders, directors, officers or other affiliates will be subject to requirements of the Sarbanes-Oxley Act and SEC rules and regulations.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Transactions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In connection with the Transactions, we will engage in certain transactions with certain entities which are or will become holders of 5% or more of our voting securities upon the consummation of the Transactions. These transactions are described in “Our Organizational Structure.”</w:t>
      </w:r>
    </w:p>
    <w:p>
      <w:pPr>
        <w:spacing w:after="0" w:line="116"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We intend to use the net proceeds from this offering (including any net proceeds from any exercise of the underwriters’ option to purchase additional shares of Class A common stock) to purchase 31,000,000 LLC Interests (or 35,650,000 LLC Interests if the underwriters exercise in full their option to purchase additional shares of Class A common stock) directly from Fluence Energy, LLC at a price per unit equal to the initial public offering price per share of Class A common stock in this offering less the underwriting discount and estimated offering expenses payable by us.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Receivable Agreement</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We may obtain an increase in our share of the tax basis of the assets of Fluence Energy, LLC and certain of its subsidiaries in the future, when (as described below under “—Fluence Energy LLC Agreement”) a Founder receives Class A common stock or cash from us or from Fluence Energy, LLC in connection with an exercise of such Founder’s right to have LLC Interests redeemed by Fluence Energy, LLC or, at our election, exchanged, or when Fluence Energy, LLC makes, or is deemed to make, certain distributions to the Founders or upon certain other transactions. We intend to treat such redemptions or exchanges as our direct purchase of LLC Interests from such Founder for U.S. federal income and other applicable tax purposes, regardless of whether such LLC Interests are surrendered by a Founder to Fluence Energy, LLC for redemption or sold to us upon the exercise of our election to acquire such LLC Interests directly (any resulting basis increases, together with the basis increases arising from certain distributions (or deemed distributions) from Fluence Energy, LLC, the “Basis Adjustments”). Any Basis Adjustment, may have the effect of reducing the amounts that we would otherwise pay in the future to various tax authorities. The Basis Adjustments may also decrease gains (or increase losses) on future dispositions of certain assets to the extent tax basis is allocated to those assets.</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connection with the transactions described above, we will enter into a Tax Receivable Agreement with Fluence Energy, LLC and the Founders that will provide for the payment by Fluence Energy, Inc. to such Founders of 85% of the amount of certain tax benefits, if any, that Fluence Energy, Inc. actually realizes, or in some circumstances is deemed to realize in its tax reporting, arising from the transactions described above, including, the Basis Adjustments and certain other tax benefits arising from payments made under the Tax Receivable Agreement. Fluence Energy, LLC will have in effect an election under Section 754 of the Code effective for each taxable year in which a redemption or exchange (including deemed exchange) of LLC Interests for Class A common stock or cash occurs or when Fluence Energy, LLC makes (or is deemed to make) certain distributions. These Tax Receivable Agreement payments are not conditioned upon one or more of the Founders maintaining a continued ownership interest in Fluence Energy, LLC. If a Founder transfers LLC Interests but does not assign to the transferee of such units its rights under the Tax Receivable Agreement, such Founder generally will continue to be entitled to receive payments under the Tax Receivable Agreement arising in respect of a subsequent redemption or exchange of such LLC Interests. In general, the Founders’ rights under the Tax Receivable Agreement may not be assigned, sold, pledged or otherwise alienated or transferred to any person, other than certain permitted transferees, without our prior written consent (not to be unreasonably withheld) and such person’s becoming a party to the Tax Receivable Agreement and agreeing to succeed to the applicable Founder’s interest therein.</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The actual Basis Adjustments, as well as any amounts paid to the Founders under the Tax Receivable Agreement will vary depending on a number of factors, including:</w:t>
      </w:r>
    </w:p>
    <w:p>
      <w:pPr>
        <w:spacing w:after="0" w:line="49" w:lineRule="exact"/>
        <w:rPr>
          <w:sz w:val="20"/>
          <w:szCs w:val="20"/>
          <w:color w:val="auto"/>
        </w:rPr>
      </w:pPr>
    </w:p>
    <w:p>
      <w:pPr>
        <w:ind w:left="1800" w:right="559" w:hanging="180"/>
        <w:spacing w:after="0" w:line="257" w:lineRule="auto"/>
        <w:tabs>
          <w:tab w:leader="none" w:pos="18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the timing of any future redemptions or exchanges—</w:t>
      </w:r>
      <w:r>
        <w:rPr>
          <w:rFonts w:ascii="Arial" w:cs="Arial" w:eastAsia="Arial" w:hAnsi="Arial"/>
          <w:sz w:val="18"/>
          <w:szCs w:val="18"/>
          <w:color w:val="auto"/>
        </w:rPr>
        <w:t>for instance, the increase in any tax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will vary depending on the fair value, which may fluctuate over time, of the depreciable or amortizable assets of Fluence Energy, LLC at the time of each redemption, exchange or distribution (or deemed distribution) as well as the amount of remaining existing tax basis at the time of such redemption, exchange or distribution (or deemed distribution);</w:t>
      </w:r>
    </w:p>
    <w:p>
      <w:pPr>
        <w:spacing w:after="0" w:line="79" w:lineRule="exact"/>
        <w:rPr>
          <w:rFonts w:ascii="Arial" w:cs="Arial" w:eastAsia="Arial" w:hAnsi="Arial"/>
          <w:sz w:val="18"/>
          <w:szCs w:val="18"/>
          <w:color w:val="auto"/>
        </w:rPr>
      </w:pPr>
    </w:p>
    <w:p>
      <w:pPr>
        <w:ind w:left="1800" w:right="499" w:hanging="180"/>
        <w:spacing w:after="0" w:line="279" w:lineRule="auto"/>
        <w:tabs>
          <w:tab w:leader="none" w:pos="180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the price of shares of our Class A common stock at the time of the purchases from the Founders in connection with this offering and any applicable redemptions or exchanges—</w:t>
      </w:r>
      <w:r>
        <w:rPr>
          <w:rFonts w:ascii="Arial" w:cs="Arial" w:eastAsia="Arial" w:hAnsi="Arial"/>
          <w:sz w:val="17"/>
          <w:szCs w:val="17"/>
          <w:color w:val="auto"/>
        </w:rPr>
        <w:t>the Basis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any related increase in any tax deductions, are directly related to the price of shares of our Class A common stock at the time of such purchases or future redemptions or exchanges;</w:t>
      </w:r>
    </w:p>
    <w:p>
      <w:pPr>
        <w:spacing w:after="0" w:line="63" w:lineRule="exact"/>
        <w:rPr>
          <w:rFonts w:ascii="Arial" w:cs="Arial" w:eastAsia="Arial" w:hAnsi="Arial"/>
          <w:sz w:val="17"/>
          <w:szCs w:val="17"/>
          <w:color w:val="auto"/>
        </w:rPr>
      </w:pPr>
    </w:p>
    <w:p>
      <w:pPr>
        <w:ind w:left="1800" w:right="619" w:hanging="180"/>
        <w:spacing w:after="0" w:line="277" w:lineRule="auto"/>
        <w:tabs>
          <w:tab w:leader="none" w:pos="18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or exchanges are taxable—</w:t>
      </w:r>
      <w:r>
        <w:rPr>
          <w:rFonts w:ascii="Arial" w:cs="Arial" w:eastAsia="Arial" w:hAnsi="Arial"/>
          <w:sz w:val="18"/>
          <w:szCs w:val="18"/>
          <w:color w:val="auto"/>
        </w:rPr>
        <w:t>if a redemption or exchange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for any reason, increased tax deductions will not be available; and</w:t>
      </w:r>
    </w:p>
    <w:p>
      <w:pPr>
        <w:spacing w:after="0" w:line="62" w:lineRule="exact"/>
        <w:rPr>
          <w:rFonts w:ascii="Arial" w:cs="Arial" w:eastAsia="Arial" w:hAnsi="Arial"/>
          <w:sz w:val="18"/>
          <w:szCs w:val="18"/>
          <w:color w:val="auto"/>
        </w:rPr>
      </w:pPr>
    </w:p>
    <w:p>
      <w:pPr>
        <w:ind w:left="1800" w:right="419" w:hanging="180"/>
        <w:spacing w:after="0" w:line="269" w:lineRule="auto"/>
        <w:tabs>
          <w:tab w:leader="none" w:pos="180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the amount and timing of our income—</w:t>
      </w:r>
      <w:r>
        <w:rPr>
          <w:rFonts w:ascii="Arial" w:cs="Arial" w:eastAsia="Arial" w:hAnsi="Arial"/>
          <w:sz w:val="17"/>
          <w:szCs w:val="17"/>
          <w:color w:val="auto"/>
        </w:rPr>
        <w:t>the Tax Receivable Agreement generally will require us to</w:t>
      </w:r>
      <w:r>
        <w:rPr>
          <w:rFonts w:ascii="Arial" w:cs="Arial" w:eastAsia="Arial" w:hAnsi="Arial"/>
          <w:sz w:val="17"/>
          <w:szCs w:val="17"/>
          <w:i w:val="1"/>
          <w:iCs w:val="1"/>
          <w:color w:val="auto"/>
        </w:rPr>
        <w:t xml:space="preserve"> </w:t>
      </w:r>
      <w:r>
        <w:rPr>
          <w:rFonts w:ascii="Arial" w:cs="Arial" w:eastAsia="Arial" w:hAnsi="Arial"/>
          <w:sz w:val="17"/>
          <w:szCs w:val="17"/>
          <w:color w:val="auto"/>
        </w:rPr>
        <w:t>pay 85% of the tax benefits as and when those benefits are treated as realized under the terms of the Tax Receivable Agreement. If Fluence Energy, Inc. does not have sufficient taxable income to realize any of the applicable tax benefits, it generally will not be required (absent a material breach of a material obligation under the Tax Receivable Agreement, change of control or other circumstances requiring an early termination payment and treating any outstanding LLC Interests held by the Founders as having been exchanged for Class A common stock for purposes of determining such early termination payment) to make payments under the Tax Receivable Agreement for that taxable year because no tax benefits will have been actually realized. However, any tax benefits that do not result in realized tax benefits in a given taxable year may generate tax attributes that may be utilized to generate tax benefits in previous or future taxable years. The utilization of any such tax attributes will result in payments under the Tax Receivable Agreement.</w:t>
      </w:r>
    </w:p>
    <w:p>
      <w:pPr>
        <w:spacing w:after="0" w:line="9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For purposes of the Tax Receivable Agreement, cash savings in income tax will be computed by comparing our actual U.S. federal, state and local income tax liability to the amount of such taxes that we would have been required to pay, had there been no Basis Adjustments, had the Tax Receivable Agreement not been entered into and had there been no tax benefits to us as a result of any payments made under the Tax Receivable Agreement; provided that, for purposes of determining cash savings with respect to state and local income taxes, we will use an assumed tax rate. The Tax Receivable Agreement will generally apply to each of our taxable years, beginning with the first taxable year ending after the consummation of the Transactions. There is no maximum term for the Tax Receivable Agreement; however, the Tax Receivable Agreement may be terminated by us pursuant to an early termination procedure that requires us to pay the Founders an agreed-upon amount equal to the estimated present value of the remaining payments to be made under the agreement (calculated with certain assumptions, including regarding tax rates and utilization of the Basis Adjustments and other benefits).</w:t>
      </w:r>
    </w:p>
    <w:p>
      <w:pPr>
        <w:spacing w:after="0" w:line="11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payment obligations under the Tax Receivable Agreement are obligations of Fluence Energy, Inc. and not of Fluence Energy, LLC. We anticipate funding ordinary course payments under the Tax Receivable Agreement from cash flow from operations of our subsidiaries, available cash or available borrowings under any future debt agreements.</w:t>
      </w:r>
    </w:p>
    <w:p>
      <w:pPr>
        <w:spacing w:after="0" w:line="120"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Although the actual timing and amount of any payments that may be made under the Tax Receivable Agreement will vary, we expect that the payments that we may be required to make to the Founders could be substantial. Any payments made by us to the Founders under the Tax Receivable Agreement will generally reduce the amount of overall cash flow that might have otherwise been available to us or to Fluence Energy, LLC and, to the extent that we are unable to make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We anticipate funding ordinary course payments under the Tax Receivable Agreement from cash flow from operations of our subsidiaries, available cash or available borrowings under any future debt agreements. Decisions made by us in the course of running our business, such as with respect to mergers, asset</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5" w:lineRule="auto"/>
        <w:rPr>
          <w:sz w:val="20"/>
          <w:szCs w:val="20"/>
          <w:color w:val="auto"/>
        </w:rPr>
      </w:pPr>
      <w:r>
        <w:rPr>
          <w:rFonts w:ascii="Arial" w:cs="Arial" w:eastAsia="Arial" w:hAnsi="Arial"/>
          <w:sz w:val="17"/>
          <w:szCs w:val="17"/>
          <w:color w:val="auto"/>
        </w:rPr>
        <w:t>sales, other forms of business combinations or other changes in control, may influence the timing and amount of payments that are received by a redeeming Founder under the Tax Receivable Agreement. For example, the earlier disposition of assets following an exchange or acquisition transaction will generally accelerate payments under the Tax Receivable Agreement and increase the present value of such payments. In these situations, our obligations under the Tax Receivable Agreement could have a substantial negative effect on our liquidity and could have the effect of delaying, deferring or preventing certain mergers, asset sales, other forms of business combinations or other changes of control.</w:t>
      </w:r>
    </w:p>
    <w:p>
      <w:pPr>
        <w:spacing w:after="0" w:line="9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Tax Receivable Agreement provides that if certain mergers, asset sales, other forms of business combination, or other changes of control were to occur or if we materially breach any of our material obligations under the Tax Receivable Agreement, and in either such case the Continuing Equity Owners elect an early termination of the Tax Receivable Agreement, or if, at any time, we elect an early termination of the Tax Receivable Agreement, then the Tax Receivable Agreement will terminate and our obligations, or our successor’s obligations, under the Tax Receivable Agreement would accelerate and become due and payable, based on certain assumptions, Fluence Energy, including an assumption that we would have sufficient taxable income to fully utilize all potential future tax benefits that are subject to the Tax Receivable Agreement. In those circumstances, Founders would be deemed to exchange any remaining outstanding LLC Interests for Class A common stock and would generally be entitled to payments under the Tax Receivable Agreement resulting from such deemed exchanges.</w:t>
      </w:r>
    </w:p>
    <w:p>
      <w:pPr>
        <w:spacing w:after="0" w:line="118"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We may elect to completely terminate the Tax Receivable Agreement early only with the written approval of each of a majority of Fluence Energy, Inc.’s “independent directors” (within the meaning of Rule 10A-3 promulgated under the Exchange Act and the Nasdaq rules).</w:t>
      </w:r>
    </w:p>
    <w:p>
      <w:pPr>
        <w:spacing w:after="0" w:line="11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As a result of the foregoing, we could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We also could be required to make cash payments to the Founders that are greater than the specified percentage of the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pacing w:after="0" w:line="107"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Payments under the Tax Receivable Agreement will generally be based on the tax reporting positions that we determine. We will not be reimbursed for any cash payments previously made to the Founders pursuant to the Tax Receivable Agreement if any tax benefits initially claimed by us are subsequently challenged by a taxing authority and ultimately disallowed. Instead, any excess cash payments made by us to a Founder will be netted against any future cash payments we might otherwise be required to make under the terms of the Tax Receivable Agreement to such Founder, as applicable. However, a challenge to any tax benefits initially claimed by us may not arise for a number of years following the initial time of such payment or, even if challenged early, such excess cash payment may be greater than the amount of future cash payments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w:t>
      </w:r>
    </w:p>
    <w:p>
      <w:pPr>
        <w:spacing w:after="0" w:line="122"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If the outcome of any audit of us or our subsidiaries is reasonably expected to adversely affect the rights and obligations of the Continuing Equity Owners under the Tax Receivable Agreement in a material respect, then we will notify the Continuing Equity Owners of such audit, keep them reasonably informed with respect thereto, provide them with a reasonable opportunity to provide information and other input concerning the audit or the relevant portion thereof and consider such information and other input in good faith.</w:t>
      </w:r>
    </w:p>
    <w:p>
      <w:pPr>
        <w:spacing w:after="0" w:line="122" w:lineRule="exact"/>
        <w:rPr>
          <w:sz w:val="20"/>
          <w:szCs w:val="20"/>
          <w:color w:val="auto"/>
        </w:rPr>
      </w:pPr>
    </w:p>
    <w:p>
      <w:pPr>
        <w:ind w:left="1260" w:right="519" w:firstLine="360"/>
        <w:spacing w:after="0" w:line="294" w:lineRule="auto"/>
        <w:rPr>
          <w:sz w:val="20"/>
          <w:szCs w:val="20"/>
          <w:color w:val="auto"/>
        </w:rPr>
      </w:pPr>
      <w:r>
        <w:rPr>
          <w:rFonts w:ascii="Arial" w:cs="Arial" w:eastAsia="Arial" w:hAnsi="Arial"/>
          <w:sz w:val="16"/>
          <w:szCs w:val="16"/>
          <w:color w:val="auto"/>
        </w:rPr>
        <w:t>Under the Tax Receivable Agreement, we are required to provide the Founders with a schedule showing the calculation of payments that are due under the Tax Receivable Agreement with respect to each taxable year with respect to which a payment obligation arises within 120 days after filing our U.S. federal</w:t>
      </w:r>
    </w:p>
    <w:p>
      <w:pPr>
        <w:sectPr>
          <w:pgSz w:w="11900" w:h="16838" w:orient="portrait"/>
          <w:cols w:equalWidth="0" w:num="1">
            <w:col w:w="9879"/>
          </w:cols>
          <w:pgMar w:left="580" w:top="132" w:right="1440" w:bottom="1440" w:gutter="0" w:footer="0" w:header="0"/>
        </w:sectPr>
      </w:pP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3" w:lineRule="auto"/>
        <w:rPr>
          <w:sz w:val="20"/>
          <w:szCs w:val="20"/>
          <w:color w:val="auto"/>
        </w:rPr>
      </w:pPr>
      <w:r>
        <w:rPr>
          <w:rFonts w:ascii="Arial" w:cs="Arial" w:eastAsia="Arial" w:hAnsi="Arial"/>
          <w:sz w:val="17"/>
          <w:szCs w:val="17"/>
          <w:color w:val="auto"/>
        </w:rPr>
        <w:t>income tax return for such taxable year. This calculation will be based upon the advice of our tax advisors. Payments under the Tax Receivable Agreement will generally be made to the Founders within five business days after this schedule becomes final pursuant to the procedures set forth in the Tax Receivable Agreement, although interest on such payments will begin to accrue at a rate of LIBOR (or similar rate) plus 1% on the date on which such calculation becomes final under the Tax Receivable Agreement. Any late payments that may be made under the Tax Receivable Agreement will continue to accrue interest at a rate equal to LIBOR (or similar rate) plus 5%, until such payments are made, generally including any late payments that we may subsequently make because we did not have enough available cash to satisfy our payment obligations at the time at which they originally arose.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Fluence Energy LLC Agreement</w:t>
      </w:r>
    </w:p>
    <w:p>
      <w:pPr>
        <w:spacing w:after="0" w:line="14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In connection with the consummation of the Transactions, we and the Founders will enter into Fluence Energy, LLC’s Third Amended and Restated Limited Liability Company Agreement which we refer to as the Fluence Energy LLC Agreement.</w:t>
      </w:r>
    </w:p>
    <w:p>
      <w:pPr>
        <w:spacing w:after="0" w:line="11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 xml:space="preserve">Appointment as Managing Member. </w:t>
      </w:r>
      <w:r>
        <w:rPr>
          <w:rFonts w:ascii="Arial" w:cs="Arial" w:eastAsia="Arial" w:hAnsi="Arial"/>
          <w:sz w:val="18"/>
          <w:szCs w:val="18"/>
          <w:color w:val="auto"/>
        </w:rPr>
        <w:t>Under the Fluence Energy LLC Agreement, we will become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and the sole manager of Fluence Energy, LLC. As the sole manager, we will be able to control all the day-to-day business affairs and decision-making of Fluence Energy, LLC without the approval of any other member. As such, we, through our officers and directors, will be responsible for all operational and administrative decisions of Fluence Energy, LLC and daily management of Fluence Energy, LLC’s business. Pursuant to the terms of the Fluence Energy LLC Agreement, we cannot be removed or replaced as the sole manager of Fluence Energy, LLC except by our resignation, which may be given at any time by written notice to the members.</w:t>
      </w:r>
    </w:p>
    <w:p>
      <w:pPr>
        <w:spacing w:after="0" w:line="126"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i w:val="1"/>
          <w:iCs w:val="1"/>
          <w:color w:val="auto"/>
        </w:rPr>
        <w:t xml:space="preserve">Compensation, Fees and Expenses. </w:t>
      </w:r>
      <w:r>
        <w:rPr>
          <w:rFonts w:ascii="Arial" w:cs="Arial" w:eastAsia="Arial" w:hAnsi="Arial"/>
          <w:sz w:val="18"/>
          <w:szCs w:val="18"/>
          <w:color w:val="auto"/>
        </w:rPr>
        <w:t>We will not be entitled to compensation for our services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Fluence Energy, LLC. We will be entitled to reimbursement by Fluence Energy, LLC for reasonable fees and expenses incurred on behalf of Fluence Energy, LLC, including all expenses associated with the Transactions, any subsequent offering of our Class A common stock, being a public company and maintaining our corporate existence.</w:t>
      </w:r>
    </w:p>
    <w:p>
      <w:pPr>
        <w:spacing w:after="0" w:line="10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The Fluence Energy LLC Agreement will require “tax distributions” to be made by</w:t>
      </w:r>
      <w:r>
        <w:rPr>
          <w:rFonts w:ascii="Arial" w:cs="Arial" w:eastAsia="Arial" w:hAnsi="Arial"/>
          <w:sz w:val="17"/>
          <w:szCs w:val="17"/>
          <w:i w:val="1"/>
          <w:iCs w:val="1"/>
          <w:color w:val="auto"/>
        </w:rPr>
        <w:t xml:space="preserve"> </w:t>
      </w:r>
      <w:r>
        <w:rPr>
          <w:rFonts w:ascii="Arial" w:cs="Arial" w:eastAsia="Arial" w:hAnsi="Arial"/>
          <w:sz w:val="17"/>
          <w:szCs w:val="17"/>
          <w:color w:val="auto"/>
        </w:rPr>
        <w:t>Fluence Energy, LLC to its members, as that term is used in the agreement, except to the extent Fluence Energy, LLC does not have available cash for such distributions or such distributions are otherwise prohibited by law or any of our future debt agreements. Tax distributions will be made on a quarterly basis, to each member of Fluence Energy, LLC, including us, based on such member’s allocable share of the taxable income of Fluence Energy, LLC and an assumed tax rate that will be determined by us, as described below. For this purpose, Fluence Energy, Inc.’s allocable share of Fluence Energy, LLC’s taxable income shall be determined without regard to any Basis Adjustments (as described above under “—Tax Receivable Agreement”). Tax distributions will generally be treated as advances of other distributions made under the Fluence Energy LLC Agreement, but no adjustments on account of prior tax distributions will be made to the redemption or exchange ratio or price for Founders whose LLC Interests are redeemed or exchanged (and tax distributions paid prior to such a redemption or exchange will not be treated as advances or otherwise reduce the distributions subsequently payable to us in respect of the LLC Interests we acquire in connection with any such redemption or exchange). The assumed tax rate for purposes of determining tax distributions from Fluence Energy, LLC to its members will generally be the highest combined marginal tax rates that may apply to a corporation that is resident in New York, New York, regardless of the actual final tax liability of Fluence Energy, LLC's members. However, in certain circumstances, including if Fluence Energy, LLC does not have sufficient cash on hand to make the entire tax distributions to the Continuing Equity Owners that would otherwise be required, the tax distributions that Fluence Energy, LLC makes to us may be reduced, without corresponding reductions to the tax distributions that Fluence Energy, LLC makes to the Continuing Equity Owners. The Fluence Energy LLC Agreement will also allow for cash distributions to be made by Fluence Energy, LLC (subject to our sole discretion as the sole manager of Fluence Energy, LLC) to its members on a pro rata basis out of “distributable cash,” as that term is defined in the agreement. We expect Fluence Energy, LLC may make distributions out of distributable cash periodically and as necessary to enable us to cover our operating expenses and other obligations, including our tax liabilities and obligations under the Tax Receivable Agreement, except to the extent Fluence Energy, LLC is insolvent or are otherwise prohibited by law or any of our future debt agreements.</w:t>
      </w: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7"/>
          <w:szCs w:val="17"/>
          <w:i w:val="1"/>
          <w:iCs w:val="1"/>
          <w:color w:val="auto"/>
        </w:rPr>
        <w:t xml:space="preserve">Transfer Restrictions. </w:t>
      </w:r>
      <w:r>
        <w:rPr>
          <w:rFonts w:ascii="Arial" w:cs="Arial" w:eastAsia="Arial" w:hAnsi="Arial"/>
          <w:sz w:val="17"/>
          <w:szCs w:val="17"/>
          <w:color w:val="auto"/>
        </w:rPr>
        <w:t>The Fluence Energy LLC Agreement generally does not permit transfers of</w:t>
      </w:r>
      <w:r>
        <w:rPr>
          <w:rFonts w:ascii="Arial" w:cs="Arial" w:eastAsia="Arial" w:hAnsi="Arial"/>
          <w:sz w:val="17"/>
          <w:szCs w:val="17"/>
          <w:i w:val="1"/>
          <w:iCs w:val="1"/>
          <w:color w:val="auto"/>
        </w:rPr>
        <w:t xml:space="preserve"> </w:t>
      </w:r>
      <w:r>
        <w:rPr>
          <w:rFonts w:ascii="Arial" w:cs="Arial" w:eastAsia="Arial" w:hAnsi="Arial"/>
          <w:sz w:val="17"/>
          <w:szCs w:val="17"/>
          <w:color w:val="auto"/>
        </w:rPr>
        <w:t>LLC Interests by members, except for transfers whereby AES Grid Stability or Siemens Industry transfers all (but not less than all) of its respective LLC Interests to any party (other than certain restricted parties), transfers pursuant to the redemption right described below, transfers to affiliates and transfers approved in writing by us, as manager, and other limited exceptions. The Fluence Energy LLC Agreement may impose additional restrictions on transfers (including redemptions described below with respect to each common unit) that are necessary or advisable so that Fluence Energy, LLC is not treated as a “publicly traded partnership” for U.S. federal income tax purposes. In the event of a permitted transfer under the Fluence Energy LLC Agreement, such member will be required to simultaneously transfer shares of Class B-1 common stock or Class B-2 common stock, as the case may be, to such transferee equal to the number of LLC Interests that were transferred to such transferee in such permitted transfer.</w:t>
      </w:r>
    </w:p>
    <w:p>
      <w:pPr>
        <w:spacing w:after="0" w:line="10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Fluence Energy LLC Agreement provides that, in the event that a tender offer, share exchange offer, issuer bid, take -over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LLC Interests shall be permitted, but not required, to participate in such Pubco Offer by delivering a redemption notice, which shall be effective immediately prior to, and contingent upon, the consummation of such Pubco Offer. If a Pubco Offer is proposed by Fluence Energy, Inc., then Fluence Energy, Inc. is required to use its reasonable best efforts expeditiously and in good faith to take all such actions and do all such things as are necessary or desirable to enable and permit the holders of such LLC Interests to participate in such Pubco Offer, if they so elect, to the same extent as or on an economically equivalent basis with the holders of shares of Class A common stock, provided that in no event shall any holder of LLC Interests be entitled to receive aggregate consideration for each common unit that is greater than the consideration payable in respect of each share of Class A common stock pursuant to the Pubco Offer.</w:t>
      </w:r>
    </w:p>
    <w:p>
      <w:pPr>
        <w:spacing w:after="0" w:line="113"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7"/>
          <w:szCs w:val="17"/>
          <w:color w:val="auto"/>
        </w:rPr>
        <w:t>Except for certain exceptions, any transferee of LLC Interests must assume, by operation of law or executing a joinder to the Fluence Energy LLC Agreement, all of the obligations of a transferring member with respect to the transferred units, and such transferee shall be bound by any limitations and obligations under the Fluence Energy LLC Agreement even if the transferee is not admitted as a member of Fluence Energy, LLC. A member shall remain as a member with all rights and obligations until the transferee is accepted as substitute member in accordance with the Fluence Energy LLC Agreement.</w:t>
      </w:r>
    </w:p>
    <w:p>
      <w:pPr>
        <w:spacing w:after="0" w:line="10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i w:val="1"/>
          <w:iCs w:val="1"/>
          <w:color w:val="auto"/>
        </w:rPr>
        <w:t xml:space="preserve">Recapitalization. </w:t>
      </w:r>
      <w:r>
        <w:rPr>
          <w:rFonts w:ascii="Arial" w:cs="Arial" w:eastAsia="Arial" w:hAnsi="Arial"/>
          <w:sz w:val="17"/>
          <w:szCs w:val="17"/>
          <w:color w:val="auto"/>
        </w:rPr>
        <w:t>The Fluence Energy LLC Agreement will recapitalize the units currently held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members of Fluence Energy, LLC into a new single class of LLC Interests. The Fluence Energy LLC Agreement will also reflect a split of LLC Interests such that one common unit can be acquired with the net proceeds received in the initial offering from the sale of one share of our Class A common stock, after the deduction of the underwriting discount and estimated offering expenses payable by us. Each common unit generally will entitle the holder to a pro rata share of the net profits and net losses and distributions of Fluence Energy, LLC, although for income tax purposes, items of taxable income, gain, loss or deduction may be allocated disproportionately under applicable law to account for built-in gains or built-in losses that existed at the time of this offering or certain other extraordinary transactions.</w:t>
      </w:r>
    </w:p>
    <w:p>
      <w:pPr>
        <w:spacing w:after="0" w:line="100"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6"/>
          <w:szCs w:val="16"/>
          <w:i w:val="1"/>
          <w:iCs w:val="1"/>
          <w:color w:val="auto"/>
        </w:rPr>
        <w:t>Maintenance of One-to-one Ratio between Shares of Class A Common Stock and LLC Interests Owned by the Company, and One-to-one Ratio between Shares of Class B-1 and Class B-2 common stock and LLC</w:t>
      </w:r>
    </w:p>
    <w:p>
      <w:pPr>
        <w:ind w:left="1260" w:right="499"/>
        <w:spacing w:after="0" w:line="251" w:lineRule="auto"/>
        <w:rPr>
          <w:sz w:val="20"/>
          <w:szCs w:val="20"/>
          <w:color w:val="auto"/>
        </w:rPr>
      </w:pPr>
      <w:r>
        <w:rPr>
          <w:rFonts w:ascii="Arial" w:cs="Arial" w:eastAsia="Arial" w:hAnsi="Arial"/>
          <w:sz w:val="18"/>
          <w:szCs w:val="18"/>
          <w:i w:val="1"/>
          <w:iCs w:val="1"/>
          <w:color w:val="auto"/>
        </w:rPr>
        <w:t>Interests Owned by the Founders</w:t>
      </w:r>
      <w:r>
        <w:rPr>
          <w:rFonts w:ascii="Arial" w:cs="Arial" w:eastAsia="Arial" w:hAnsi="Arial"/>
          <w:sz w:val="18"/>
          <w:szCs w:val="18"/>
          <w:color w:val="auto"/>
        </w:rPr>
        <w:t>. Except as otherwise determined by us, the Fluence Energy LLC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requires Fluence Energy,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Fluence Energy, LLC at all times maintains (a) a one-to-one ratio between the number of shares of Class A common stock issued and outstanding and the number of LLC Interests owned by us and (b) a one-to-one ratio between the aggregate number of shares of Class B-1 and Class B-2 common stock issued and outstanding and the number of LLC Interests owned by the Founders and their permitted transferees, collectively. This ratio requirement disregards (1) shares of our Class A common stock under unvested options issued by us, (2) treasury stock, and (3) preferred stock or other debt or equity securities (including warrants, options or rights) issued by us that are convertible into or exercisable or exchangeable for shares of Class A common stock, except to the extent we have contributed the net proceeds from such</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9" w:lineRule="auto"/>
        <w:rPr>
          <w:sz w:val="20"/>
          <w:szCs w:val="20"/>
          <w:color w:val="auto"/>
        </w:rPr>
      </w:pPr>
      <w:r>
        <w:rPr>
          <w:rFonts w:ascii="Arial" w:cs="Arial" w:eastAsia="Arial" w:hAnsi="Arial"/>
          <w:sz w:val="17"/>
          <w:szCs w:val="17"/>
          <w:color w:val="auto"/>
        </w:rPr>
        <w:t>other securities, including any exercise or purchase price payable upon conversion, exercise or exchange thereof, to the equity capital of Fluence Energy, LLC. In addition, the Class A common stock ratio requirement disregards all LLC Interests at any time held by any other person, including the Founders and the holders of options over LLC Interests. If we issue, transfer or deliver from treasury stock or repurchase shares of Class A common stock in a transaction not contemplated by the Fluence Energy LLC Agreement, we as manager of Fluence Energy, LLC have the authority to take all actions such that, after giving effect to all such issuances, transfers, deliveries or repurchases, the number of outstanding LLC Interests we own equals, on a one-for-one basis, the number of outstanding shares of Class A common stock. If we issue, transfer or deliver from treasury stock or repurchase or redeem any of our preferred stock in a transaction not contemplated by the Fluence Energy LLC Agreement, we as manager have the authority to take all actions such that, after giving effect to all such issuances, transfers, deliveries repurchases or redemptions, we hold (in the case of any issuance, transfer or delivery) or cease to hold (in the case of any repurchase or redemption) equity interests in Fluence Energy, LLC which (in our good faith determination) are in the aggregate substantially equivalent to our preferred stock so issued, transferred, delivered, repurchased or redeemed. Fluence Energy, LLC is prohibited from undertaking any subdivision (by any split of units, distribution of units, reclassification, recapitalization or similar event) or combination (by reverse split</w:t>
      </w:r>
    </w:p>
    <w:p>
      <w:pPr>
        <w:spacing w:after="0" w:line="11"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color w:val="auto"/>
        </w:rPr>
        <w:t>of units, reclassification, recapitalization or similar event) of the LLC Interests that is not accompanied by an identical subdivision or combination of (1) our Class A common stock to maintain at all times a one-to-one ratio between the number of LLC Interests owned by us and the number of outstanding shares of our Class A common stock and (2) our Class B-1 and Class B -2 common stock to maintain at all times a one-to-one ratio between the number of LLC Interests owned by the Founders and the aggregate number of outstanding shares of our Class B-1 and Class B-2 common stock, as applicable, in each case, subject to exceptions.</w:t>
      </w:r>
    </w:p>
    <w:p>
      <w:pPr>
        <w:spacing w:after="0" w:line="112"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i w:val="1"/>
          <w:iCs w:val="1"/>
          <w:color w:val="auto"/>
        </w:rPr>
        <w:t xml:space="preserve">Issuance of LLC Interests upon Exercise of Options or Issuance of Other Equity Compensation. </w:t>
      </w:r>
      <w:r>
        <w:rPr>
          <w:rFonts w:ascii="Arial" w:cs="Arial" w:eastAsia="Arial" w:hAnsi="Arial"/>
          <w:sz w:val="17"/>
          <w:szCs w:val="17"/>
          <w:color w:val="auto"/>
        </w:rPr>
        <w:t>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of options issued by us (as opposed to options issued by Fluence Energy, LLC), or the issuance of other types of equity compensation by us (such as the issuance of restricted or non-restricted stock, payment of bonuses in stock or settlement of stock appreciation rights in stock), we will have the right to acquire from Fluence Energy,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Fluence Energy, LLC or its subsidiaries, we will make, or be deemed to make, a capital contribution in Fluence Energy, LLC equal to the aggregate value of such shares of Class A common stock and Fluence Energy, LLC will issue to us a number of LLC Interests equal to the number of shares we issued. When we issue shares of Class A common stock in settlement of stock options granted to persons that are officers or employees of Fluence Energy, LLC or its subsidiaries, then we will be deemed to have sold directly to the person exercising such award a portion of the value of each share of Class A common stock equal to the exercise price per share, and we will be deemed to have sold directly to Fluence Energy, LLC (or the applicable subsidiary of Fluence Energy, LLC) the difference between the exercise price and market price per share for each such share of Class A common stock. In cases where we grant other types of equity compensation to employees of Fluence Energy, LLC or its subsidiaries, on each applicable vesting date we will be deemed to have sold to Fluence Energy, LLC (or such subsidiary) the number of vested shares at a price equal to the market price per share, Fluence Energy, LLC (or such subsidiary) will deliver the shares to the applicable person, and we will be deemed to have made a capital contribution in Fluence Energy, LLC equal to the purchase price for such shares in exchange for an equal number of LLC Interests.</w:t>
      </w:r>
    </w:p>
    <w:p>
      <w:pPr>
        <w:spacing w:after="0" w:line="12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 xml:space="preserve">Dissolution. </w:t>
      </w:r>
      <w:r>
        <w:rPr>
          <w:rFonts w:ascii="Arial" w:cs="Arial" w:eastAsia="Arial" w:hAnsi="Arial"/>
          <w:sz w:val="18"/>
          <w:szCs w:val="18"/>
          <w:color w:val="auto"/>
        </w:rPr>
        <w:t>The Fluence Energy LLC Agreement will provide that the consent of Fluence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Inc. as the managing member of Fluence Energy, LLC and members holding a majority of the voting units will be required to voluntarily dissolve Fluence Energy, LLC. In addition to a voluntary dissolution, Fluence Energy, LLC will be dissolved upon the entry of a decree of judicial dissolution or other circumstances in accordance with Delaware law. Upon a dissolution event, the proceeds of a liquidation will be distributed in the following order: (1) first, to pay the expenses of winding up Fluence Energy, LLC; (2) second, to pay debts and liabilities owed to creditors of Fluence Energy, LLC, other than members; and (3) third, to the members pro-rata in accordance with their respective percentage ownership interests in Fluence Energy, LLC (as determined based on the number of LLC Interests held by a member relative to the aggregate number of all outstanding LLC Interests).</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We, as manager, and each member agree to maintain the confidentiality of Fluence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LLC’s confidential information. This obligation excludes information independently obtained or developed by the members, information that is in the public domain or otherwise disclosed to a member, in either such case not in violation of a confidentiality obligation of the Fluence Energy LLC Agreement or approved for release by written authorization of the Chief Executive Officer, the Chief Financial Officer or the General Counsel of either Fluence Energy, Inc. or Fluence Energy, LLC.</w:t>
      </w:r>
    </w:p>
    <w:p>
      <w:pPr>
        <w:spacing w:after="0" w:line="97"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i w:val="1"/>
          <w:iCs w:val="1"/>
          <w:color w:val="auto"/>
        </w:rPr>
        <w:t xml:space="preserve">Indemnification. </w:t>
      </w:r>
      <w:r>
        <w:rPr>
          <w:rFonts w:ascii="Arial" w:cs="Arial" w:eastAsia="Arial" w:hAnsi="Arial"/>
          <w:sz w:val="17"/>
          <w:szCs w:val="17"/>
          <w:color w:val="auto"/>
        </w:rPr>
        <w:t>The Fluence Energy LLC Agreement will provide for indemnification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members and officers of Fluence Energy, LLC and their respective subsidiaries or affiliates.</w:t>
      </w:r>
    </w:p>
    <w:p>
      <w:pPr>
        <w:spacing w:after="0" w:line="79"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i w:val="1"/>
          <w:iCs w:val="1"/>
          <w:color w:val="auto"/>
        </w:rPr>
        <w:t xml:space="preserve">Common Unit Redemption Right. </w:t>
      </w:r>
      <w:r>
        <w:rPr>
          <w:rFonts w:ascii="Arial" w:cs="Arial" w:eastAsia="Arial" w:hAnsi="Arial"/>
          <w:sz w:val="17"/>
          <w:szCs w:val="17"/>
          <w:color w:val="auto"/>
        </w:rPr>
        <w:t>The Fluence Energy LLC Agreement will provide a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 to the Founders which will entitle them to have their LLC Interests redeemed for, at our election (determined solely by our independent directors (within the meaning of the rules of the Nasdaq) who are disinterested), newly-issued shares of our Class A common stock on a one-for-one basis or a cash payment from the sale of newly issued shares of Class A common stock equal to a volume weighted average market price of one share of Class A common stock for each LLC interest so redeemed, in each case in accordance with the terms of the Fluence Energy LLC Agreement; provided that, at our election (determined solely by our independent directors (within the meaning of the rules of the Nasdaq) who are disinterested), we may effect a direct exchange by Fluence Energy, Inc. of such Class A common stock or such cash, as applicable, for such LLC Interests. Such Founders may exercise such redemption right, subject to certain exceptions, for as long as their LLC Interests remain outstanding. In connection with the exercise of the redemption or exchange of LLC Interests (1) such Founders will be required to surrender a number of shares of our Class B-1 common stock or Class B-2 common stock, as the case may be, registered in the name of such redeeming or exchanging Founder, which will automatically be transferred to the Company and will be canceled for no consideration on a one-for-one basis with the number of LLC Interests so redeemed or exchanged and (2) except in the case of a direct exchange as described above, the redeeming Founders will surrender LLC Interests to Fluence Energy, LLC for cancellation. In the event of cash settlement, Fluence Energy, Inc. would issue new shares of Class A common stock and use the proceeds from the sale of these newly-issued shares of Class A common stock to fully fund the cash settlement, which, in effect, limits the amount of the cash payment to the redeeming member.</w:t>
      </w:r>
    </w:p>
    <w:p>
      <w:pPr>
        <w:spacing w:after="0" w:line="119"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Each Founder’s redemption rights will be subject to certain customary limitations, including the absence of any liens or encumbrances on such LLC Interests redeemed. Additionally, in the case we elect a cash settlement, such Founder may rescind its redemption request within a specified period of time. Moreover, in the case of a settlement in Class A common stock, such Founder’s redemption may be conditioned on the consummation of a purchase by another person (whether in a tender or exchange offer, an underwritten offering or otherwise) of the shares of Class A common stock that may be issued in connection with such proposed redemption. In the case of a settlement in Class A common stock, such Founder may also revoke or delay its redemption request if the following conditions exist: (1) any registration statement pursuant to which the resale of the Class A common stock to be registered for such Founder at or immediately following the consummation of the redemption shall have ceased to be effective pursuant to any action or inaction by the SEC or no such resale registration statement has yet become effective; (2) we failed to cause any related prospectus to be supplemented by any required prospectus supplement necessary to effect such redemption; (3) we exercised our right to defer, delay or suspend the filing or effectiveness of a registration statement and such deferral, delay or suspension shall affect the ability of such Founder to have its Class A common stock registered at or immediately following the consummation of the redemption; (4) such Founder is in possession of any material non-public information concerning us, the receipt of which results in such Founder being prohibited or restricted from selling Class A common stock at or immediately following the redemption without disclosure of such information (and we do not permit disclosure); (5) any stop order relating to the registration statement pursuant to which the Class A common stock was to be registered by such Founder at or immediately following the redemption shall have been issued by the SEC; (6) there shall have occurred a material disruption in the securities markets generally or in the market or markets in which the Class A common stock is then traded; (7) there shall be in effect an injunction, a restraining order or a decree of any nature of any governmental entity that restrains or prohibits the redemption; (8) we shall have failed to comply in all material respects with our obligations under the Registration Rights Agreement, and such failure shall have affected the ability of such Founder to consummate the resale of the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91" w:lineRule="auto"/>
        <w:rPr>
          <w:sz w:val="20"/>
          <w:szCs w:val="20"/>
          <w:color w:val="auto"/>
        </w:rPr>
      </w:pPr>
      <w:r>
        <w:rPr>
          <w:rFonts w:ascii="Arial" w:cs="Arial" w:eastAsia="Arial" w:hAnsi="Arial"/>
          <w:sz w:val="17"/>
          <w:szCs w:val="17"/>
          <w:color w:val="auto"/>
        </w:rPr>
        <w:t>Class A common stock to be received upon such redemption pursuant to an effective registration statement; or (9) the redemption date would occur three business days or less prior to, or during, a black-out period.</w:t>
      </w:r>
    </w:p>
    <w:p>
      <w:pPr>
        <w:spacing w:after="0" w:line="6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Fluence Energy LLC Agreement will require that in the case of a redemption by a Founder we contribute cash or shares of our Class A common stock, as applicable, to Fluence Energy, LLC in exchange for an amount of newly-issued LLC Interests that will be issued to us equal to the number of LLC Interests redeemed from the Founder. Fluence Energy, LLC will then distribute the cash or shares of our Class A common stock, as applicable, to such Founder to complete the redemption. Alternatively, we may, at our option, effect a direct exchange by Fluence Energy, Inc. of cash or our Class A common stock, as applicable, for such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w:t>
      </w:r>
    </w:p>
    <w:p>
      <w:pPr>
        <w:spacing w:after="0" w:line="121"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i w:val="1"/>
          <w:iCs w:val="1"/>
          <w:color w:val="auto"/>
        </w:rPr>
        <w:t xml:space="preserve">Change of Control Redemption. </w:t>
      </w:r>
      <w:r>
        <w:rPr>
          <w:rFonts w:ascii="Arial" w:cs="Arial" w:eastAsia="Arial" w:hAnsi="Arial"/>
          <w:sz w:val="17"/>
          <w:szCs w:val="17"/>
          <w:color w:val="auto"/>
        </w:rPr>
        <w:t>In the event of certain types of change of control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Fluence Energy, LLC Agreement, Fluence Energy, Inc. will have the right, in its sole discretion, to require each member to effect a redemption of all or a portion of such member's and all other member’s LLC Interests (including common units or any other type, class or series of interests in Fluence Energy, LLC) together with an equal number of shares of Class B common stock; provided, however, that neither AES Grid Stability nor Siemens Industry will be required to effect such a redemption if such member holds at least 15% of the aggregate LLC Interests issued and outstanding. In connection with such redemption, such LLC Interests and such shares of Class B common stock will be exchanged for shares of Class A common stock (or an economically equivalent amount of cash and securities of a successor entity that would be received by holders of shares of Class A common stock).</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In addition to certain other requirements, our consent, as manager, and the consent of</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holding a majority of the LLC Interests then outstanding and entitled to vote (excluding LLC Interests held directly or indirectly by us) will generally be required to amend or modify the Fluence Energy LLC Agreement.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Agreement</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Pursuant to the Stockholders Agreement we and the Continuing Equity Owners will enter into in connection with the consummation of the Transactions, (a) each of AES Grid Stability and Siemens Industry will initially have the right to nominate three of our directors, which shall be reduced to two directors for as long as they shall directly or indirectly, beneficially own, in the aggregate, less than 20% but 10% or more of our Class A common stock (assuming that all outstanding LLC Interests in Fluence Energy, LLC (other than LLC Interests held by us) are redeemed for newly issued shares of our Class A common stock on a one-for-one basis), and which shall further be reduced to one director for as long as they shall directly or indirectly, beneficially own, in the aggregate, less than 10% but 5% or more of our Class A common stock (assuming that all outstanding LLC Interests in Fluence Energy, LLC (other than LLC Interests held by us) are redeemed for newly issued shares of our Class A common stock on a one-for-one basis), no Directors if they shall directly or indirectly, beneficially own, in the aggregate, less than 5% of our Class A common stock (assuming that all outstanding LLC Interests in Fluence Energy, LLC (other than LLC Interests held by us) are redeemed for newly issued shares of our Class A common stock on a one-for-one basis), and</w:t>
      </w:r>
    </w:p>
    <w:p>
      <w:pPr>
        <w:spacing w:after="0" w:line="1" w:lineRule="exact"/>
        <w:rPr>
          <w:sz w:val="20"/>
          <w:szCs w:val="20"/>
          <w:color w:val="auto"/>
        </w:rPr>
      </w:pPr>
    </w:p>
    <w:p>
      <w:pPr>
        <w:ind w:left="1260" w:right="619"/>
        <w:spacing w:after="0" w:line="238" w:lineRule="auto"/>
        <w:tabs>
          <w:tab w:leader="none" w:pos="152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Blocker Shareholder will have the right to nominate one of our Directors if they shall directly or indirectly, beneficially own, in the aggregate, at least 5% of our Class A common stock (assuming that all outstanding LLC Interests in Fluence Energy, LLC (other than LLC Interests held by us) are redeemed for newly issued shares of our Class A common stock on a one-for-one basis).</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Each of AES Grid Stability, Siemens Industry, and the Blocker Shareholder will also agree to vote, or cause to vote, all of their outstanding shares of our Class A common stock, Class B -1 common stock and Class B-2 common stock at any annual or special meeting of stockholders in which directors are elected, so as to cause the election of the Directors nominated by the other Continuing Equity Owners. Additionally, pursuant to the Stockholders Agreement, we shall take all commercially reasonable actions to cause (1) the board of directors to be comprised of at least nine directors or such other number of directors as our board of directors may determine; (2) the individuals nominated in accordance with the terms of the Stockholders Agreement to be included in the slate of nominees to be elected to the board of directors at the next annual</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or special meeting of our stockholders at which directors are to be elected and at each annual meeting of our stockholders thereafter at which a director’s term expires; and (3) the individuals nominated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 The directors appointed by AES Grid Stability and Siemens Industry, each, shall review and have the right to approve the Company’s annual business plan and annual capital expenditure and operating budget prior to the implementation of such annual business plan and annual capital expenditure and operating budget by the Company. In the event that the board of directors fails to approve a budget for any fiscal year prior to the first day of such fiscal year, (i) any items of the proposed budget that have been approved will become operative, and (ii) the approved budget for the immediately preceding fiscal year will continue in effect after giving effect to any dispositions or other material changes to the business, subject to a 15% year-over-year increase with respect to overhead and fixed costs. See “Management—Composition of our Board of Directors.”</w:t>
      </w:r>
    </w:p>
    <w:p>
      <w:pPr>
        <w:spacing w:after="0" w:line="11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In addition, the Stockholders Agreement provides that the Company shall not take, and shall cause Fluence Energy, LLC (and its subsidiaries) not to take, any of the following actions (whether by merger, consolidation or otherwise) without the prior written approval of (i) the AES Grid Stability related parties as long as they beneficially own, directly or indirectly, in the aggregate 10% or more of all issued and outstanding shares of Class A common stock (assuming that all outstanding LLC Interests in Fluence Energy, LLC (other than LLC Interests held by us) are redeemed for newly issued shares of our Class A common stock on a one-for-one basis) and (ii) the Siemens Industry related parties for as long as they beneficially own, directly or indirectly, in the aggregate 10% or more of all issued and outstanding shares of Class A common stock (assuming that all outstanding LLC Interests in Fluence Energy, LLC (other than LLC Interests held by us) are redeemed for newly issued shares of our class A common stock on a one-for-one basis):</w:t>
      </w:r>
    </w:p>
    <w:p>
      <w:pPr>
        <w:spacing w:after="0" w:line="87" w:lineRule="exact"/>
        <w:rPr>
          <w:sz w:val="20"/>
          <w:szCs w:val="20"/>
          <w:color w:val="auto"/>
        </w:rPr>
      </w:pPr>
    </w:p>
    <w:p>
      <w:pPr>
        <w:ind w:left="1800" w:right="439" w:hanging="180"/>
        <w:spacing w:after="0" w:line="257" w:lineRule="auto"/>
        <w:tabs>
          <w:tab w:leader="none" w:pos="1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buyback, purchase, repurchase, redemption or other acquisition by the Company or Fluence Energy, LLC of any of the securities of the Company, Fluence Energy, LLC or any of their respective subsidiaries, other than repurchases made pursuant to any duly adopted incentive plan, or in connection with any redemption or exchange of common units as set forth in the Fluence Energy LLC Agreement; or</w:t>
      </w:r>
    </w:p>
    <w:p>
      <w:pPr>
        <w:spacing w:after="0" w:line="79"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creation of a new class or series of capital stock or equity securities of the Company, Fluence Energy, LLC or any of their respective subsidiaries, provided that this provision will not prohibit Fluence Energy LLC from causing any of its direct or indirect wholly-owned subsidiaries from revising the capitalization of such direct or indirect wholly-owned subsidiaries in the ordinary course of business and that such new class or series of equity securities is held by Fluence Energy LLC or its wholly-owned subsidiaries; or</w:t>
      </w:r>
    </w:p>
    <w:p>
      <w:pPr>
        <w:spacing w:after="0" w:line="84" w:lineRule="exact"/>
        <w:rPr>
          <w:rFonts w:ascii="Arial" w:cs="Arial" w:eastAsia="Arial" w:hAnsi="Arial"/>
          <w:sz w:val="18"/>
          <w:szCs w:val="18"/>
          <w:color w:val="auto"/>
        </w:rPr>
      </w:pPr>
    </w:p>
    <w:p>
      <w:pPr>
        <w:ind w:left="1800" w:right="419" w:hanging="180"/>
        <w:spacing w:after="0" w:line="253" w:lineRule="auto"/>
        <w:tabs>
          <w:tab w:leader="none" w:pos="1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issuance of additional shares of Class A common stock, Class B-1 common stock, Class B-2 common stock, Preferred Stock or other equity securities of the Company, Fluence Energy, LLC or any of their respective subsidiaries, other than (1) any issuance of additional shares of Class A Common Stock or other equity securities of the Company or its subsidiaries (i) under any duly adopted stock option or other equity compensation plan of the Company or any of its subsidiaries or (ii) in connection with any redemption of common units as set forth in the Fluence Energy LLC Agreement; or (2) any issuance of equity securities by the direct or indirect wholly-owned subsidiaries of Fluence Energy LLC to Fluence Energy LLC or to other wholly-owned subsidiaries of Fluence Energy LLC.</w:t>
      </w:r>
    </w:p>
    <w:p>
      <w:pPr>
        <w:spacing w:after="0" w:line="129"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In addition, the Stockholders Agreement provides that the Company shall not take, and shall cause Fluence Energy, LLC (and its subsidiaries) not to take, certain actions (whether by merger, consolidation or otherwise) without the prior written approval of (i) the AES Grid Stability related parties as long as they beneficially own, directly or indirectly, in the aggregate 5% or more of all issued and outstanding shares of Class A common stock (assuming that all outstanding LLC Interests in Fluence Energy, LLC (other than</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9" w:lineRule="auto"/>
        <w:rPr>
          <w:sz w:val="20"/>
          <w:szCs w:val="20"/>
          <w:color w:val="auto"/>
        </w:rPr>
      </w:pPr>
      <w:r>
        <w:rPr>
          <w:rFonts w:ascii="Arial" w:cs="Arial" w:eastAsia="Arial" w:hAnsi="Arial"/>
          <w:sz w:val="17"/>
          <w:szCs w:val="17"/>
          <w:color w:val="auto"/>
        </w:rPr>
        <w:t>LLC Interests held by us) are redeemed for newly issued shares of our class A common stock on a one-for-one basis), and (ii) the Siemens Industry related parties for as long as they beneficially own, directly or indirectly, in the aggregate of 5% or more of all issued and outstanding shares of Class A common stock (assuming that all outstanding LLC Interests in Fluence Energy, LLC (other than LLC Interests held by us) are redeemed for newly issued shares of our class A common stock on a one-for-one basis):</w:t>
      </w:r>
    </w:p>
    <w:p>
      <w:pPr>
        <w:spacing w:after="0" w:line="66" w:lineRule="exact"/>
        <w:rPr>
          <w:sz w:val="20"/>
          <w:szCs w:val="20"/>
          <w:color w:val="auto"/>
        </w:rPr>
      </w:pPr>
    </w:p>
    <w:p>
      <w:pPr>
        <w:ind w:left="1800" w:right="439" w:hanging="180"/>
        <w:spacing w:after="0" w:line="279" w:lineRule="auto"/>
        <w:tabs>
          <w:tab w:leader="none" w:pos="1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appointment of the Company Representative under (and as defined in) the Fluence Energy LLC Agreement, the making of any tax election outside the ordinary course of business, or any change or revocation of any material tax election, or any election to classify Fluence LLC or any Subsidiary (as defined in the Stockholders Agreement) thereof as a corporation for federal income tax purposes; or</w:t>
      </w:r>
    </w:p>
    <w:p>
      <w:pPr>
        <w:spacing w:after="0" w:line="49" w:lineRule="exact"/>
        <w:rPr>
          <w:rFonts w:ascii="Arial" w:cs="Arial" w:eastAsia="Arial" w:hAnsi="Arial"/>
          <w:sz w:val="17"/>
          <w:szCs w:val="17"/>
          <w:color w:val="auto"/>
        </w:rPr>
      </w:pPr>
    </w:p>
    <w:p>
      <w:pPr>
        <w:jc w:val="both"/>
        <w:ind w:left="1800" w:right="599" w:hanging="180"/>
        <w:spacing w:after="0" w:line="263" w:lineRule="auto"/>
        <w:tabs>
          <w:tab w:leader="none" w:pos="1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 resignation, replacement or removal of the Company as the sole manager of Fluence LLC or (ii) appointment of any additional Person (as defined in the Stockholders Agreement) as a manager of Fluence Energy, LLC.</w:t>
      </w:r>
    </w:p>
    <w:p>
      <w:pPr>
        <w:spacing w:after="0" w:line="116"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In addition, the Stockholders Agreement provides that the Company shall not take, and shall cause Fluence Energy, LLC (and its subsidiaries) not to take, certain actions (whether by merger, consolidation or otherwise) without the prior written approval of (i) the AES Grid Stability related parties as long as they beneficially own, directly or indirectly, in the aggregate 5% or more of all issued and outstanding shares of Class A common stock (assuming that all outstanding LLC Interests in Fluence Energy, LLC (other than LLC Interests held by us) are redeemed for newly issued shares of our class A common stock on a one-for-one basis), (ii) the Siemens Industry related parties for as long as they beneficially own, directly or indirectly, in the aggregate of 5% or more of all issued and outstanding shares of Class A common stock (assuming that all outstanding LLC Interests in Fluence Energy, LLC (other than LLC Interests held by us) are redeemed for newly issued shares of our class A common stock on a one-for- one basis) and (iii) the Blocker Shareholder related parties for as long as they beneficially own, directly or indirectly, in the aggregate 5% or more of all issued and outstanding shares of Class A common stock (assuming that all outstanding LLC Interests in Fluence Energy, LLC (other than LLC Interests held by us) are redeemed for newly issued shares of our class A common stock on a one-for-one basis):</w:t>
      </w:r>
    </w:p>
    <w:p>
      <w:pPr>
        <w:spacing w:after="0" w:line="81" w:lineRule="exact"/>
        <w:rPr>
          <w:sz w:val="20"/>
          <w:szCs w:val="20"/>
          <w:color w:val="auto"/>
        </w:rPr>
      </w:pPr>
    </w:p>
    <w:p>
      <w:pPr>
        <w:ind w:left="1800" w:hanging="180"/>
        <w:spacing w:after="0"/>
        <w:tabs>
          <w:tab w:leader="none" w:pos="1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increase or decrease of the size of the Board;</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reorganization, recapitalization, voluntary bankruptcy, liquidation, dissolution or winding-up of the Company, Fluence Energy LLC or any of their respective subsidiaries; or</w:t>
      </w:r>
    </w:p>
    <w:p>
      <w:pPr>
        <w:spacing w:after="0" w:line="62" w:lineRule="exact"/>
        <w:rPr>
          <w:rFonts w:ascii="Arial" w:cs="Arial" w:eastAsia="Arial" w:hAnsi="Arial"/>
          <w:sz w:val="18"/>
          <w:szCs w:val="18"/>
          <w:color w:val="auto"/>
        </w:rPr>
      </w:pPr>
    </w:p>
    <w:p>
      <w:pPr>
        <w:ind w:left="1800" w:right="499" w:hanging="180"/>
        <w:spacing w:after="0" w:line="257" w:lineRule="auto"/>
        <w:tabs>
          <w:tab w:leader="none" w:pos="1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amendment or modification of the Stockholders Agreement or the organizational documents of the Company, Fluence Energy LLC or any of its subsidiaries that would adversely modify the rights, preferences or privileges of any of AES Grid Stability, Siemens Industry or the Blocker Shareholder in a materially disproportionate manner to the non-affected stockholders among AES, Siemens or Blocker Shareholder.</w:t>
      </w:r>
    </w:p>
    <w:p>
      <w:pPr>
        <w:spacing w:after="0" w:line="107"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In addition, the Stockholders Agreement provides the Blocker Shareholder with certain “tag along” rights to participate in certain sales of shares and LLC Interests by AES Grid Stability and Siemens Industry. The Stockholders Agreement provides that (x) if either AES Grid Stability or Siemens Industry individually sells 100% of their shares of Class A common Stock, Class B-2 common stock and/or LLC Interests to an unrelated third party (the “Sale Shares”) and (y) the Sale Shares represent 20% or more of all the issued and outstanding shares of Class A common stock (assuming conversion of all outstanding underlying LLC Interests into shares of Class A common stock), then AES Grid Stability or Siemens Industry may sell the Sale Shares and if such party seeks to assign such party’s rights under the Stockholders Agreement to the buyer, Blocker Shareholder shall have the right to participate in the sale of such Sale Shares and sell 100% of Blocker Shareholder’s shares of Class A common stock in connection therewith. In the event (x) AES Grid Stability and Siemens Industry collectively sell Sale Shares and</w:t>
      </w:r>
    </w:p>
    <w:p>
      <w:pPr>
        <w:spacing w:after="0" w:line="4" w:lineRule="exact"/>
        <w:rPr>
          <w:sz w:val="20"/>
          <w:szCs w:val="20"/>
          <w:color w:val="auto"/>
        </w:rPr>
      </w:pPr>
    </w:p>
    <w:p>
      <w:pPr>
        <w:ind w:left="1260" w:right="419"/>
        <w:spacing w:after="0" w:line="236" w:lineRule="auto"/>
        <w:tabs>
          <w:tab w:leader="none" w:pos="152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Sale Shares represent 30% or more of all the issued and outstanding shares of Class A common stock (assuming conversion of all outstanding underlying LLC Interests into shares of Class A common stock), then if (1) (i) AES Grid Stability and Siemens Industry sell 100% of their collective Sale Shares, then (ii) Blocker Shareholder shall have the right to sell to such third party 100% of its shares of Class A common stock or (2) (i) if AES Grid Stability and Siemens Industry sell less than 100% of their Sale Shares, then (ii) Blocker Shareholder shall have the right to sell to such third party a pro rata share of its shares of its Class A common stock.</w:t>
      </w: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7"/>
          <w:szCs w:val="17"/>
          <w:color w:val="auto"/>
        </w:rPr>
        <w:t>In addition, the Stockholders Agreement provides that, notwithstanding the tag- along rights described above, in the event that AES Grid Stability and Siemens Industry collectively sell to a third party 100% of the Class A common Stock, Class B -2 common Stock and LLC Interests they each own (a “Drag-Along Transaction”) and (A) as a result of such Drag-Along Transaction, such third party acquires at least 60% (in the aggregate) of the issued and outstanding shares of Class A common stock (assuming consummation of the underlying LLC Interests into shares of Class A common stock) and (B) the purchase price set forth in the bona fide offer from the third party purchaser is at least a 30% increase on 30-day average trading price for the shares of Class A common stock and LLC (a “Drag Offer”), then AES Grid Stability and Siemens Industry may, at their option, require the Blocker Shareholder to sell 100% of their shares of Class A common stock to the third party by giving written notice to the Blocker Shareholder not less than 30 days prior to the date stated in the Drag Offer for consummation of the sale contemplated by the Drag Offer.</w:t>
      </w:r>
    </w:p>
    <w:p>
      <w:pPr>
        <w:spacing w:after="0" w:line="11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Stockholders Agreement will terminate upon the earliest to occur of (i) the Continuing Equity Owners ceasing to beneficially own, directly or indirectly, any shares of Class A common stock (assuming that all outstanding LLC Interests in Fluence Energy, LLC (other than LLC Interests held by us) are redeemed for newly issued shares of our Class A common stock on a one-for-one basis), (ii) the Continuing Equity Owners ceasing to have any director designation rights under the Stockholders Agreement and (iii) as unanimously agreed between us and the Continuing Equity Owners. In addition, the Stockholders Agreement will terminate (i) as to each of AES Grid Stability and Siemens Industry upon the AES Grid Stability or Siemens Industry related parties, respectively, ceasing to beneficially own, directly or indirectly, any Class A common stock (assuming that all outstanding LLC Interests in Fluence Energy, LLC (other than LLC Interests held by us) are redeemed for newly issued shares of our class A common stock on a one-for-one basis) and (ii) solely as to the Blocker Shareholder, at its sole discretion, upon (A) (x) the Board no longer having a Blocker Shareholder director and (y) the Blocker Shareholder owning, directly or indirectly, less than 5% of all issued and outstanding shares of Class A common stock (assuming that all outstanding LLC Interests in Fluence Energy, LLC (other than LLC Interests held by us) are redeemed for newly issued shares of our class A common stock on a one-for-one basis) or (B) following a transfer by either AES Grid Stability or Siemens Industry of common stock or LLC Interests and the right to designate a director to an unaffiliated third party, in the event the Blocker Shareholder determines that it would not be able to vote for a director candidate nominated by such third party transferee.</w:t>
      </w:r>
    </w:p>
    <w:p>
      <w:pPr>
        <w:spacing w:after="0" w:line="11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Stockholders Agreement may not be assigned without the express prior written consent of the other parties thereto; provided, however, that each of AES Grid Stability, Siemens Industry and Blocker Shareholder is permitted to assign to their respective permitted transferees under the Stockholders Agreement (so long as any such permitted transferee becomes a party to the Stockholders Agreement); and provided further, that each of AES Grid Stability, Siemens Industry and Blocker Shareholder is permitted, without the consent of any party, to assign its rights and obligations under the Stockholders Agreement to a transferee of all (but not less than all) of its respective Class A common stock, Class B-1 common stock, Class B-2 common stock and/or LLC Units (as applicable) in a transfer not prohibited by the LLC Agreement, so long as such transferee agrees to become party to, and be bound by all of the provisions of the Stockholders Agreement.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Credit Support and Reimbursement Agreement</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Credit Support and Reimbursement Agreement will not provide any credit support from September 30, 2026, provided that either AES or Siemens Industry will be permitted to terminate the agreement upon</w:t>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six months prior notice.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We intend to enter into a Registration Rights Agreement with the Continuing Equity Owners in</w:t>
      </w:r>
    </w:p>
    <w:p>
      <w:pPr>
        <w:spacing w:after="0" w:line="1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connection with this offering. The Registration Rights Agreement will provide certain of the Continuing</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7"/>
          <w:szCs w:val="17"/>
          <w:color w:val="auto"/>
        </w:rPr>
        <w:t>Equity Owners with “demand” registration rights whereby they can require us to register under the Securities Act the offer and sale of shares of Class A common stock issuable to them, at our election (determined solely by our independent directors (within the meaning of the rules of the Nasdaq) who are disinterested), upon redemption or exchange of their LLC Interests. The Registration Rights Agreement will also provide for customary “piggyback” registration rights for all parties to the agreement.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 License Agreements</w:t>
      </w:r>
    </w:p>
    <w:p>
      <w:pPr>
        <w:spacing w:after="0" w:line="148"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On June 9, 2021, we entered into amended and restated intellectual property license agreement with Siemens pursuant to which Siemens entities will grant worldwide, non-exclusive, non-transferable, perpetual, royalty-free license to conduct certain non-exclusive activities for certain permitted business purposes and to engage in permitted sublicensing thereunder, subject to various exceptions. Similarly, we granted Siemens perpetual, non- exclusive, worldwide rights to do any acts within the current and future fields of business of Siemens or Siemens Industry, which are not activities which are exclusive to us and which would otherwise infringe any of the contributed Siemens intellectual property under fair, reasonable and non-discriminatory royalty terms, to be negotiated by the parties thereto before the licenses are exercised. The license agreement contains customary indemnification and limitation of liability provisions. Neither party will be permitted to assign their rights or obligations without the consent of the other party thereto.</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Equipment and Services Purchase Agreement</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In connection with the consummation of this offering, we will enter into an amended and restated equipment and services purchase agreement with Siemens Industry pursuant to which Siemens Industry will supply electrical balance of plant equipment and related services to us under preferred purchasing conditions. The equipment and services purchase agreement will contain customary provisions regarding orders and payment, delivery, title and risk of loss, quality control, warranties, force majeure, intellectual property, indemnification, confidentiality and dispute resolution, among others.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Storage Core Frame Purchase Agreements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In connection with the consummation of this offering, we will enter into an amended and restated storage core frame purchase agreement with each of AES Grid Stability and Siemens Industry, pursuant to which AES Grid Stability and Siemens Industry, purchase energy storage equipment and related services from us under preferred purchasing conditions, including most-favored-nation pricing, either for use in their own electrical transmission and distribution projects or for resale to their own end-customers. The storage core frame purchase agreements will contain customary provisions regarding orders and payment, delivery, title and risk of loss, quality control, warranties, force majeure, intellectual property, indemnification, confidentiality and dispute resolution, among others. The term of these agreements shall commence on the effective date and shall continue until the earlier of the (x) seven year anniversary thereof and (y) the date on which AES Grid Stability or Siemens Industry, as applicable, hold less than 10% of the then outstanding voting power. If AES Grid Stability and Siemens Industry hold at least 20% of the then -outstanding voting power, they shall cause their business units to purchase certain of our product offerings exclusively from us. If AES Grid Stability and Siemens Industry hold at least 10% of the then-outstanding voting power, neither it or its affiliates will directly or indirectly engage in any of the defined exclusive activities set forth in the agreement, subject to us maintaining certain sales volume requirements. Upon transfer of title with respect to any equipment purchased thereunder, we will grant such affiliate a non-exclusive, transferable, fully paid-up with no further royalty obligations, worldwide license in all intellectual property owed or licensed by us which are necessary for their use and enjoyment of such equipment. Neither party will be permitted to assign their rights or obligations, other than to an affiliate, without the written consent of the other party thereto, which consent shall not be unreasonably withheld. If any dispute arises regarding payments, either party shall pay all undisputed amounts, and both parties shall attempt in good faith to resolve the dispute as promptly as practicable. If parties are unable to resolve a dispute within 30 days, then either party may submit the dispute to arbitration.</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Master Sales Cooperation Agreement</w:t>
      </w:r>
    </w:p>
    <w:p>
      <w:pPr>
        <w:spacing w:after="0" w:line="148" w:lineRule="exact"/>
        <w:rPr>
          <w:sz w:val="20"/>
          <w:szCs w:val="20"/>
          <w:color w:val="auto"/>
        </w:rPr>
      </w:pPr>
    </w:p>
    <w:p>
      <w:pPr>
        <w:ind w:left="1260" w:right="759" w:firstLine="360"/>
        <w:spacing w:after="0" w:line="324" w:lineRule="auto"/>
        <w:rPr>
          <w:sz w:val="20"/>
          <w:szCs w:val="20"/>
          <w:color w:val="auto"/>
        </w:rPr>
      </w:pPr>
      <w:r>
        <w:rPr>
          <w:rFonts w:ascii="Arial" w:cs="Arial" w:eastAsia="Arial" w:hAnsi="Arial"/>
          <w:sz w:val="16"/>
          <w:szCs w:val="16"/>
          <w:color w:val="auto"/>
        </w:rPr>
        <w:t>Siemens Industry, Inc. and Fluence Energy, LLC previously entered into a master sales cooperation agreement on January 1, 2018 for the intent of cooperating to ensure meeting customer demands, timely</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delivery of high-quality battery energy storage solutions and related service and effective order planning and processing. The parties agree that the initial master sales cooperation agreement is terminated effective as of the date of the signing of the new master sales cooperation agreement and that this agreement replaces the initial agreement. In order to accelerate the adoption of energy storage in the market and to leverage Siemens’ extensive sales reach, Fluence is using Siemens sales organizations and customer relationships in some countries to bring Fluence’s battery energy storage solutions to Siemens customers as well as working together to assist Siemens in offering battery energy storage solutions as part of a larger solution. Both parties intend to cooperate and deliver value to each of the parties’ customers. Siemens intends to support Fluence in a potential usage of the Siemens sales organization worldwide. The support that Siemens can provide will be defined by a country specific agreement and/or project related agreements. The decision to pursue any specific project or transactions under any of the agreements shall be made independently and at the sole discretion of the parties. The cooperation activities are non-exclusive, neither party shall have grounds for any claim under any theory of law against the other party as it relates to this agreement, modifications shall only be valid if made in writing, and the agreement will continue in effect until December 31, 2022 and automatically extend by consecutive one-year intervals unless terminated by a party upon three months prior written notice to the other party.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Prior to the consummation of this offering, we intend to enter into separate indemnification agreements with each of our directors and executive officers. We have also purchased directors’ and officers’ liability insurance. See “Description of Capital Stock—Limitations on Liability and Indemnification of Officers and Directors.”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Directed Share Program</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At our request, the underwriters have reserved for sale at the initial public offering price per share up to 5.0% of the shares of Class A common stock offered by this prospectus for sale at the initial public offering price through a directed share program to certain individuals identified by management. See the section titled “Underwriting—Directed Share Program.”</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16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Our board of directors will adopt a written related person transaction policy, to be effective upon the closing of this offering, setting forth the policies and procedures for the review and approval or ratification by our audit committee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The following table sets forth information with respect to the beneficial ownership of our common stock (1) immediately following the consummation of the Transactions (excluding this offering), as described in “Our Organizational Structure” and (2) as adjusted to give effect to this offering, for:</w:t>
      </w:r>
    </w:p>
    <w:p>
      <w:pPr>
        <w:spacing w:after="0" w:line="57" w:lineRule="exact"/>
        <w:rPr>
          <w:sz w:val="20"/>
          <w:szCs w:val="20"/>
          <w:color w:val="auto"/>
        </w:rPr>
      </w:pPr>
    </w:p>
    <w:p>
      <w:pPr>
        <w:ind w:left="1800" w:right="779" w:hanging="180"/>
        <w:spacing w:after="0" w:line="27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B-1 or Class B-2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As described in “Our Organizational Structure” and “Certain Relationships and Related Party Transactions,” each common unit (other than LLC Interests held by us) is redeemable from time to time at each holder’s option for, at our election (determined solely by our independent directors (within the meaning of the rules of the Nasdaq) who are disinterested), newly-issued shares of our Class A common stock on a one-for-one basis or a cash payment equal to a volume weighted average market price of one share of Class A common stock for each LLC Interest so redeemed, in each case, in accordance with the terms of the Fluence Energy LLC Agreement; provided that, at our election (determined solely by our independent directors (within the meaning of the rules of the Nasdaq) who are disinterested), we may effect a direct exchange by Fluence Energy, Inc. of such Class A common stock or such cash, as applicable, for such LLC Interests. The Founders may, subject to certain exceptions, exercise such redemption right for as long as their LLC Interests remain outstanding. See “Certain Relationships and Related Party Transactions —Fluence Energy LLC Agreement.” In connection with this offering, we will issue to the Founders, for nominal consideration, one share of Class B-1 common stock for each common unit of Fluence Energy, LLC such Founder will own, respectively. As a result, the number of shares of Class B-1 common stock listed in the table below correlates to the number of LLC Interests the Founders will own immediately after the Transactions. Although the number of shares of Class A common stock being offered hereby to the public and the total number of LLC Interests outstanding after the offering will remain fixed regardless of the initial public offering price in this offering, the shares of Class B-1 common stock held by the beneficial owners set forth in the table below after the consummation of the Transactions will vary, depending on the initial public offering price in this offering. See “Our Organizational Structure.”</w:t>
      </w:r>
    </w:p>
    <w:p>
      <w:pPr>
        <w:spacing w:after="0" w:line="119"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September 30, 2021, are considered outstanding, although these shares are not considered outstanding for purposes of computing the percentage ownership of any other person.</w:t>
      </w:r>
    </w:p>
    <w:p>
      <w:pPr>
        <w:spacing w:after="0" w:line="3" w:lineRule="exact"/>
        <w:rPr>
          <w:sz w:val="20"/>
          <w:szCs w:val="20"/>
          <w:color w:val="auto"/>
        </w:rPr>
      </w:pPr>
    </w:p>
    <w:p>
      <w:pPr>
        <w:ind w:left="1260" w:right="459"/>
        <w:spacing w:after="0" w:line="286" w:lineRule="auto"/>
        <w:rPr>
          <w:sz w:val="20"/>
          <w:szCs w:val="20"/>
          <w:color w:val="auto"/>
        </w:rPr>
      </w:pPr>
      <w:r>
        <w:rPr>
          <w:rFonts w:ascii="Arial" w:cs="Arial" w:eastAsia="Arial" w:hAnsi="Arial"/>
          <w:sz w:val="16"/>
          <w:szCs w:val="16"/>
          <w:color w:val="auto"/>
        </w:rPr>
        <w:t>The percentage ownership of each individual or entity after giving effect to the Transactions and before this offering is computed on the basis of 18,493,275 shares of our Class A common stock outstanding and 117,173,390 shares of our Class B-1 common stock outstanding. The percentage ownership of each individual or entity after the offering is computed on the basis of 49,493,275 shares of our Class A common stock outstanding and 117,173,390 shares of our Class B-1 common stock outstanding. No shares of Class B-2 common stock will be outstanding immediately after the Transactions and before or after the offering. The table below excludes any purchases that may be made through our directed share program or otherwise in this offering. See “Underwriting—Directed Share Program.” Unless otherwise indicated, the address of all listed stockholders is c/o Fluence Energy, Inc., 4601 Fairfax Drive, Suite 600, Arlington, Virginia 22203.</w:t>
      </w:r>
    </w:p>
    <w:p>
      <w:pPr>
        <w:spacing w:after="0" w:line="91"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280"/>
              <w:spacing w:after="0"/>
              <w:rPr>
                <w:sz w:val="20"/>
                <w:szCs w:val="20"/>
                <w:color w:val="auto"/>
              </w:rPr>
            </w:pPr>
            <w:r>
              <w:rPr>
                <w:rFonts w:ascii="Arial" w:cs="Arial" w:eastAsia="Arial" w:hAnsi="Arial"/>
                <w:sz w:val="13"/>
                <w:szCs w:val="13"/>
                <w:b w:val="1"/>
                <w:bCs w:val="1"/>
                <w:color w:val="auto"/>
                <w:w w:val="87"/>
              </w:rPr>
              <w:t>Class A</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left="157"/>
              <w:spacing w:after="0"/>
              <w:rPr>
                <w:sz w:val="20"/>
                <w:szCs w:val="20"/>
                <w:color w:val="auto"/>
              </w:rPr>
            </w:pPr>
            <w:r>
              <w:rPr>
                <w:rFonts w:ascii="Arial" w:cs="Arial" w:eastAsia="Arial" w:hAnsi="Arial"/>
                <w:sz w:val="13"/>
                <w:szCs w:val="13"/>
                <w:b w:val="1"/>
                <w:bCs w:val="1"/>
                <w:color w:val="auto"/>
                <w:w w:val="84"/>
              </w:rPr>
              <w:t>Class B-1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Common Stock</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center"/>
              <w:ind w:right="180"/>
              <w:spacing w:after="0" w:line="122" w:lineRule="exact"/>
              <w:rPr>
                <w:sz w:val="20"/>
                <w:szCs w:val="20"/>
                <w:color w:val="auto"/>
              </w:rPr>
            </w:pPr>
            <w:r>
              <w:rPr>
                <w:rFonts w:ascii="Arial" w:cs="Arial" w:eastAsia="Arial" w:hAnsi="Arial"/>
                <w:sz w:val="13"/>
                <w:szCs w:val="13"/>
                <w:b w:val="1"/>
                <w:bCs w:val="1"/>
                <w:color w:val="auto"/>
                <w:w w:val="83"/>
              </w:rPr>
              <w:t>Common Stock</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3"/>
            <w:vMerge w:val="restart"/>
          </w:tcPr>
          <w:p>
            <w:pPr>
              <w:jc w:val="right"/>
              <w:ind w:right="437"/>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2"/>
              </w:rPr>
              <w:t>Beneficially</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center"/>
              <w:ind w:right="180"/>
              <w:spacing w:after="0" w:line="122" w:lineRule="exact"/>
              <w:rPr>
                <w:sz w:val="20"/>
                <w:szCs w:val="20"/>
                <w:color w:val="auto"/>
              </w:rPr>
            </w:pPr>
            <w:r>
              <w:rPr>
                <w:rFonts w:ascii="Arial" w:cs="Arial" w:eastAsia="Arial" w:hAnsi="Arial"/>
                <w:sz w:val="13"/>
                <w:szCs w:val="13"/>
                <w:b w:val="1"/>
                <w:bCs w:val="1"/>
                <w:color w:val="auto"/>
                <w:w w:val="82"/>
              </w:rPr>
              <w:t>Beneficially</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left="197"/>
              <w:spacing w:after="0"/>
              <w:rPr>
                <w:sz w:val="20"/>
                <w:szCs w:val="20"/>
                <w:color w:val="auto"/>
              </w:rPr>
            </w:pPr>
            <w:r>
              <w:rPr>
                <w:rFonts w:ascii="Arial" w:cs="Arial" w:eastAsia="Arial" w:hAnsi="Arial"/>
                <w:sz w:val="13"/>
                <w:szCs w:val="13"/>
                <w:b w:val="1"/>
                <w:bCs w:val="1"/>
                <w:color w:val="auto"/>
                <w:w w:val="86"/>
              </w:rPr>
              <w:t>Owned</w:t>
            </w:r>
            <w:r>
              <w:rPr>
                <w:rFonts w:ascii="Arial" w:cs="Arial" w:eastAsia="Arial" w:hAnsi="Arial"/>
                <w:sz w:val="8"/>
                <w:szCs w:val="8"/>
                <w:b w:val="1"/>
                <w:bCs w:val="1"/>
                <w:color w:val="auto"/>
                <w:w w:val="86"/>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left="197"/>
              <w:spacing w:after="0"/>
              <w:rPr>
                <w:sz w:val="20"/>
                <w:szCs w:val="20"/>
                <w:color w:val="auto"/>
              </w:rPr>
            </w:pPr>
            <w:r>
              <w:rPr>
                <w:rFonts w:ascii="Arial" w:cs="Arial" w:eastAsia="Arial" w:hAnsi="Arial"/>
                <w:sz w:val="13"/>
                <w:szCs w:val="13"/>
                <w:b w:val="1"/>
                <w:bCs w:val="1"/>
                <w:color w:val="auto"/>
                <w:w w:val="87"/>
              </w:rPr>
              <w:t>Owned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Voting Power</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38"/>
        </w:trPr>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vMerge w:val="restart"/>
          </w:tcPr>
          <w:p>
            <w:pPr>
              <w:jc w:val="center"/>
              <w:ind w:left="137"/>
              <w:spacing w:after="0"/>
              <w:rPr>
                <w:sz w:val="20"/>
                <w:szCs w:val="20"/>
                <w:color w:val="auto"/>
              </w:rPr>
            </w:pPr>
            <w:r>
              <w:rPr>
                <w:rFonts w:ascii="Arial" w:cs="Arial" w:eastAsia="Arial" w:hAnsi="Arial"/>
                <w:sz w:val="13"/>
                <w:szCs w:val="13"/>
                <w:b w:val="1"/>
                <w:bCs w:val="1"/>
                <w:color w:val="auto"/>
                <w:w w:val="92"/>
              </w:rPr>
              <w:t>After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center"/>
              <w:ind w:left="117"/>
              <w:spacing w:after="0"/>
              <w:rPr>
                <w:sz w:val="20"/>
                <w:szCs w:val="20"/>
                <w:color w:val="auto"/>
              </w:rPr>
            </w:pPr>
            <w:r>
              <w:rPr>
                <w:rFonts w:ascii="Arial" w:cs="Arial" w:eastAsia="Arial" w:hAnsi="Arial"/>
                <w:sz w:val="13"/>
                <w:szCs w:val="13"/>
                <w:b w:val="1"/>
                <w:bCs w:val="1"/>
                <w:color w:val="auto"/>
                <w:w w:val="92"/>
              </w:rPr>
              <w:t>After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restart"/>
          </w:tcPr>
          <w:p>
            <w:pPr>
              <w:jc w:val="center"/>
              <w:ind w:left="117"/>
              <w:spacing w:after="0"/>
              <w:rPr>
                <w:sz w:val="20"/>
                <w:szCs w:val="20"/>
                <w:color w:val="auto"/>
              </w:rPr>
            </w:pPr>
            <w:r>
              <w:rPr>
                <w:rFonts w:ascii="Arial" w:cs="Arial" w:eastAsia="Arial" w:hAnsi="Arial"/>
                <w:sz w:val="13"/>
                <w:szCs w:val="13"/>
                <w:b w:val="1"/>
                <w:bCs w:val="1"/>
                <w:color w:val="auto"/>
                <w:w w:val="92"/>
              </w:rPr>
              <w:t>After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After</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8"/>
              </w:rPr>
              <w:t>Giving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center"/>
              <w:ind w:left="137"/>
              <w:spacing w:after="0"/>
              <w:rPr>
                <w:sz w:val="20"/>
                <w:szCs w:val="20"/>
                <w:color w:val="auto"/>
              </w:rPr>
            </w:pPr>
            <w:r>
              <w:rPr>
                <w:rFonts w:ascii="Arial" w:cs="Arial" w:eastAsia="Arial" w:hAnsi="Arial"/>
                <w:sz w:val="13"/>
                <w:szCs w:val="13"/>
                <w:b w:val="1"/>
                <w:bCs w:val="1"/>
                <w:color w:val="auto"/>
                <w:w w:val="92"/>
              </w:rPr>
              <w:t>After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After</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3"/>
              </w:rPr>
              <w:t>Giving</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8"/>
              </w:rPr>
              <w:t>Effect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8"/>
              </w:rPr>
              <w:t>Giving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Giving</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center"/>
              <w:ind w:left="177"/>
              <w:spacing w:after="0"/>
              <w:rPr>
                <w:sz w:val="20"/>
                <w:szCs w:val="20"/>
                <w:color w:val="auto"/>
              </w:rPr>
            </w:pPr>
            <w:r>
              <w:rPr>
                <w:rFonts w:ascii="Arial" w:cs="Arial" w:eastAsia="Arial" w:hAnsi="Arial"/>
                <w:sz w:val="13"/>
                <w:szCs w:val="13"/>
                <w:b w:val="1"/>
                <w:bCs w:val="1"/>
                <w:color w:val="auto"/>
                <w:w w:val="92"/>
              </w:rPr>
              <w:t>After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2"/>
              </w:rPr>
              <w:t>Effect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78"/>
              </w:rPr>
              <w:t>to the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center"/>
              <w:ind w:left="177"/>
              <w:spacing w:after="0"/>
              <w:rPr>
                <w:sz w:val="20"/>
                <w:szCs w:val="20"/>
                <w:color w:val="auto"/>
              </w:rPr>
            </w:pPr>
            <w:r>
              <w:rPr>
                <w:rFonts w:ascii="Arial" w:cs="Arial" w:eastAsia="Arial" w:hAnsi="Arial"/>
                <w:sz w:val="13"/>
                <w:szCs w:val="13"/>
                <w:b w:val="1"/>
                <w:bCs w:val="1"/>
                <w:color w:val="auto"/>
                <w:w w:val="92"/>
              </w:rPr>
              <w:t>After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left="157"/>
              <w:spacing w:after="0" w:line="122" w:lineRule="exact"/>
              <w:rPr>
                <w:sz w:val="20"/>
                <w:szCs w:val="20"/>
                <w:color w:val="auto"/>
              </w:rPr>
            </w:pPr>
            <w:r>
              <w:rPr>
                <w:rFonts w:ascii="Arial" w:cs="Arial" w:eastAsia="Arial" w:hAnsi="Arial"/>
                <w:sz w:val="13"/>
                <w:szCs w:val="13"/>
                <w:b w:val="1"/>
                <w:bCs w:val="1"/>
                <w:color w:val="auto"/>
                <w:w w:val="83"/>
              </w:rPr>
              <w:t>Giving</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5"/>
              </w:rPr>
              <w:t>Effect to the</w:t>
            </w:r>
          </w:p>
        </w:tc>
        <w:tc>
          <w:tcPr>
            <w:tcW w:w="84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3"/>
              </w:rPr>
              <w:t>Giving</w:t>
            </w: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Effect to the</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4"/>
              </w:rPr>
              <w:t>to the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Transactions</w:t>
            </w:r>
          </w:p>
        </w:tc>
        <w:tc>
          <w:tcPr>
            <w:tcW w:w="7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2"/>
              </w:rPr>
              <w:t>Effect to the</w:t>
            </w:r>
          </w:p>
        </w:tc>
        <w:tc>
          <w:tcPr>
            <w:tcW w:w="108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Transactions</w:t>
            </w:r>
          </w:p>
        </w:tc>
        <w:tc>
          <w:tcPr>
            <w:tcW w:w="84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2"/>
              </w:rPr>
              <w:t>Effect to the</w:t>
            </w: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Transactions</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left="157"/>
              <w:spacing w:after="0" w:line="122" w:lineRule="exact"/>
              <w:rPr>
                <w:sz w:val="20"/>
                <w:szCs w:val="20"/>
                <w:color w:val="auto"/>
              </w:rPr>
            </w:pPr>
            <w:r>
              <w:rPr>
                <w:rFonts w:ascii="Arial" w:cs="Arial" w:eastAsia="Arial" w:hAnsi="Arial"/>
                <w:sz w:val="13"/>
                <w:szCs w:val="13"/>
                <w:b w:val="1"/>
                <w:bCs w:val="1"/>
                <w:color w:val="auto"/>
                <w:w w:val="83"/>
              </w:rPr>
              <w:t>Giving</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5"/>
          </w:tcPr>
          <w:p>
            <w:pPr>
              <w:jc w:val="center"/>
              <w:ind w:right="180"/>
              <w:spacing w:after="0" w:line="122" w:lineRule="exact"/>
              <w:rPr>
                <w:sz w:val="20"/>
                <w:szCs w:val="20"/>
                <w:color w:val="auto"/>
              </w:rPr>
            </w:pPr>
            <w:r>
              <w:rPr>
                <w:rFonts w:ascii="Arial" w:cs="Arial" w:eastAsia="Arial" w:hAnsi="Arial"/>
                <w:sz w:val="13"/>
                <w:szCs w:val="13"/>
                <w:b w:val="1"/>
                <w:bCs w:val="1"/>
                <w:color w:val="auto"/>
                <w:w w:val="81"/>
              </w:rPr>
              <w:t>Transactions</w:t>
            </w: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6"/>
              </w:rPr>
              <w:t>and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left="157"/>
              <w:spacing w:after="0" w:line="122" w:lineRule="exact"/>
              <w:rPr>
                <w:sz w:val="20"/>
                <w:szCs w:val="20"/>
                <w:color w:val="auto"/>
              </w:rPr>
            </w:pPr>
            <w:r>
              <w:rPr>
                <w:rFonts w:ascii="Arial" w:cs="Arial" w:eastAsia="Arial" w:hAnsi="Arial"/>
                <w:sz w:val="13"/>
                <w:szCs w:val="13"/>
                <w:b w:val="1"/>
                <w:bCs w:val="1"/>
                <w:color w:val="auto"/>
                <w:w w:val="83"/>
              </w:rPr>
              <w:t>Giving</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1"/>
              </w:rPr>
              <w:t>Transactions</w:t>
            </w: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6"/>
              </w:rPr>
              <w:t>and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1"/>
              </w:rPr>
              <w:t>Transactions</w:t>
            </w: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left="157"/>
              <w:spacing w:after="0" w:line="122" w:lineRule="exact"/>
              <w:rPr>
                <w:sz w:val="20"/>
                <w:szCs w:val="20"/>
                <w:color w:val="auto"/>
              </w:rPr>
            </w:pPr>
            <w:r>
              <w:rPr>
                <w:rFonts w:ascii="Arial" w:cs="Arial" w:eastAsia="Arial" w:hAnsi="Arial"/>
                <w:sz w:val="13"/>
                <w:szCs w:val="13"/>
                <w:b w:val="1"/>
                <w:bCs w:val="1"/>
                <w:color w:val="auto"/>
                <w:w w:val="82"/>
              </w:rPr>
              <w:t>Effect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left="137"/>
              <w:spacing w:after="0" w:line="122" w:lineRule="exact"/>
              <w:rPr>
                <w:sz w:val="20"/>
                <w:szCs w:val="20"/>
                <w:color w:val="auto"/>
              </w:rPr>
            </w:pPr>
            <w:r>
              <w:rPr>
                <w:rFonts w:ascii="Arial" w:cs="Arial" w:eastAsia="Arial" w:hAnsi="Arial"/>
                <w:sz w:val="13"/>
                <w:szCs w:val="13"/>
                <w:b w:val="1"/>
                <w:bCs w:val="1"/>
                <w:color w:val="auto"/>
                <w:w w:val="86"/>
              </w:rPr>
              <w:t>and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6"/>
              </w:rPr>
              <w:t>this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2"/>
              </w:rPr>
              <w:t>Effect to the</w:t>
            </w:r>
          </w:p>
        </w:tc>
        <w:tc>
          <w:tcPr>
            <w:tcW w:w="720" w:type="dxa"/>
            <w:vAlign w:val="bottom"/>
            <w:gridSpan w:val="2"/>
          </w:tcPr>
          <w:p>
            <w:pPr>
              <w:jc w:val="center"/>
              <w:ind w:left="137"/>
              <w:spacing w:after="0" w:line="122" w:lineRule="exact"/>
              <w:rPr>
                <w:sz w:val="20"/>
                <w:szCs w:val="20"/>
                <w:color w:val="auto"/>
              </w:rPr>
            </w:pPr>
            <w:r>
              <w:rPr>
                <w:rFonts w:ascii="Arial" w:cs="Arial" w:eastAsia="Arial" w:hAnsi="Arial"/>
                <w:sz w:val="13"/>
                <w:szCs w:val="13"/>
                <w:b w:val="1"/>
                <w:bCs w:val="1"/>
                <w:color w:val="auto"/>
                <w:w w:val="86"/>
              </w:rPr>
              <w:t>and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6"/>
              </w:rPr>
              <w:t>this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6"/>
              </w:rPr>
              <w:t>and</w:t>
            </w: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this</w:t>
            </w: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left="157"/>
              <w:spacing w:after="0" w:line="122" w:lineRule="exact"/>
              <w:rPr>
                <w:sz w:val="20"/>
                <w:szCs w:val="20"/>
                <w:color w:val="auto"/>
              </w:rPr>
            </w:pPr>
            <w:r>
              <w:rPr>
                <w:rFonts w:ascii="Arial" w:cs="Arial" w:eastAsia="Arial" w:hAnsi="Arial"/>
                <w:sz w:val="13"/>
                <w:szCs w:val="13"/>
                <w:b w:val="1"/>
                <w:bCs w:val="1"/>
                <w:color w:val="auto"/>
                <w:w w:val="84"/>
              </w:rPr>
              <w:t>to the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77"/>
              </w:rPr>
              <w:t>this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6"/>
              </w:rPr>
              <w:t>Offering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1"/>
              </w:rPr>
              <w:t>Transactions</w:t>
            </w:r>
          </w:p>
        </w:tc>
        <w:tc>
          <w:tcPr>
            <w:tcW w:w="720" w:type="dxa"/>
            <w:vAlign w:val="bottom"/>
            <w:gridSpan w:val="2"/>
          </w:tcPr>
          <w:p>
            <w:pPr>
              <w:jc w:val="center"/>
              <w:ind w:left="157"/>
              <w:spacing w:after="0" w:line="122" w:lineRule="exact"/>
              <w:rPr>
                <w:sz w:val="20"/>
                <w:szCs w:val="20"/>
                <w:color w:val="auto"/>
              </w:rPr>
            </w:pPr>
            <w:r>
              <w:rPr>
                <w:rFonts w:ascii="Arial" w:cs="Arial" w:eastAsia="Arial" w:hAnsi="Arial"/>
                <w:sz w:val="13"/>
                <w:szCs w:val="13"/>
                <w:b w:val="1"/>
                <w:bCs w:val="1"/>
                <w:color w:val="auto"/>
                <w:w w:val="77"/>
              </w:rPr>
              <w:t>this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6"/>
              </w:rPr>
              <w:t>Offering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77"/>
              </w:rPr>
              <w:t>this</w:t>
            </w: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Offering</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1"/>
              </w:rPr>
              <w:t>Transactions</w:t>
            </w:r>
          </w:p>
        </w:tc>
        <w:tc>
          <w:tcPr>
            <w:tcW w:w="720" w:type="dxa"/>
            <w:vAlign w:val="bottom"/>
            <w:gridSpan w:val="3"/>
          </w:tcPr>
          <w:p>
            <w:pPr>
              <w:jc w:val="center"/>
              <w:ind w:left="137"/>
              <w:spacing w:after="0" w:line="122" w:lineRule="exact"/>
              <w:rPr>
                <w:sz w:val="20"/>
                <w:szCs w:val="20"/>
                <w:color w:val="auto"/>
              </w:rPr>
            </w:pPr>
            <w:r>
              <w:rPr>
                <w:rFonts w:ascii="Arial" w:cs="Arial" w:eastAsia="Arial" w:hAnsi="Arial"/>
                <w:sz w:val="13"/>
                <w:szCs w:val="13"/>
                <w:b w:val="1"/>
                <w:bCs w:val="1"/>
                <w:color w:val="auto"/>
                <w:w w:val="86"/>
              </w:rPr>
              <w:t>Offering</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7"/>
              </w:rPr>
              <w:t>(With Full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left="177"/>
              <w:spacing w:after="0" w:line="122" w:lineRule="exact"/>
              <w:rPr>
                <w:sz w:val="20"/>
                <w:szCs w:val="20"/>
                <w:color w:val="auto"/>
              </w:rPr>
            </w:pPr>
            <w:r>
              <w:rPr>
                <w:rFonts w:ascii="Arial" w:cs="Arial" w:eastAsia="Arial" w:hAnsi="Arial"/>
                <w:sz w:val="13"/>
                <w:szCs w:val="13"/>
                <w:b w:val="1"/>
                <w:bCs w:val="1"/>
                <w:color w:val="auto"/>
                <w:w w:val="86"/>
              </w:rPr>
              <w:t>and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left="137"/>
              <w:spacing w:after="0" w:line="122" w:lineRule="exact"/>
              <w:rPr>
                <w:sz w:val="20"/>
                <w:szCs w:val="20"/>
                <w:color w:val="auto"/>
              </w:rPr>
            </w:pPr>
            <w:r>
              <w:rPr>
                <w:rFonts w:ascii="Arial" w:cs="Arial" w:eastAsia="Arial" w:hAnsi="Arial"/>
                <w:sz w:val="13"/>
                <w:szCs w:val="13"/>
                <w:b w:val="1"/>
                <w:bCs w:val="1"/>
                <w:color w:val="auto"/>
                <w:w w:val="86"/>
              </w:rPr>
              <w:t>Offering</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37"/>
              <w:spacing w:after="0" w:line="122" w:lineRule="exact"/>
              <w:rPr>
                <w:sz w:val="20"/>
                <w:szCs w:val="20"/>
                <w:color w:val="auto"/>
              </w:rPr>
            </w:pPr>
            <w:r>
              <w:rPr>
                <w:rFonts w:ascii="Arial" w:cs="Arial" w:eastAsia="Arial" w:hAnsi="Arial"/>
                <w:sz w:val="13"/>
                <w:szCs w:val="13"/>
                <w:b w:val="1"/>
                <w:bCs w:val="1"/>
                <w:color w:val="auto"/>
                <w:w w:val="91"/>
              </w:rPr>
              <w:t>(With Full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6"/>
              </w:rPr>
              <w:t>Offering</w:t>
            </w: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1"/>
              </w:rPr>
              <w:t>(With Full</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jc w:val="center"/>
              <w:ind w:right="140"/>
              <w:spacing w:after="0" w:line="122" w:lineRule="exact"/>
              <w:rPr>
                <w:sz w:val="20"/>
                <w:szCs w:val="20"/>
                <w:color w:val="auto"/>
              </w:rPr>
            </w:pPr>
            <w:r>
              <w:rPr>
                <w:rFonts w:ascii="Arial" w:cs="Arial" w:eastAsia="Arial" w:hAnsi="Arial"/>
                <w:sz w:val="13"/>
                <w:szCs w:val="13"/>
                <w:b w:val="1"/>
                <w:bCs w:val="1"/>
                <w:color w:val="auto"/>
                <w:w w:val="82"/>
              </w:rPr>
              <w:t>and Before</w:t>
            </w:r>
          </w:p>
        </w:tc>
        <w:tc>
          <w:tcPr>
            <w:tcW w:w="1080" w:type="dxa"/>
            <w:vAlign w:val="bottom"/>
            <w:gridSpan w:val="5"/>
          </w:tcPr>
          <w:p>
            <w:pPr>
              <w:jc w:val="center"/>
              <w:ind w:right="180"/>
              <w:spacing w:after="0" w:line="122" w:lineRule="exact"/>
              <w:rPr>
                <w:sz w:val="20"/>
                <w:szCs w:val="20"/>
                <w:color w:val="auto"/>
              </w:rPr>
            </w:pPr>
            <w:r>
              <w:rPr>
                <w:rFonts w:ascii="Arial" w:cs="Arial" w:eastAsia="Arial" w:hAnsi="Arial"/>
                <w:sz w:val="13"/>
                <w:szCs w:val="13"/>
                <w:b w:val="1"/>
                <w:bCs w:val="1"/>
                <w:color w:val="auto"/>
                <w:w w:val="83"/>
              </w:rPr>
              <w:t>(No Exercise</w:t>
            </w: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2"/>
              </w:rPr>
              <w:t>Exercise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left="157"/>
              <w:spacing w:after="0" w:line="122" w:lineRule="exact"/>
              <w:rPr>
                <w:sz w:val="20"/>
                <w:szCs w:val="20"/>
                <w:color w:val="auto"/>
              </w:rPr>
            </w:pPr>
            <w:r>
              <w:rPr>
                <w:rFonts w:ascii="Arial" w:cs="Arial" w:eastAsia="Arial" w:hAnsi="Arial"/>
                <w:sz w:val="13"/>
                <w:szCs w:val="13"/>
                <w:b w:val="1"/>
                <w:bCs w:val="1"/>
                <w:color w:val="auto"/>
                <w:w w:val="82"/>
              </w:rPr>
              <w:t>Before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(No Exercise</w:t>
            </w:r>
          </w:p>
        </w:tc>
        <w:tc>
          <w:tcPr>
            <w:tcW w:w="74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2"/>
              </w:rPr>
              <w:t>Exercise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3"/>
              </w:rPr>
              <w:t>(No Exercise</w:t>
            </w: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2"/>
              </w:rPr>
              <w:t>Exercise</w:t>
            </w: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5"/>
              </w:rPr>
              <w:t>this Offering</w:t>
            </w:r>
          </w:p>
        </w:tc>
        <w:tc>
          <w:tcPr>
            <w:tcW w:w="72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90"/>
              </w:rPr>
              <w:t>Option)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86"/>
              </w:rPr>
              <w:t>Option)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5"/>
              </w:rPr>
              <w:t>this Offering</w:t>
            </w:r>
          </w:p>
        </w:tc>
        <w:tc>
          <w:tcPr>
            <w:tcW w:w="720" w:type="dxa"/>
            <w:vAlign w:val="bottom"/>
            <w:gridSpan w:val="2"/>
          </w:tcPr>
          <w:p>
            <w:pPr>
              <w:jc w:val="center"/>
              <w:ind w:left="177"/>
              <w:spacing w:after="0"/>
              <w:rPr>
                <w:sz w:val="20"/>
                <w:szCs w:val="20"/>
                <w:color w:val="auto"/>
              </w:rPr>
            </w:pPr>
            <w:r>
              <w:rPr>
                <w:rFonts w:ascii="Arial" w:cs="Arial" w:eastAsia="Arial" w:hAnsi="Arial"/>
                <w:sz w:val="13"/>
                <w:szCs w:val="13"/>
                <w:b w:val="1"/>
                <w:bCs w:val="1"/>
                <w:color w:val="auto"/>
                <w:w w:val="86"/>
              </w:rPr>
              <w:t>Option)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86"/>
              </w:rPr>
              <w:t>Option)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Option)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6"/>
              </w:rPr>
              <w:t>Option)</w:t>
            </w:r>
          </w:p>
        </w:tc>
        <w:tc>
          <w:tcPr>
            <w:tcW w:w="0" w:type="dxa"/>
            <w:vAlign w:val="bottom"/>
          </w:tcPr>
          <w:p>
            <w:pPr>
              <w:spacing w:after="0"/>
              <w:rPr>
                <w:sz w:val="1"/>
                <w:szCs w:val="1"/>
                <w:color w:val="auto"/>
              </w:rPr>
            </w:pPr>
          </w:p>
        </w:tc>
      </w:tr>
      <w:tr>
        <w:trPr>
          <w:trHeight w:val="38"/>
        </w:trPr>
        <w:tc>
          <w:tcPr>
            <w:tcW w:w="1680" w:type="dxa"/>
            <w:vAlign w:val="bottom"/>
            <w:gridSpan w:val="2"/>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68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b w:val="1"/>
                <w:bCs w:val="1"/>
                <w:color w:val="auto"/>
              </w:rPr>
              <w:t>Number</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b w:val="1"/>
                <w:bCs w:val="1"/>
                <w:color w:val="auto"/>
              </w:rPr>
              <w:t>Number</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40" w:type="dxa"/>
            <w:vAlign w:val="bottom"/>
            <w:gridSpan w:val="3"/>
          </w:tcPr>
          <w:p>
            <w:pPr>
              <w:ind w:left="80"/>
              <w:spacing w:after="0"/>
              <w:rPr>
                <w:sz w:val="20"/>
                <w:szCs w:val="20"/>
                <w:color w:val="auto"/>
              </w:rPr>
            </w:pPr>
            <w:r>
              <w:rPr>
                <w:rFonts w:ascii="Arial" w:cs="Arial" w:eastAsia="Arial" w:hAnsi="Arial"/>
                <w:sz w:val="13"/>
                <w:szCs w:val="13"/>
                <w:b w:val="1"/>
                <w:bCs w:val="1"/>
                <w:color w:val="auto"/>
              </w:rPr>
              <w:t>Number</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3"/>
        </w:trPr>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5% Stockholders</w:t>
            </w: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AES Grid Stability</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86"/>
              </w:rPr>
              <w:t>58,586,696</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w w:val="86"/>
              </w:rPr>
              <w:t>43.2</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86"/>
              </w:rPr>
              <w:t>58,586,695</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w w:val="86"/>
              </w:rPr>
              <w:t>35.2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58,586,695</w:t>
            </w:r>
          </w:p>
        </w:tc>
        <w:tc>
          <w:tcPr>
            <w:tcW w:w="4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w w:val="78"/>
              </w:rPr>
              <w:t>34.2</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46.1</w:t>
            </w:r>
          </w:p>
        </w:tc>
        <w:tc>
          <w:tcPr>
            <w:tcW w:w="140" w:type="dxa"/>
            <w:vAlign w:val="bottom"/>
          </w:tcPr>
          <w:p>
            <w:pPr>
              <w:spacing w:after="0"/>
              <w:rPr>
                <w:sz w:val="17"/>
                <w:szCs w:val="17"/>
                <w:color w:val="auto"/>
              </w:rPr>
            </w:pP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29"/>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Siemens Industry</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58,586,696</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43.2</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58,586,695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35.2</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58,586,695</w:t>
            </w: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78"/>
              </w:rPr>
              <w:t>34.2</w:t>
            </w: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46.1</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The Blocker Shareholder</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18,493,275</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13.6</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18,493,275</w:t>
            </w:r>
          </w:p>
        </w:tc>
        <w:tc>
          <w:tcPr>
            <w:tcW w:w="2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w w:val="78"/>
              </w:rPr>
              <w:t>11.1</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18,493,275</w:t>
            </w:r>
          </w:p>
        </w:tc>
        <w:tc>
          <w:tcPr>
            <w:tcW w:w="4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w w:val="78"/>
              </w:rPr>
              <w:t>10.8</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7"/>
                <w:szCs w:val="17"/>
                <w:color w:val="auto"/>
              </w:rPr>
            </w:pP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9"/>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w w:val="88"/>
              </w:rPr>
              <w:t>Named Executive Officers and</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b w:val="1"/>
                <w:bCs w:val="1"/>
                <w:i w:val="1"/>
                <w:iCs w:val="1"/>
                <w:color w:val="auto"/>
              </w:rPr>
              <w:t>Directors</w:t>
            </w: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Arial" w:cs="Arial" w:eastAsia="Arial" w:hAnsi="Arial"/>
                <w:sz w:val="13"/>
                <w:szCs w:val="13"/>
                <w:color w:val="auto"/>
              </w:rPr>
              <w:t>Manuel Perez</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80" w:type="dxa"/>
            <w:vAlign w:val="bottom"/>
            <w:gridSpan w:val="2"/>
          </w:tcPr>
          <w:p>
            <w:pPr>
              <w:ind w:left="120"/>
              <w:spacing w:after="0"/>
              <w:rPr>
                <w:sz w:val="20"/>
                <w:szCs w:val="20"/>
                <w:color w:val="auto"/>
              </w:rPr>
            </w:pPr>
            <w:r>
              <w:rPr>
                <w:rFonts w:ascii="Arial" w:cs="Arial" w:eastAsia="Arial" w:hAnsi="Arial"/>
                <w:sz w:val="13"/>
                <w:szCs w:val="13"/>
                <w:color w:val="auto"/>
              </w:rPr>
              <w:t>Dubuc</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Dennis Fehr</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Rebecca Boll</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Julian Nebreda</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Lisa Krueger</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Barbara Humpton</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Emma Falck</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Axel Meier</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Chris Shelton</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Simon Smith</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Cynthia Arnold</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Herman Bulls</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Elizabeth Fessenden</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Harald von Heynitz</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Arial" w:cs="Arial" w:eastAsia="Arial" w:hAnsi="Arial"/>
                <w:sz w:val="13"/>
                <w:szCs w:val="13"/>
                <w:color w:val="auto"/>
              </w:rPr>
              <w:t>All directors and executive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ind w:left="120"/>
              <w:spacing w:after="0"/>
              <w:rPr>
                <w:sz w:val="20"/>
                <w:szCs w:val="20"/>
                <w:color w:val="auto"/>
              </w:rPr>
            </w:pPr>
            <w:r>
              <w:rPr>
                <w:rFonts w:ascii="Arial" w:cs="Arial" w:eastAsia="Arial" w:hAnsi="Arial"/>
                <w:sz w:val="13"/>
                <w:szCs w:val="13"/>
                <w:color w:val="auto"/>
              </w:rPr>
              <w:t>officers as a group</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80" w:type="dxa"/>
            <w:vAlign w:val="bottom"/>
            <w:gridSpan w:val="2"/>
          </w:tcPr>
          <w:p>
            <w:pPr>
              <w:ind w:left="120"/>
              <w:spacing w:after="0"/>
              <w:rPr>
                <w:sz w:val="20"/>
                <w:szCs w:val="20"/>
                <w:color w:val="auto"/>
              </w:rPr>
            </w:pPr>
            <w:r>
              <w:rPr>
                <w:rFonts w:ascii="Arial" w:cs="Arial" w:eastAsia="Arial" w:hAnsi="Arial"/>
                <w:sz w:val="13"/>
                <w:szCs w:val="13"/>
                <w:color w:val="auto"/>
              </w:rPr>
              <w:t>(16 persons)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i w:val="1"/>
                <w:iCs w:val="1"/>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b w:val="1"/>
                <w:bCs w:val="1"/>
                <w:i w:val="1"/>
                <w:iCs w:val="1"/>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b w:val="1"/>
                <w:bCs w:val="1"/>
                <w:i w:val="1"/>
                <w:i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b w:val="1"/>
                <w:bCs w:val="1"/>
                <w:i w:val="1"/>
                <w:iCs w:val="1"/>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b w:val="1"/>
                <w:bCs w:val="1"/>
                <w:i w:val="1"/>
                <w:i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b w:val="1"/>
                <w:bCs w:val="1"/>
                <w:i w:val="1"/>
                <w:i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i w:val="1"/>
                <w:iCs w:val="1"/>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b w:val="1"/>
                <w:bCs w:val="1"/>
                <w:i w:val="1"/>
                <w:i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i w:val="1"/>
                <w:iCs w:val="1"/>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b w:val="1"/>
                <w:bCs w:val="1"/>
                <w:i w:val="1"/>
                <w:iCs w:val="1"/>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b w:val="1"/>
                <w:bCs w:val="1"/>
                <w:i w:val="1"/>
                <w:i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b w:val="1"/>
                <w:bCs w:val="1"/>
                <w:i w:val="1"/>
                <w:iCs w:val="1"/>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i w:val="1"/>
                <w:iCs w:val="1"/>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-3281045</wp:posOffset>
            </wp:positionV>
            <wp:extent cx="857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-3281045</wp:posOffset>
            </wp:positionV>
            <wp:extent cx="857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-3281045</wp:posOffset>
            </wp:positionV>
            <wp:extent cx="857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-3281045</wp:posOffset>
            </wp:positionV>
            <wp:extent cx="857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-3281045</wp:posOffset>
            </wp:positionV>
            <wp:extent cx="857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-3281045</wp:posOffset>
            </wp:positionV>
            <wp:extent cx="857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-3281045</wp:posOffset>
            </wp:positionV>
            <wp:extent cx="85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-3281045</wp:posOffset>
            </wp:positionV>
            <wp:extent cx="857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-3281045</wp:posOffset>
            </wp:positionV>
            <wp:extent cx="857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-3281045</wp:posOffset>
            </wp:positionV>
            <wp:extent cx="857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-3281045</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-3281045</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-3281045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-3281045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181610</wp:posOffset>
            </wp:positionV>
            <wp:extent cx="12344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860" w:hanging="365"/>
        <w:spacing w:after="0"/>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77" w:lineRule="exact"/>
        <w:rPr>
          <w:sz w:val="20"/>
          <w:szCs w:val="20"/>
          <w:color w:val="auto"/>
        </w:rPr>
      </w:pPr>
    </w:p>
    <w:p>
      <w:pPr>
        <w:ind w:left="860" w:right="80" w:hanging="365"/>
        <w:spacing w:after="0" w:line="223" w:lineRule="auto"/>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common unit is redeemable from time to time at each holder’s option for, at our election (determined solely by our independent directors (within the meaning of the rules of the Nasdaq) who are disinterested), newly-issued shares of our Class A common stock on a one-for-one basis or a cash payment equal to a volume weighted average market price of one share of Class A common stock for each LLC Interest so redeemed, in each case, in accordance with the terms of the Fluence Energy LLC Agreement; provided that, at our election (determined solely by our independent directors (within the meaning of the rules of the Nasdaq) who are disinterested), we may effect a direct exchange by Fluence Energy, Inc. of such Class A common stock or such cash, as applicable, for such LLC Interests. The Founders may, subject to certain exceptions, exercise such redemption right for as long as their LLC Interests remain outstanding. See “Certain Relationships and Related Party Transactions—Fluence Energy LLC Agreement.” In these tables, beneficial ownership of LLC Interests has been reflected as beneficial ownership of shares of our Class A common stock for which such LLC Interests may be exchanged.</w:t>
      </w:r>
    </w:p>
    <w:p>
      <w:pPr>
        <w:spacing w:after="0" w:line="30" w:lineRule="exact"/>
        <w:rPr>
          <w:rFonts w:ascii="Arial" w:cs="Arial" w:eastAsia="Arial" w:hAnsi="Arial"/>
          <w:sz w:val="18"/>
          <w:szCs w:val="18"/>
          <w:color w:val="auto"/>
        </w:rPr>
      </w:pPr>
    </w:p>
    <w:p>
      <w:pPr>
        <w:ind w:left="860" w:right="140" w:hanging="365"/>
        <w:spacing w:after="0" w:line="242" w:lineRule="auto"/>
        <w:tabs>
          <w:tab w:leader="none" w:pos="8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Represents the percentage of voting power of our Class A common stock and Class B-1 common stock voting as a single class. Each share of Class A common stock entitles the registered holder to one vote per share and each share of Class B-1 common stock entitles the registered holder thereof to five votes per share on all matters presented to stockholders for a vote generally, including the election of directors. The Class A common stock and Class B-1 common stock will vote as a single class on all matters except as required by law or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74" w:lineRule="exact"/>
        <w:rPr>
          <w:sz w:val="20"/>
          <w:szCs w:val="20"/>
          <w:color w:val="auto"/>
        </w:rPr>
      </w:pPr>
    </w:p>
    <w:p>
      <w:pPr>
        <w:ind w:left="1800" w:hanging="180"/>
        <w:spacing w:after="0"/>
        <w:tabs>
          <w:tab w:leader="none" w:pos="1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1,200,000,000 shares of Class A common stock, par value $0.00001 per share;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300,000,000 shares of Class B-1 common stock, par value $0.00001 per share;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300,000,000 shares of Class B-2 common stock, par value $0.00001 per share;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10,000,000 shares of preferred stock, par value $0.00001 per share.</w:t>
      </w:r>
    </w:p>
    <w:p>
      <w:pPr>
        <w:spacing w:after="0" w:line="14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We are selling 31,000,000 shares of Class A common stock in this offering (35,650,000 shares if the underwriters exercise in full their option to purchase additional shares of our Class A common stock). All shares of our Class A common stock outstanding upon consummation of this offering will be fully paid and non-assessable. We are issuing 18,493,275 shares of Class A common stock to the Blocker Shareholder in connection with the Transactions, and are issuing 117,173,390 shares of Class B-1 common stock to the Founders in connection with the Transactions for nominal consideration.</w:t>
      </w:r>
    </w:p>
    <w:p>
      <w:pPr>
        <w:spacing w:after="0" w:line="108" w:lineRule="exact"/>
        <w:rPr>
          <w:sz w:val="20"/>
          <w:szCs w:val="20"/>
          <w:color w:val="auto"/>
        </w:rPr>
      </w:pPr>
    </w:p>
    <w:p>
      <w:pPr>
        <w:jc w:val="both"/>
        <w:ind w:left="1260" w:right="499" w:firstLine="360"/>
        <w:spacing w:after="0" w:line="248" w:lineRule="auto"/>
        <w:rPr>
          <w:sz w:val="20"/>
          <w:szCs w:val="20"/>
          <w:color w:val="auto"/>
        </w:rPr>
      </w:pPr>
      <w:r>
        <w:rPr>
          <w:rFonts w:ascii="Arial" w:cs="Arial" w:eastAsia="Arial" w:hAnsi="Arial"/>
          <w:sz w:val="18"/>
          <w:szCs w:val="18"/>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14"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submitted to a vote of stockholders.</w:t>
      </w:r>
    </w:p>
    <w:p>
      <w:pPr>
        <w:spacing w:after="0" w:line="103"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20"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84"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Holders of shares of our Class A common stock do not have preemptive, subscription, redemption or conversion rights. There will be no redemption or sinking fund provisions applicable to the Class A common stock.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B-1 and Class B-2 Common Stock</w:t>
      </w:r>
    </w:p>
    <w:p>
      <w:pPr>
        <w:spacing w:after="0" w:line="15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Each share of our Class B-1 common stock entitles its holders to five votes per share and each share of our Class B-2 common stock entitles its holders to one vote per share on all matters presented to our stockholders generally.</w:t>
      </w:r>
    </w:p>
    <w:p>
      <w:pPr>
        <w:spacing w:after="0" w:line="116" w:lineRule="exact"/>
        <w:rPr>
          <w:sz w:val="20"/>
          <w:szCs w:val="20"/>
          <w:color w:val="auto"/>
        </w:rPr>
      </w:pPr>
    </w:p>
    <w:p>
      <w:pPr>
        <w:ind w:left="1260" w:right="499" w:firstLine="360"/>
        <w:spacing w:after="0" w:line="311" w:lineRule="auto"/>
        <w:rPr>
          <w:sz w:val="20"/>
          <w:szCs w:val="20"/>
          <w:color w:val="auto"/>
        </w:rPr>
      </w:pPr>
      <w:r>
        <w:rPr>
          <w:rFonts w:ascii="Arial" w:cs="Arial" w:eastAsia="Arial" w:hAnsi="Arial"/>
          <w:sz w:val="16"/>
          <w:szCs w:val="16"/>
          <w:color w:val="auto"/>
        </w:rPr>
        <w:t>Shares of Class B-1 and Class B-2 common stock will be issued in the future only (a) to the extent necessary to maintain a one-to-one ratio between the number of LLC Interests held by the Founders and the aggregate number of shares of Class B-1 and Class B-2 common stock issued to the Founders, and (b) in</w:t>
      </w: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1" w:lineRule="auto"/>
        <w:rPr>
          <w:sz w:val="20"/>
          <w:szCs w:val="20"/>
          <w:color w:val="auto"/>
        </w:rPr>
      </w:pPr>
      <w:r>
        <w:rPr>
          <w:rFonts w:ascii="Arial" w:cs="Arial" w:eastAsia="Arial" w:hAnsi="Arial"/>
          <w:sz w:val="18"/>
          <w:szCs w:val="18"/>
          <w:color w:val="auto"/>
        </w:rPr>
        <w:t>the case of Class B- 2 common stock, upon conversion of Class B- 1 common stock as described below. Shares of Class B-1 and Class B-2 common stock are transferable only together with an equal number of LLC Interests. Only permitted transferees of LLC Interests held by the Founders will be permitted transferees of Class B-1 and Class B -2 common stock. See “Certain Relationships and Related Party Transactions—Fluence Energy LLC Agreement.”</w:t>
      </w:r>
    </w:p>
    <w:p>
      <w:pPr>
        <w:spacing w:after="0" w:line="108"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Holders of shares of our Class B-1 and Class B-2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05"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Holders of our Class B-1 and Class B-2 common stock do not have any right to receive dividends or to receive a distribution upon dissolution or liquidation. Additionally, holders of shares of our Class B-1 and Class B-2 common stock do not have preemptive, subscription, redemption or conversion rights. There will be no redemption or sinking fund provisions applicable to the Class B-1 or Class B-2 common stock. Any amendment of our amended and restated certificate of incorporation that gives holders of our Class B -1 or Class B-2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24"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7"/>
          <w:szCs w:val="17"/>
          <w:color w:val="auto"/>
        </w:rPr>
        <w:t>Each outstanding share of Class B-1 common stock will automatically convert into one share of Class B-2 common stock upon the earliest of (1) any transfer by a Founder of such shares of Class B-1 common stock other than to an affiliate of such Founder, (2) with respect to each Founder and its affiliates, 5:00 p.m. (New York City time) on a date fixed by our board of directors that is not less than 60 days nor more than 180 days following the date that such Founder, together with its affiliates, ceases to hold an aggregate number of shares of all classes of our common stock representing at least 20% of the aggregate number of all outstanding shares of all classes of our common stock, and (3) 5:00 p.m. (New York City time) on the date that is seven years following the closing of the offering.</w:t>
      </w:r>
    </w:p>
    <w:p>
      <w:pPr>
        <w:spacing w:after="0" w:line="100"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Upon the consummation of the Transactions, the Founders will together own 100% of the outstanding shares of our Class B-1 common stock. Upon the consummation of the Transactions, no shares of our Class B-2 common stock will be outstanding.</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Upon the consummation of the Transactions and the effectiveness of our amended and restated certificate of incorporation that will become effective immediately prior to the consummation of the Transactions, the total of our authorized shares of preferred stock will be 10,000,000 shares. Upon the consummation of the Transactions, we will have no shares of preferred stock outstanding.</w:t>
      </w:r>
    </w:p>
    <w:p>
      <w:pPr>
        <w:spacing w:after="0" w:line="10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immediately prior to the consummation of the Transactions,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11"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We intend to enter into a Registration Rights Agreement with the Continuing Equity Owners in connection with this offering pursuant to which such parties will have specified rights to require us to register for resale all or a portion of their shares of Class A common stock under the Securities Act. See “Certain Relationships and Related Party Transactions—Registration Rights Agreement.”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Forum Selection</w:t>
      </w:r>
    </w:p>
    <w:p>
      <w:pPr>
        <w:spacing w:after="0" w:line="162"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Our amended and restated certificate of incorporation will provide (A) (i) any derivative action or proceeding brought on behalf of the Company, (ii) any action asserting a claim for or based on breach of a fiduciary duty owed by any current or former director, officer, other employee, agent or stockholder of the Company to the Company or the Company’s stockholders, (iii) any action asserting a claim against the Company or any current or former director, officer, employee, agent or stockholder of the Company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related to or involving the Company that is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therefore, do not anticipate declaring or paying any cash dividends on our Class A common stock in the foreseeable future. See “Dividend Policy” and “Risk Factors—Risks related to the offering and ownership of our Class A common stock—Because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w:t>
      </w:r>
    </w:p>
    <w:p>
      <w:pPr>
        <w:spacing w:after="0" w:line="14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consummation of the Transactions,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but Unissued Shares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The authorized but unissued shares of our common stock and our preferred stock are available for future issuance without stockholder approval, subject to any limitations imposed by the Nasdaq rules. These additional shares may be used for a variety of corporate finance transactions, acquisitions and employee benefit plans and, as described under “Certain Relationships and Related Party Transactions —Fluence Energy LLC Agreement,” funding of redemptions of LLC Interests. The existence of authorized but</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91" w:lineRule="auto"/>
        <w:rPr>
          <w:sz w:val="20"/>
          <w:szCs w:val="20"/>
          <w:color w:val="auto"/>
        </w:rPr>
      </w:pPr>
      <w:r>
        <w:rPr>
          <w:rFonts w:ascii="Arial" w:cs="Arial" w:eastAsia="Arial" w:hAnsi="Arial"/>
          <w:sz w:val="17"/>
          <w:szCs w:val="17"/>
          <w:color w:val="auto"/>
        </w:rPr>
        <w:t>unissued and unreserved common stock and preferred stock could make more difficult or discourage an attempt to obtain control of us by means of a proxy contest, tender offer, merger or otherwise.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Meetings of Stockholders</w:t>
      </w:r>
    </w:p>
    <w:p>
      <w:pPr>
        <w:spacing w:after="0" w:line="14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Our amended and restated bylaws will provide that from and after the date on which the aggregate number of outstanding shares of Class B-1 and Class B-2 common stock, voting together as a single class, cease to represent at least 50% of the total voting power of the outstanding shares of our capital stock, only the chairperson of our board of directors or a majority of our board of directors may call special meetings of our stockholders.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Action by Written Consent</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Our amended and restated certificate of incorporation will provide that from and after the date on which the aggregate number of outstanding shares of Class B-1 and Class B -2 common stock, voting together as a single class, cease to represent at least 50% of the total voting power of the outstanding shares of our capital stock, holders of our common stock will not be able to act by written consent without a meeting.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In addition, our amended and restated bylaws will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Notwithstanding anything contained in our amended and restated bylaws to the contrary, such advance notice procedures shall not apply to a stockholder exercising its rights to designate persons for nomination for election to our board of directors in accordance with the provisions of the Stockholders Agreement for so long as it remains in effect.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 of Certificate of Incorporation or Bylaws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Delaware General Corporation Law provides generally that the affirmative vote of a majority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shares entitled to vote on any matter is required to amend a corporation’s certificate of incorporation 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bylaws, unless a corporation’s certificate of incorporation or bylaws, as the case may be, requires a</w:t>
      </w:r>
    </w:p>
    <w:p>
      <w:pPr>
        <w:ind w:left="1260"/>
        <w:spacing w:after="0"/>
        <w:rPr>
          <w:sz w:val="20"/>
          <w:szCs w:val="20"/>
          <w:color w:val="auto"/>
        </w:rPr>
      </w:pPr>
      <w:r>
        <w:rPr>
          <w:rFonts w:ascii="Arial" w:cs="Arial" w:eastAsia="Arial" w:hAnsi="Arial"/>
          <w:sz w:val="16"/>
          <w:szCs w:val="16"/>
          <w:color w:val="auto"/>
        </w:rPr>
        <w:t>greater percentage. Our amended and restated certificate of incorporation and amended and restated bylaws</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 provide that the affirmative vote of holders of at least 66 2/3% of the voting power of all of the then-</w:t>
      </w:r>
    </w:p>
    <w:p>
      <w:pPr>
        <w:ind w:left="1260"/>
        <w:spacing w:after="0"/>
        <w:rPr>
          <w:sz w:val="20"/>
          <w:szCs w:val="20"/>
          <w:color w:val="auto"/>
        </w:rPr>
      </w:pPr>
      <w:r>
        <w:rPr>
          <w:rFonts w:ascii="Arial" w:cs="Arial" w:eastAsia="Arial" w:hAnsi="Arial"/>
          <w:sz w:val="17"/>
          <w:szCs w:val="17"/>
          <w:color w:val="auto"/>
        </w:rPr>
        <w:t>outstanding shares of capital stock, voting as a single class, will be required to amend certain provisions of</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amended and restated certificate of incorporation, including provisions relating to amending our</w:t>
      </w:r>
    </w:p>
    <w:p>
      <w:pPr>
        <w:ind w:left="1260"/>
        <w:spacing w:after="0"/>
        <w:rPr>
          <w:sz w:val="20"/>
          <w:szCs w:val="20"/>
          <w:color w:val="auto"/>
        </w:rPr>
      </w:pPr>
      <w:r>
        <w:rPr>
          <w:rFonts w:ascii="Arial" w:cs="Arial" w:eastAsia="Arial" w:hAnsi="Arial"/>
          <w:sz w:val="17"/>
          <w:szCs w:val="17"/>
          <w:color w:val="auto"/>
        </w:rPr>
        <w:t>amended and restated bylaws, the size of our board, removal of directors, director liability, vacancies on 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board, special meetings, stockholder notices, actions by written consent and exclusive forum.</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Section 203 of the DGCL</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will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entity or person beneficially owning 15% or more of our outstanding voting stock and any entity or person affiliated with or controlling or controlled by such entity or person, provided that the Founders and certain of their related parties and their respective direct and indirect transferees shall not be considered “interested stockholders.”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48"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provide indemnification for our directors and officers to the fullest extent permitted by the Delaware General Corporation Law. Prior to 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13"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Opportunity Doctrine</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any director or stockholder who is not employed by us or our subsidiaries. Our amended and restated certificate of incorporation will provide that, to the fullest extent permitted by law, any director or stockholder who is not employed by us or our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if any director or stockholder who is not employed by us or our subsidiaries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will not renounce our interest in any business opportunity that is expressly offered to an employee director or employee in his or her capacity as a director or employee of Fluence Energy, Inc.</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48" w:lineRule="exact"/>
        <w:rPr>
          <w:sz w:val="20"/>
          <w:szCs w:val="20"/>
          <w:color w:val="auto"/>
        </w:rPr>
      </w:pPr>
    </w:p>
    <w:p>
      <w:pPr>
        <w:jc w:val="both"/>
        <w:ind w:left="1260" w:right="65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Fluence Energy, Inc. Pursuant to the DGCL, stockholders who properly request and perfect appraisal rights in connection with such merger or consolidation will have the right to receive payment of the fair value of their shares as determined by the Delaware Court of Chancery.</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transfer agent and registrar for our Class A common stock is Computershare Trust Company, N.A.</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Trading Symbol and Market</w:t>
      </w:r>
    </w:p>
    <w:p>
      <w:pPr>
        <w:spacing w:after="0" w:line="162"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Our Class A common stock has been approved for listing on the Nasdaq Global Select Market under the symbol “FLNC.”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of certain of our Continuing Equity Owners), or the perception that such sales may occur, could adversely affect the market price of our Class A common stock. Although our Class A common stock has been approved for listing on Nasdaq, we cannot assure you that there will be an active public market for our Class A common stock.</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Upon the closing of this offering, we will have outstanding an aggregate of 49,493,275 shares of Class A common stock, assuming the issuance of 31,000,000 shares of Class A common stock offered by us in this offering and the issuance of 18,493,275 shares of Class A common stock to the Blocker Shareholder in the Transactions, and assuming the underwriters do not exercise their option to purchase additional shares of our Class A common stock. Of these shares, all shares sold in this offering (including shares issued pursuant to the underwriters’ option to purchase additional shares)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16"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The remaining 18,493,275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the Securities Act, including Rules 144 or 701 under the Securities Act, which are summarized below.</w:t>
      </w:r>
    </w:p>
    <w:p>
      <w:pPr>
        <w:spacing w:after="0" w:line="91"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In addition, each common unit held by certain of our Founders will be redeemable, at the election of such Founder, for, at our election (determined solely by our independent directors (within the meaning of the rules of the Nasdaq) who are disinterested), newly-issued shares of our Class A common stock on a one-for-one basis or a cash payment equal to a volume weighted average market price of one share of Class A common stock for LLC Interest so redeemed, in each case, in accordance with the terms of the Fluence Energy LLC Agreement; provided that, at our election (determined solely by our independent directors (within the meaning of the rules of the Nasdaq) who are disinterested), we may effect a direct exchange by Fluence Energy, Inc. of such Class A common stock or such cash, as applicable, for such LLC Interests. In the event of cash settlement, Fluence Energy, Inc. would issue new shares of Class A common stock and use the proceeds from the sale of these newly-issued shares of Class A common stock to fully fund the cash settlement, which, in effect, limits the amount of the cash payment to the redeeming member. The Founders may, subject to certain exceptions, exercise such redemption right for as long as their LLC Interests remain outstanding. See “Certain Relationships and Related Party Transactions—Fluence Energy LLC Agreement.” Upon consummation of the Transactions, our Founders will hold 117,173,390 LLC Interests, all of which will be exchangeable for shares of our Class A common stock. The shares of Class A common stock we issue upon such exchanges would be “restricted securities” as defined in Rule 144 unless we register such issuances. However, we will enter into a Registration Rights Agreement with the Continuing Equity Owners that will require us, subject to customary conditions, to register under the Securities Act these shares of Class A common stock. See “Certain Relationships and Related Party Transactions—Registration Rights Agreement.”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We and our directors, officers, and the holders of substantially all of our outstanding shares and share options have agreed subject to certain exceptions, that without the prior written consent of J.P. Morgan Securities LLC and Morgan Stanley &amp; Co. LLC on behalf of the underwriters, we and they will not, and will not publicly disclose an intention to, during the period beginning on the date of the lock -up agreement and ending at the close of business 180 days after the date of the final prospectus relating to the public offering (such period, the “restricted period”):</w:t>
      </w:r>
    </w:p>
    <w:p>
      <w:pPr>
        <w:spacing w:after="0" w:line="81" w:lineRule="exact"/>
        <w:rPr>
          <w:sz w:val="20"/>
          <w:szCs w:val="20"/>
          <w:color w:val="auto"/>
        </w:rPr>
      </w:pPr>
    </w:p>
    <w:p>
      <w:pPr>
        <w:ind w:left="1800" w:right="499" w:hanging="180"/>
        <w:spacing w:after="0" w:line="259" w:lineRule="auto"/>
        <w:tabs>
          <w:tab w:leader="none" w:pos="1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Class A common stock or any securities convertible into or exercisable or exchangeable for Class A common stock;</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19" w:hanging="180"/>
        <w:spacing w:after="0" w:line="263" w:lineRule="auto"/>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Class A common stock or any securities convertible into or exercisable or exchangeable for Class A common stock; or</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Class A common stock,</w:t>
      </w:r>
    </w:p>
    <w:p>
      <w:pPr>
        <w:spacing w:after="0" w:line="89"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Class A common stock or such other securities, in cash or otherwise. In addition, we and each such person agrees that, without the prior written consent of J.P. Morgan Securities LLC and Morgan Stanley &amp; Co. LLC on behalf of the underwriters, we or such other person will not, during the restricted period, make any demand for, or exercise any right with respect to, the registration of any Class A common stock or any security convertible into or exercisable or exchangeable for Class A common stock.</w:t>
      </w:r>
    </w:p>
    <w:p>
      <w:pPr>
        <w:spacing w:after="0" w:line="125"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7"/>
          <w:szCs w:val="17"/>
          <w:color w:val="auto"/>
        </w:rPr>
        <w:t>In general, under Rule 144 under the Securities Act as currently in effect, a person (or persons whose shares are aggregated) who is not deemed to have been an affiliate of ours at any time during the</w:t>
      </w:r>
    </w:p>
    <w:p>
      <w:pPr>
        <w:ind w:left="1260" w:right="499"/>
        <w:spacing w:after="0" w:line="252" w:lineRule="auto"/>
        <w:rPr>
          <w:sz w:val="20"/>
          <w:szCs w:val="20"/>
          <w:color w:val="auto"/>
        </w:rPr>
      </w:pPr>
      <w:r>
        <w:rPr>
          <w:rFonts w:ascii="Arial" w:cs="Arial" w:eastAsia="Arial" w:hAnsi="Arial"/>
          <w:sz w:val="18"/>
          <w:szCs w:val="18"/>
          <w:color w:val="auto"/>
        </w:rPr>
        <w:t>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1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then-outstanding shares of our Class A common stock or the average weekly trading volume of our Class A common stock reported through Nasdaq during the four calendar weeks preceding the filing of notice of the sale. Such sales are also subject to certain manner of sale provisions, notice requirements, and the availability of current public information about us.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27"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Plans</w:t>
      </w:r>
    </w:p>
    <w:p>
      <w:pPr>
        <w:spacing w:after="0" w:line="14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 shares of Class A common stock subject to outstanding stock options and phantom units (including options issued pursuant to the Existing Equity Plan which will convert upon effectiveness of this offering into options to acquire shares of Class A common stock) and Class A common stock issued or issuable under our 2021 Plan (or which may be issued in respect of awards under the Existing Phantom Equity Plan). As of the date of this prospectus, options and phantom units representing 979,300 LLC Interests</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were outstanding, which will convert into options and phantom units representing an aggregate of 14,488,372 shares of Class A common stock. A total of approximately 9,500,000 shares of our Class A common stock will be available for issuance to certain of our directors, executive officers and consultants under our 2021 Plan following with this offering. The number of shares of our Class A common stock that may be issued in respect of awards under the Existing Phantom Equity Plan will depend on the value of our Class A common stock following this offering.</w:t>
      </w:r>
    </w:p>
    <w:p>
      <w:pPr>
        <w:spacing w:after="0" w:line="11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expect to file the registration statement covering shares offered pursuant to the Existing Equity Plan and our 2021 Plan (and, if necessary, in respect of awards under the Existing Phantom Equity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“Certain Relationships and Related Party Transactions—Registration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TO NON-U.S. HOLDERS OF CLASS A COMMON STOCK</w:t>
      </w:r>
    </w:p>
    <w:p>
      <w:pPr>
        <w:spacing w:after="0" w:line="130" w:lineRule="exact"/>
        <w:rPr>
          <w:sz w:val="20"/>
          <w:szCs w:val="20"/>
          <w:color w:val="auto"/>
        </w:rPr>
      </w:pPr>
    </w:p>
    <w:p>
      <w:pPr>
        <w:jc w:val="both"/>
        <w:ind w:left="1260" w:right="579" w:firstLine="360"/>
        <w:spacing w:after="0" w:line="271"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w:t>
      </w:r>
    </w:p>
    <w:p>
      <w:pPr>
        <w:ind w:left="1260" w:right="419"/>
        <w:spacing w:after="0" w:line="268" w:lineRule="auto"/>
        <w:rPr>
          <w:sz w:val="20"/>
          <w:szCs w:val="20"/>
          <w:color w:val="auto"/>
        </w:rPr>
      </w:pPr>
      <w:r>
        <w:rPr>
          <w:rFonts w:ascii="Arial" w:cs="Arial" w:eastAsia="Arial" w:hAnsi="Arial"/>
          <w:sz w:val="17"/>
          <w:szCs w:val="17"/>
          <w:color w:val="auto"/>
        </w:rPr>
        <w:t>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1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alternative minimum tax and the impact of the Medicare contribution tax on net investment income. In addition, it does not address consequences relevant to Non-U.S. Holders subject to special rules, including, without limitation:</w:t>
      </w:r>
    </w:p>
    <w:p>
      <w:pPr>
        <w:spacing w:after="0" w:line="84" w:lineRule="exact"/>
        <w:rPr>
          <w:sz w:val="20"/>
          <w:szCs w:val="20"/>
          <w:color w:val="auto"/>
        </w:rPr>
      </w:pPr>
    </w:p>
    <w:p>
      <w:pPr>
        <w:ind w:left="1800" w:hanging="180"/>
        <w:spacing w:after="0"/>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0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an owner in such an entity will depend on the status of the owner, the activities of such entity, and certain determinations made at the owner level. Accordingly, entities or arrangements treated as partnerships for U.S. federal income tax purposes holding our Class A common stock and the owners in such entities should consult their tax advisors regarding the U.S. federal income tax consequences to them.</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Definition of a Non-U.S. Holder</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92" w:lineRule="exact"/>
        <w:rPr>
          <w:sz w:val="20"/>
          <w:szCs w:val="20"/>
          <w:color w:val="auto"/>
        </w:rPr>
      </w:pPr>
    </w:p>
    <w:p>
      <w:pPr>
        <w:ind w:left="1800" w:hanging="180"/>
        <w:spacing w:after="0"/>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800" w:right="619" w:hanging="180"/>
        <w:spacing w:after="0" w:line="286" w:lineRule="auto"/>
        <w:tabs>
          <w:tab w:leader="none" w:pos="18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we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14"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4"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 or Other Taxable Disposition</w:t>
      </w:r>
    </w:p>
    <w:p>
      <w:pPr>
        <w:spacing w:after="0" w:line="14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Subject to the discussion below under “—Information Reporting and Backup Withholding” and “— Additional Withholding Tax on Payments Made to Foreign Accounts,” a Non-U.S. Holder will not be subject to U.S. federal income tax on any gain realized upon the sale or other taxable disposition of our Class A common stock unless:</w:t>
      </w:r>
    </w:p>
    <w:p>
      <w:pPr>
        <w:spacing w:after="0" w:line="92" w:lineRule="exact"/>
        <w:rPr>
          <w:sz w:val="20"/>
          <w:szCs w:val="20"/>
          <w:color w:val="auto"/>
        </w:rPr>
      </w:pPr>
    </w:p>
    <w:p>
      <w:pPr>
        <w:ind w:left="1800" w:right="439" w:hanging="180"/>
        <w:spacing w:after="0" w:line="286" w:lineRule="auto"/>
        <w:tabs>
          <w:tab w:leader="none" w:pos="18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57" w:lineRule="exact"/>
        <w:rPr>
          <w:rFonts w:ascii="Arial" w:cs="Arial" w:eastAsia="Arial" w:hAnsi="Arial"/>
          <w:sz w:val="17"/>
          <w:szCs w:val="17"/>
          <w:color w:val="auto"/>
        </w:rPr>
      </w:pPr>
    </w:p>
    <w:p>
      <w:pPr>
        <w:ind w:left="1800" w:right="719" w:hanging="180"/>
        <w:spacing w:after="0" w:line="308" w:lineRule="auto"/>
        <w:tabs>
          <w:tab w:leader="none" w:pos="18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38" w:lineRule="exact"/>
        <w:rPr>
          <w:rFonts w:ascii="Arial" w:cs="Arial" w:eastAsia="Arial" w:hAnsi="Arial"/>
          <w:sz w:val="17"/>
          <w:szCs w:val="17"/>
          <w:color w:val="auto"/>
        </w:rPr>
      </w:pPr>
    </w:p>
    <w:p>
      <w:pPr>
        <w:ind w:left="1800" w:right="419" w:hanging="180"/>
        <w:spacing w:after="0" w:line="308" w:lineRule="auto"/>
        <w:tabs>
          <w:tab w:leader="none" w:pos="18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our Class A common stock constitutes a U.S. real property interest (“USRPI”) by reason of our status as a U.S. real property holding corporation (“USRPHC”) for U.S. federal income tax purposes.</w:t>
      </w:r>
    </w:p>
    <w:p>
      <w:pPr>
        <w:spacing w:after="0" w:line="7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19"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A holder described in the second bullet point above will be subject to U.S. federal income tax at a rate of 30% (or such lower rate specified by an applicable income tax treaty) on any gain realized upon the sale or other taxable disposition of our Class A common stock,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1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18"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3"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4"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also have applied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spacing w:after="0" w:line="95"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J.P. Morgan Securities LLC and Morgan Stanley &amp; Co. LLC are acting as representatives, have severally agreed to purchase, and we have agreed to sell to them, severally, the number of shares indicated below:</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Number of Shares</w:t>
            </w:r>
          </w:p>
        </w:tc>
      </w:tr>
      <w:tr>
        <w:trPr>
          <w:trHeight w:val="26"/>
        </w:trPr>
        <w:tc>
          <w:tcPr>
            <w:tcW w:w="6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7,259,881</w:t>
            </w:r>
          </w:p>
        </w:tc>
        <w:tc>
          <w:tcPr>
            <w:tcW w:w="140" w:type="dxa"/>
            <w:vAlign w:val="bottom"/>
            <w:shd w:val="clear" w:color="auto" w:fill="CCEEFF"/>
          </w:tcPr>
          <w:p>
            <w:pPr>
              <w:spacing w:after="0"/>
              <w:rPr>
                <w:sz w:val="21"/>
                <w:szCs w:val="21"/>
                <w:color w:val="auto"/>
              </w:rPr>
            </w:pPr>
          </w:p>
        </w:tc>
      </w:tr>
      <w:tr>
        <w:trPr>
          <w:trHeight w:val="257"/>
        </w:trPr>
        <w:tc>
          <w:tcPr>
            <w:tcW w:w="63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7,259,881</w:t>
            </w:r>
          </w:p>
        </w:tc>
        <w:tc>
          <w:tcPr>
            <w:tcW w:w="140" w:type="dxa"/>
            <w:vAlign w:val="bottom"/>
          </w:tcPr>
          <w:p>
            <w:pPr>
              <w:spacing w:after="0"/>
              <w:rPr>
                <w:sz w:val="22"/>
                <w:szCs w:val="22"/>
                <w:color w:val="auto"/>
              </w:rPr>
            </w:pPr>
          </w:p>
        </w:tc>
      </w:tr>
      <w:tr>
        <w:trPr>
          <w:trHeight w:val="257"/>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3,871,937</w:t>
            </w:r>
          </w:p>
        </w:tc>
        <w:tc>
          <w:tcPr>
            <w:tcW w:w="140" w:type="dxa"/>
            <w:vAlign w:val="bottom"/>
            <w:shd w:val="clear" w:color="auto" w:fill="CCEEFF"/>
          </w:tcPr>
          <w:p>
            <w:pPr>
              <w:spacing w:after="0"/>
              <w:rPr>
                <w:sz w:val="22"/>
                <w:szCs w:val="22"/>
                <w:color w:val="auto"/>
              </w:rPr>
            </w:pPr>
          </w:p>
        </w:tc>
      </w:tr>
      <w:tr>
        <w:trPr>
          <w:trHeight w:val="256"/>
        </w:trPr>
        <w:tc>
          <w:tcPr>
            <w:tcW w:w="63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3,871,937</w:t>
            </w:r>
          </w:p>
        </w:tc>
        <w:tc>
          <w:tcPr>
            <w:tcW w:w="140" w:type="dxa"/>
            <w:vAlign w:val="bottom"/>
          </w:tcPr>
          <w:p>
            <w:pPr>
              <w:spacing w:after="0"/>
              <w:rPr>
                <w:sz w:val="22"/>
                <w:szCs w:val="22"/>
                <w:color w:val="auto"/>
              </w:rPr>
            </w:pPr>
          </w:p>
        </w:tc>
      </w:tr>
      <w:tr>
        <w:trPr>
          <w:trHeight w:val="257"/>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1,409,091</w:t>
            </w:r>
          </w:p>
        </w:tc>
        <w:tc>
          <w:tcPr>
            <w:tcW w:w="140" w:type="dxa"/>
            <w:vAlign w:val="bottom"/>
            <w:shd w:val="clear" w:color="auto" w:fill="CCEEFF"/>
          </w:tcPr>
          <w:p>
            <w:pPr>
              <w:spacing w:after="0"/>
              <w:rPr>
                <w:sz w:val="22"/>
                <w:szCs w:val="22"/>
                <w:color w:val="auto"/>
              </w:rPr>
            </w:pPr>
          </w:p>
        </w:tc>
      </w:tr>
      <w:tr>
        <w:trPr>
          <w:trHeight w:val="257"/>
        </w:trPr>
        <w:tc>
          <w:tcPr>
            <w:tcW w:w="638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1,409,091</w:t>
            </w:r>
          </w:p>
        </w:tc>
        <w:tc>
          <w:tcPr>
            <w:tcW w:w="140" w:type="dxa"/>
            <w:vAlign w:val="bottom"/>
          </w:tcPr>
          <w:p>
            <w:pPr>
              <w:spacing w:after="0"/>
              <w:rPr>
                <w:sz w:val="22"/>
                <w:szCs w:val="22"/>
                <w:color w:val="auto"/>
              </w:rPr>
            </w:pPr>
          </w:p>
        </w:tc>
      </w:tr>
      <w:tr>
        <w:trPr>
          <w:trHeight w:val="257"/>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1,409,091</w:t>
            </w:r>
          </w:p>
        </w:tc>
        <w:tc>
          <w:tcPr>
            <w:tcW w:w="140" w:type="dxa"/>
            <w:vAlign w:val="bottom"/>
            <w:shd w:val="clear" w:color="auto" w:fill="CCEEFF"/>
          </w:tcPr>
          <w:p>
            <w:pPr>
              <w:spacing w:after="0"/>
              <w:rPr>
                <w:sz w:val="22"/>
                <w:szCs w:val="22"/>
                <w:color w:val="auto"/>
              </w:rPr>
            </w:pPr>
          </w:p>
        </w:tc>
      </w:tr>
      <w:tr>
        <w:trPr>
          <w:trHeight w:val="256"/>
        </w:trPr>
        <w:tc>
          <w:tcPr>
            <w:tcW w:w="638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845,455</w:t>
            </w:r>
          </w:p>
        </w:tc>
        <w:tc>
          <w:tcPr>
            <w:tcW w:w="140" w:type="dxa"/>
            <w:vAlign w:val="bottom"/>
          </w:tcPr>
          <w:p>
            <w:pPr>
              <w:spacing w:after="0"/>
              <w:rPr>
                <w:sz w:val="22"/>
                <w:szCs w:val="22"/>
                <w:color w:val="auto"/>
              </w:rPr>
            </w:pPr>
          </w:p>
        </w:tc>
      </w:tr>
      <w:tr>
        <w:trPr>
          <w:trHeight w:val="257"/>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845,455</w:t>
            </w:r>
          </w:p>
        </w:tc>
        <w:tc>
          <w:tcPr>
            <w:tcW w:w="140" w:type="dxa"/>
            <w:vAlign w:val="bottom"/>
            <w:shd w:val="clear" w:color="auto" w:fill="CCEEFF"/>
          </w:tcPr>
          <w:p>
            <w:pPr>
              <w:spacing w:after="0"/>
              <w:rPr>
                <w:sz w:val="22"/>
                <w:szCs w:val="22"/>
                <w:color w:val="auto"/>
              </w:rPr>
            </w:pP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845,455</w:t>
            </w:r>
          </w:p>
        </w:tc>
        <w:tc>
          <w:tcPr>
            <w:tcW w:w="140" w:type="dxa"/>
            <w:vAlign w:val="bottom"/>
          </w:tcPr>
          <w:p>
            <w:pPr>
              <w:spacing w:after="0"/>
              <w:rPr>
                <w:sz w:val="23"/>
                <w:szCs w:val="23"/>
                <w:color w:val="auto"/>
              </w:rPr>
            </w:pPr>
          </w:p>
        </w:tc>
      </w:tr>
      <w:tr>
        <w:trPr>
          <w:trHeight w:val="27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Nomura Securities International, Inc.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704,545</w:t>
            </w:r>
          </w:p>
        </w:tc>
        <w:tc>
          <w:tcPr>
            <w:tcW w:w="140" w:type="dxa"/>
            <w:vAlign w:val="bottom"/>
            <w:shd w:val="clear" w:color="auto" w:fill="CCEEFF"/>
          </w:tcPr>
          <w:p>
            <w:pPr>
              <w:spacing w:after="0"/>
              <w:rPr>
                <w:sz w:val="23"/>
                <w:szCs w:val="23"/>
                <w:color w:val="auto"/>
              </w:rPr>
            </w:pP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563,636</w:t>
            </w:r>
          </w:p>
        </w:tc>
        <w:tc>
          <w:tcPr>
            <w:tcW w:w="140" w:type="dxa"/>
            <w:vAlign w:val="bottom"/>
          </w:tcPr>
          <w:p>
            <w:pPr>
              <w:spacing w:after="0"/>
              <w:rPr>
                <w:sz w:val="23"/>
                <w:szCs w:val="23"/>
                <w:color w:val="auto"/>
              </w:rPr>
            </w:pPr>
          </w:p>
        </w:tc>
      </w:tr>
      <w:tr>
        <w:trPr>
          <w:trHeight w:val="27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563,636</w:t>
            </w:r>
          </w:p>
        </w:tc>
        <w:tc>
          <w:tcPr>
            <w:tcW w:w="140" w:type="dxa"/>
            <w:vAlign w:val="bottom"/>
            <w:shd w:val="clear" w:color="auto" w:fill="CCEEFF"/>
          </w:tcPr>
          <w:p>
            <w:pPr>
              <w:spacing w:after="0"/>
              <w:rPr>
                <w:sz w:val="23"/>
                <w:szCs w:val="23"/>
                <w:color w:val="auto"/>
              </w:rPr>
            </w:pP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Seaport Global Securities LLC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70,455</w:t>
            </w:r>
          </w:p>
        </w:tc>
        <w:tc>
          <w:tcPr>
            <w:tcW w:w="140" w:type="dxa"/>
            <w:vAlign w:val="bottom"/>
          </w:tcPr>
          <w:p>
            <w:pPr>
              <w:spacing w:after="0"/>
              <w:rPr>
                <w:sz w:val="23"/>
                <w:szCs w:val="23"/>
                <w:color w:val="auto"/>
              </w:rPr>
            </w:pPr>
          </w:p>
        </w:tc>
      </w:tr>
      <w:tr>
        <w:trPr>
          <w:trHeight w:val="27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Penserra Securities LLC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140" w:type="dxa"/>
            <w:vAlign w:val="bottom"/>
            <w:shd w:val="clear" w:color="auto" w:fill="CCEEFF"/>
          </w:tcPr>
          <w:p>
            <w:pPr>
              <w:spacing w:after="0"/>
              <w:rPr>
                <w:sz w:val="23"/>
                <w:szCs w:val="23"/>
                <w:color w:val="auto"/>
              </w:rPr>
            </w:pPr>
          </w:p>
        </w:tc>
      </w:tr>
      <w:tr>
        <w:trPr>
          <w:trHeight w:val="277"/>
        </w:trPr>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Siebert Williams Shank &amp; Co., LLC</w:t>
            </w: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35,227</w:t>
            </w:r>
          </w:p>
        </w:tc>
        <w:tc>
          <w:tcPr>
            <w:tcW w:w="140" w:type="dxa"/>
            <w:vAlign w:val="bottom"/>
            <w:tcBorders>
              <w:bottom w:val="single" w:sz="8" w:color="CCEEFF"/>
            </w:tcBorders>
          </w:tcPr>
          <w:p>
            <w:pPr>
              <w:spacing w:after="0"/>
              <w:rPr>
                <w:sz w:val="24"/>
                <w:szCs w:val="24"/>
                <w:color w:val="auto"/>
              </w:rPr>
            </w:pPr>
          </w:p>
        </w:tc>
      </w:tr>
      <w:tr>
        <w:trPr>
          <w:trHeight w:val="303"/>
        </w:trPr>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31,000,000</w:t>
            </w:r>
          </w:p>
        </w:tc>
        <w:tc>
          <w:tcPr>
            <w:tcW w:w="140" w:type="dxa"/>
            <w:vAlign w:val="bottom"/>
            <w:shd w:val="clear" w:color="auto" w:fill="CCEEFF"/>
          </w:tcPr>
          <w:p>
            <w:pPr>
              <w:spacing w:after="0"/>
              <w:rPr>
                <w:sz w:val="24"/>
                <w:szCs w:val="24"/>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-2905125</wp:posOffset>
            </wp:positionV>
            <wp:extent cx="137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Class A common stock subject to their acceptance of the Class A common stock from us and subject to prior sale. The underwriting agreement provides that the obligations of the several underwriters to pay for and accept delivery of the Class A common stock offered by this prospectus are subject to the approval of certain legal matters by their counsel and to certain other conditions. The underwriters are obligated to take and pay for all of the Class A common stock offered by this prospectus if any such shares are taken. However, the underwriters are not required to take or pay for the shares covered by the underwriters’ over-allotment option described below.</w:t>
      </w:r>
    </w:p>
    <w:p>
      <w:pPr>
        <w:spacing w:after="0" w:line="113"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The underwriters initially propose to offer part of the Class A common stock directly to the public at the offering price listed on the cover page of this prospectus and part to certain dealers. After the initial offering of the Class A common stock, the offering price and other selling terms may from time to time be varied by the representatives.</w:t>
      </w:r>
    </w:p>
    <w:p>
      <w:pPr>
        <w:spacing w:after="0" w:line="12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Company has granted to the underwriters an option, exercisable for 30 days from the date of this prospectus, to purchase up to 4,650,000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Class A common stock offered by this prospectus. To the extent the option is exercised, each underwriter will become obligated, subject to certain conditions, to purchase about the same percentage of the additional Class A common stock as the number listed next to the underwriter’s name in the preceding table bears to the total number of Class A common stock listed next to the names of all underwriters in the preceding table.</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4,650,000 shares of Class A common stock.</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6"/>
                <w:szCs w:val="16"/>
                <w:color w:val="auto"/>
              </w:rPr>
            </w:pPr>
          </w:p>
        </w:tc>
      </w:tr>
      <w:tr>
        <w:trPr>
          <w:trHeight w:val="26"/>
        </w:trPr>
        <w:tc>
          <w:tcPr>
            <w:tcW w:w="514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51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Arial" w:cs="Arial" w:eastAsia="Arial" w:hAnsi="Arial"/>
                <w:sz w:val="14"/>
                <w:szCs w:val="14"/>
                <w:b w:val="1"/>
                <w:bCs w:val="1"/>
                <w:color w:val="auto"/>
                <w:w w:val="87"/>
              </w:rPr>
              <w:t>Full Exercise</w:t>
            </w:r>
          </w:p>
        </w:tc>
      </w:tr>
      <w:tr>
        <w:trPr>
          <w:trHeight w:val="26"/>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28.00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868,000,000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998,200,000</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47,740,000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54,901,000</w:t>
            </w:r>
          </w:p>
        </w:tc>
      </w:tr>
      <w:tr>
        <w:trPr>
          <w:trHeight w:val="25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26.46</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820,260,000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943,299,000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45688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$10.0 million. We have agreed to reimburse the underwriters for expenses relating to clearance of this offering with the Financial Industry Regulatory Authority up to $0.1 million. The Underwriters have agreed to reimburse us for certain expenses incurred in connection with this offering in an amount not to exceed $4.1 million (or $4.7 million if the underwriters exercise in full their option to purchase additional shares).</w:t>
      </w:r>
    </w:p>
    <w:p>
      <w:pPr>
        <w:spacing w:after="0" w:line="11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Our Class A common stock has been approved for listing on the Nasdaq Select Global Market under the trading symbol “FLNC.”</w:t>
      </w:r>
    </w:p>
    <w:p>
      <w:pPr>
        <w:spacing w:after="0" w:line="103"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Class A common stock offered by them.</w:t>
      </w:r>
    </w:p>
    <w:p>
      <w:pPr>
        <w:spacing w:after="0" w:line="103"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BNPP ET has indicated an interest in purchasing an aggregate of up to a maximum of $70 million in shares of Class A common stock in this offering at the initial public offering price. Because this indication of interest is not a binding agreement or a commitment to purchase, BNPP ET could determine to purchase more, fewer or no shares of Class A common stock in this offering, or the underwriters could determine to sell more, fewer or no shares to BNPP ET. The underwriters will receive the same discount on any of the shares of Class A common stock purchased by BNPP ET as they will on any other shares of Class A common stock sold to the public in this offering.</w:t>
      </w:r>
    </w:p>
    <w:p>
      <w:pPr>
        <w:spacing w:after="0" w:line="114"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We and our directors, officers, and the holders of substantially all of our outstanding shares and share options have agreed that, without the prior written consent of J.P. Morgan Securities LLC and Morgan Stanley &amp; Co. LLC on behalf of the underwriters, we and they will not, and will not publicly disclose an intention to, during the period beginning on the date of the lock-up agreement and ending at the close of business 180 days after the date of the final prospectus relating to the public offering (such period, the “restricted period”):</w:t>
      </w:r>
    </w:p>
    <w:p>
      <w:pPr>
        <w:spacing w:after="0" w:line="84" w:lineRule="exact"/>
        <w:rPr>
          <w:sz w:val="20"/>
          <w:szCs w:val="20"/>
          <w:color w:val="auto"/>
        </w:rPr>
      </w:pPr>
    </w:p>
    <w:p>
      <w:pPr>
        <w:ind w:left="1800" w:right="499" w:hanging="180"/>
        <w:spacing w:after="0" w:line="259" w:lineRule="auto"/>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Class A common stock or any securities convertible into or exercisable or exchangeable for Class A common stock;</w:t>
      </w:r>
    </w:p>
    <w:p>
      <w:pPr>
        <w:spacing w:after="0" w:line="9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Class A common stock or any securities convertible into or exercisable or exchangeable for Class A common stock; or</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Class A common stock,</w:t>
      </w:r>
    </w:p>
    <w:p>
      <w:pPr>
        <w:spacing w:after="0" w:line="103"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Class A common stock or such other securities, in cash or otherwise. In addition, we and each such person agrees that, without the prior written consent of J.P. Morgan Securities LLC and Morgan Stanley &amp; Co. LLC on behalf of the underwriters, we or such other person will not, during the restricted period, make any demand for, or exercise any right with respect to, the registration of any Class A common stock or any security convertible into or exercisable or exchangeable for Class A common stock.</w:t>
      </w:r>
    </w:p>
    <w:p>
      <w:pPr>
        <w:spacing w:after="0" w:line="111"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restrictions described in the immediately preceding paragraphs do not apply to our directors, officers, and other securityholders with respect to:</w:t>
      </w:r>
    </w:p>
    <w:p>
      <w:pPr>
        <w:spacing w:after="0" w:line="103" w:lineRule="exact"/>
        <w:rPr>
          <w:sz w:val="20"/>
          <w:szCs w:val="20"/>
          <w:color w:val="auto"/>
        </w:rPr>
      </w:pPr>
    </w:p>
    <w:p>
      <w:pPr>
        <w:ind w:left="1980" w:right="1019" w:hanging="360"/>
        <w:spacing w:after="0" w:line="308" w:lineRule="auto"/>
        <w:tabs>
          <w:tab w:leader="none" w:pos="1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transactions relating to Class A common stock or other securities acquired in open market transactions after the completion of the offering of the shares, provided that no filing under</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980" w:right="579"/>
        <w:spacing w:after="0" w:line="248" w:lineRule="auto"/>
        <w:rPr>
          <w:sz w:val="20"/>
          <w:szCs w:val="20"/>
          <w:color w:val="auto"/>
        </w:rPr>
      </w:pPr>
      <w:r>
        <w:rPr>
          <w:rFonts w:ascii="Arial" w:cs="Arial" w:eastAsia="Arial" w:hAnsi="Arial"/>
          <w:sz w:val="18"/>
          <w:szCs w:val="18"/>
          <w:color w:val="auto"/>
        </w:rPr>
        <w:t>Section 16(a) of the Exchange Act is required or voluntarily made in connection with subsequent sales of the Class A common stock or other securities acquired in such open market transactions during the restricted period;</w:t>
      </w:r>
    </w:p>
    <w:p>
      <w:pPr>
        <w:spacing w:after="0" w:line="101" w:lineRule="exact"/>
        <w:rPr>
          <w:sz w:val="20"/>
          <w:szCs w:val="20"/>
          <w:color w:val="auto"/>
        </w:rPr>
      </w:pPr>
    </w:p>
    <w:p>
      <w:pPr>
        <w:ind w:left="1980" w:right="519" w:hanging="360"/>
        <w:spacing w:after="0" w:line="255"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Class A common stock or any security convertible into Class A common stock (i) as a bona fide gift, (ii) to an immediate family member or to any trust for the direct or indirect benefit of the lock-up party or an immediate family member of the lock-up party, (iii) to any entity controlled or managed, or under common control or management by, the lock-up party or (iv) for bona fide estate planning purposes; provided, such transfer does not involve a disposition for value;</w:t>
      </w:r>
    </w:p>
    <w:p>
      <w:pPr>
        <w:spacing w:after="0" w:line="111" w:lineRule="exact"/>
        <w:rPr>
          <w:rFonts w:ascii="Arial" w:cs="Arial" w:eastAsia="Arial" w:hAnsi="Arial"/>
          <w:sz w:val="18"/>
          <w:szCs w:val="18"/>
          <w:color w:val="auto"/>
        </w:rPr>
      </w:pPr>
    </w:p>
    <w:p>
      <w:pPr>
        <w:jc w:val="both"/>
        <w:ind w:left="1980" w:right="539" w:hanging="360"/>
        <w:spacing w:after="0" w:line="263"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transfer of Class A common stock or any security convertible into Class A common stock that occurs by operation of law pursuant to a qualified domestic order or in connection with a divorce settlement or other court order;</w:t>
      </w:r>
    </w:p>
    <w:p>
      <w:pPr>
        <w:spacing w:after="0" w:line="102" w:lineRule="exact"/>
        <w:rPr>
          <w:rFonts w:ascii="Arial" w:cs="Arial" w:eastAsia="Arial" w:hAnsi="Arial"/>
          <w:sz w:val="18"/>
          <w:szCs w:val="18"/>
          <w:color w:val="auto"/>
        </w:rPr>
      </w:pPr>
    </w:p>
    <w:p>
      <w:pPr>
        <w:ind w:left="1980" w:right="439" w:hanging="360"/>
        <w:spacing w:after="0" w:line="268" w:lineRule="auto"/>
        <w:tabs>
          <w:tab w:leader="none" w:pos="1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 the issuance of Class A common stock by us to the lock-up party upon the vesting, exercise or settlement of options, restricted share units, share value awards or other equity awards granted under a share incentive plan or other equity award plan, which plan is described herein, or the exercise of warrants outstanding and which are described herein (ii) the transfer or other disposition of Class A common stock or any securities convertible into Class A common stock to us upon a vesting or settlement event of our securities or upon the “net” or “cashless” exercise of options, restricted share units, share value awards, warrants or other equity awards to the extent permitted by the instruments representing such securities (including any transfer to us necessary to generate such amount of cash needed for the payment of taxes, including estimated taxes, due as a result of such vesting or exercise whether by means of a “net settlement” or otherwise), so long as such “cashless” or “net” exercise is effected solely by the surrender of outstanding options, restricted share units, share value awards, warrants or other equity awards (or underlying Class A common stock) to us, and our cancellation of all or a portion thereof to pay the exercise price and/or withholding tax obligations;</w:t>
      </w:r>
    </w:p>
    <w:p>
      <w:pPr>
        <w:spacing w:after="0" w:line="116" w:lineRule="exact"/>
        <w:rPr>
          <w:rFonts w:ascii="Arial" w:cs="Arial" w:eastAsia="Arial" w:hAnsi="Arial"/>
          <w:sz w:val="17"/>
          <w:szCs w:val="17"/>
          <w:color w:val="auto"/>
        </w:rPr>
      </w:pPr>
    </w:p>
    <w:p>
      <w:pPr>
        <w:ind w:left="1980" w:right="459" w:hanging="360"/>
        <w:spacing w:after="0" w:line="255"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reclassification and conversion of shares of our outstanding redeemable convertible preferred stock into Class A common stock prior to or in connection with the consummation of this offering, provided that, in each case, such shares remain subject to the terms of the lock-up agreement; provided that (i) such conversion or reclassification is disclosed herein and (ii) any such Class A common stock received upon such conversion or reclassification shall be subject to the terms of the lock-up agreement;</w:t>
      </w:r>
    </w:p>
    <w:p>
      <w:pPr>
        <w:spacing w:after="0" w:line="111" w:lineRule="exact"/>
        <w:rPr>
          <w:rFonts w:ascii="Arial" w:cs="Arial" w:eastAsia="Arial" w:hAnsi="Arial"/>
          <w:sz w:val="18"/>
          <w:szCs w:val="18"/>
          <w:color w:val="auto"/>
        </w:rPr>
      </w:pPr>
    </w:p>
    <w:p>
      <w:pPr>
        <w:ind w:left="1980" w:right="519" w:hanging="360"/>
        <w:spacing w:after="0" w:line="254"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lock-up party is a corporation, partnership, limited liability company, trust or other business entity, any transfer or distribution of Class A common stock or any security convertible into or exercisable or exchangeable for Class A common stock to limited partners, members, managers, stockholders or holders of similar equity interests in the lock-up party or to another corporation, partnership, limited liability company, trust or other business entity that is an affiliate (as defined in Rule 405 as promulgated under the Securities Act of 1933, as amended) of the lock-up party or to any investment fund or other entity controlled or managed by the lock-up party or affiliates of the lock-up party;</w:t>
      </w:r>
    </w:p>
    <w:p>
      <w:pPr>
        <w:spacing w:after="0" w:line="110" w:lineRule="exact"/>
        <w:rPr>
          <w:rFonts w:ascii="Arial" w:cs="Arial" w:eastAsia="Arial" w:hAnsi="Arial"/>
          <w:sz w:val="18"/>
          <w:szCs w:val="18"/>
          <w:color w:val="auto"/>
        </w:rPr>
      </w:pPr>
    </w:p>
    <w:p>
      <w:pPr>
        <w:ind w:left="1980" w:right="559" w:hanging="360"/>
        <w:spacing w:after="0" w:line="257"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Class A common stock pursuant to a bona fide third-party tender offer, merger, consolidation or other similar transaction after the completion of this offering that is approved by our board of directors and made to all holders of our share capital involving a change of control; provided that such plan does not provide for the transfer of Class A common stock during the restricted period; or</w:t>
      </w:r>
    </w:p>
    <w:p>
      <w:pPr>
        <w:spacing w:after="0" w:line="120" w:lineRule="exact"/>
        <w:rPr>
          <w:rFonts w:ascii="Arial" w:cs="Arial" w:eastAsia="Arial" w:hAnsi="Arial"/>
          <w:sz w:val="18"/>
          <w:szCs w:val="18"/>
          <w:color w:val="auto"/>
        </w:rPr>
      </w:pPr>
    </w:p>
    <w:p>
      <w:pPr>
        <w:ind w:left="1980" w:right="519" w:hanging="360"/>
        <w:spacing w:after="0" w:line="254"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establishing trading plans pursuant to Rule 10b5-1 under the Exchange Act for the transfer of Class A common stock; provided that such plan does not provide for the transfer of Class A common stock during the restricted period and (ii) to the extent a public announcement or filing under the Exchange Act, if any, is required of or voluntarily made by or on behalf of us or the lock-up party regarding the establishment of such plan, such announcement or filing shall include a statement to the effect that no transfer of Class A common stock may be made under such plan during the restricted period;</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44"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in the case of any transfer or distribution pursuant to clauses (2), (4)(i) and (6) above, each donee, distributee or transferee shall sign and deliver a lock-up agreement,</w:t>
      </w:r>
    </w:p>
    <w:p>
      <w:pPr>
        <w:spacing w:after="0" w:line="103"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in the case of any transfer or distribution pursuant to clauses (2) and (6) above, no filing under the Exchange Act reporting a reduction in beneficial ownership of Class A common stock would be required or be voluntarily made, and</w:t>
      </w:r>
    </w:p>
    <w:p>
      <w:pPr>
        <w:spacing w:after="0" w:line="114"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in the case of any transfer or distribution pursuant to clauses (3), (5) and (7) through (9) above, any filing required by the Exchange Act shall clearly indicate in the footnotes thereto that the such transfer or distribution is being made pursuant to the circumstances described in the applicable clause.</w:t>
      </w:r>
    </w:p>
    <w:p>
      <w:pPr>
        <w:spacing w:after="0" w:line="8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our case, such restrictions shall not apply to:</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sale of shares to the underwriters;</w:t>
      </w:r>
    </w:p>
    <w:p>
      <w:pPr>
        <w:spacing w:after="0" w:line="158"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the issuance by the Company of Class A common stock upon the exercise of an option or a warrant or the conversion of a security outstanding on the date of this prospectus of which the underwriters have been advised in writing; or</w:t>
      </w:r>
    </w:p>
    <w:p>
      <w:pPr>
        <w:spacing w:after="0" w:line="101"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facilitating the establishment of a trading plan on behalf of a stockholder, officer or director of the Company pursuant to Rule 10b5-1 under the Exchange Act for the transfer of Class A common stock, provided that (i) such plan does not provide for the transfer of Class A common stock during the restricted period and (ii) to the extent a public announcement or filing under the Exchange Act, if any, is required of or voluntarily made by or on behalf of the Company regarding the establishment of such plan, such announcement or filing shall include a statement to the effect that no transfer of Class A common stock may be made under such plan during the restricted period.</w:t>
      </w:r>
    </w:p>
    <w:p>
      <w:pPr>
        <w:spacing w:after="0" w:line="123"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J.P. Morgan Securities LLC and Morgan Stanley &amp; Co. LLC, in their sole discretion, may release the Class A common stock and other securities subject to the lock-up agreements described above in whole or in part at any time.</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order to facilitate the offering of the Class A common stock, the underwriters may engage in</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transactions that stabilize, maintain or otherwise affect the price of the Class A common stock. Specifically,</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underwriters may sell more shares than they are obligated to purchase under the underwriting</w:t>
      </w:r>
    </w:p>
    <w:p>
      <w:pPr>
        <w:ind w:left="1260"/>
        <w:spacing w:after="0" w:line="234" w:lineRule="auto"/>
        <w:rPr>
          <w:sz w:val="20"/>
          <w:szCs w:val="20"/>
          <w:color w:val="auto"/>
        </w:rPr>
      </w:pPr>
      <w:r>
        <w:rPr>
          <w:rFonts w:ascii="Arial" w:cs="Arial" w:eastAsia="Arial" w:hAnsi="Arial"/>
          <w:sz w:val="18"/>
          <w:szCs w:val="18"/>
          <w:color w:val="auto"/>
        </w:rPr>
        <w:t>agreement, creating a short position. A short sale is covered if the short position is no greater than the</w:t>
      </w:r>
    </w:p>
    <w:p>
      <w:pPr>
        <w:ind w:left="1260"/>
        <w:spacing w:after="0" w:line="235" w:lineRule="auto"/>
        <w:rPr>
          <w:sz w:val="20"/>
          <w:szCs w:val="20"/>
          <w:color w:val="auto"/>
        </w:rPr>
      </w:pPr>
      <w:r>
        <w:rPr>
          <w:rFonts w:ascii="Arial" w:cs="Arial" w:eastAsia="Arial" w:hAnsi="Arial"/>
          <w:sz w:val="18"/>
          <w:szCs w:val="18"/>
          <w:color w:val="auto"/>
        </w:rPr>
        <w:t>number of shares available for purchase by the underwriters under the over-allotment option.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underwriters can close out a covered short sale by exercising the over-allotment option or purchasing shares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the open market. In determining the source of shares to close out a covered short sale, the underwriters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will consider, among other things, the open market price of shares compared to the price available under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over-allotment option. The underwriters may also sell shares in excess of the over-allotment option, creating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naked short position. The underwriters must close out any naked short position by purchasing shares in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open market. A naked short position is more likely to be created if the underwriters are concerned that there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be downward pressure on the price of the Class A common stock in the open market after pricing that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could adversely affect investors who purchase in this offering. As an additional means of facilitating this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offering, the underwriters may bid for, and purchase, Class A common stock in the open market to stabilize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price of the Class A common stock. These activities may raise or maintain the market price of the</w:t>
      </w:r>
    </w:p>
    <w:p>
      <w:pPr>
        <w:ind w:left="1260"/>
        <w:spacing w:after="0"/>
        <w:rPr>
          <w:sz w:val="20"/>
          <w:szCs w:val="20"/>
          <w:color w:val="auto"/>
        </w:rPr>
      </w:pPr>
      <w:r>
        <w:rPr>
          <w:rFonts w:ascii="Arial" w:cs="Arial" w:eastAsia="Arial" w:hAnsi="Arial"/>
          <w:sz w:val="17"/>
          <w:szCs w:val="17"/>
          <w:color w:val="auto"/>
        </w:rPr>
        <w:t>Class A common stock above independent market levels or prevent or retard a decline in the market price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Class A common stock. The underwriters are not required to engage in these activities and may end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these activities at any time.</w:t>
      </w:r>
    </w:p>
    <w:p>
      <w:pPr>
        <w:spacing w:after="0" w:line="115"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underwriters may offer and sell the Class A common stock through certain of their affiliates or other registered broker-dealers or selling agents.</w:t>
      </w:r>
    </w:p>
    <w:p>
      <w:pPr>
        <w:spacing w:after="0" w:line="103"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03"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A prospectus in electronic format may be made available on websites maintained by one or more underwriters participating in this offering. The representatives may agree to allocate a number of Class A</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spacing w:after="0" w:line="248" w:lineRule="auto"/>
        <w:rPr>
          <w:sz w:val="20"/>
          <w:szCs w:val="20"/>
          <w:color w:val="auto"/>
        </w:rPr>
      </w:pPr>
      <w:r>
        <w:rPr>
          <w:rFonts w:ascii="Arial" w:cs="Arial" w:eastAsia="Arial" w:hAnsi="Arial"/>
          <w:sz w:val="18"/>
          <w:szCs w:val="18"/>
          <w:color w:val="auto"/>
        </w:rPr>
        <w:t>common stock to underwriters for sale to their online brokerage account holders. Internet distributions will be allocated by the representatives to underwriters that may make Internet distributions on the same basis as other allocations.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underwriters and their respective affiliates are full service financial institutions engaged in various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activities, which may include securities trading, commercial and investment banking, financial advisory,</w:t>
      </w:r>
    </w:p>
    <w:p>
      <w:pPr>
        <w:ind w:left="1260"/>
        <w:spacing w:after="0"/>
        <w:rPr>
          <w:sz w:val="20"/>
          <w:szCs w:val="20"/>
          <w:color w:val="auto"/>
        </w:rPr>
      </w:pPr>
      <w:r>
        <w:rPr>
          <w:rFonts w:ascii="Arial" w:cs="Arial" w:eastAsia="Arial" w:hAnsi="Arial"/>
          <w:sz w:val="17"/>
          <w:szCs w:val="17"/>
          <w:color w:val="auto"/>
        </w:rPr>
        <w:t>investment management, investment research, principal investment, hedging, financing, and brokerage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activities. Certain of the underwriters and their respective affiliates have, from time to time, performed,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in the future perform, various financial advisory and investment banking services for us, for which they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received or will receive customary fees and expenses. In particular, Morgan Stanley &amp; Co. LLC acted 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advisor in connection with QFH’s $125 million investment in us earlier this year, for which</w:t>
      </w:r>
    </w:p>
    <w:p>
      <w:pPr>
        <w:ind w:left="1260"/>
        <w:spacing w:after="0" w:line="234" w:lineRule="auto"/>
        <w:rPr>
          <w:sz w:val="20"/>
          <w:szCs w:val="20"/>
          <w:color w:val="auto"/>
        </w:rPr>
      </w:pPr>
      <w:r>
        <w:rPr>
          <w:rFonts w:ascii="Arial" w:cs="Arial" w:eastAsia="Arial" w:hAnsi="Arial"/>
          <w:sz w:val="18"/>
          <w:szCs w:val="18"/>
          <w:color w:val="auto"/>
        </w:rPr>
        <w:t>Morgan Stanley &amp; Co. LLC received customary indemnity, fees and expenses. Certain affiliates of the</w:t>
      </w:r>
    </w:p>
    <w:p>
      <w:pPr>
        <w:ind w:left="1260"/>
        <w:spacing w:after="0" w:line="235" w:lineRule="auto"/>
        <w:rPr>
          <w:sz w:val="20"/>
          <w:szCs w:val="20"/>
          <w:color w:val="auto"/>
        </w:rPr>
      </w:pPr>
      <w:r>
        <w:rPr>
          <w:rFonts w:ascii="Arial" w:cs="Arial" w:eastAsia="Arial" w:hAnsi="Arial"/>
          <w:sz w:val="18"/>
          <w:szCs w:val="18"/>
          <w:color w:val="auto"/>
        </w:rPr>
        <w:t>underwriters are lenders under the Revolver, the terms of which contain a minimum liquidity covenant</w:t>
      </w:r>
    </w:p>
    <w:p>
      <w:pPr>
        <w:ind w:left="1260"/>
        <w:spacing w:after="0" w:line="235" w:lineRule="auto"/>
        <w:rPr>
          <w:sz w:val="20"/>
          <w:szCs w:val="20"/>
          <w:color w:val="auto"/>
        </w:rPr>
      </w:pPr>
      <w:r>
        <w:rPr>
          <w:rFonts w:ascii="Arial" w:cs="Arial" w:eastAsia="Arial" w:hAnsi="Arial"/>
          <w:sz w:val="18"/>
          <w:szCs w:val="18"/>
          <w:color w:val="auto"/>
        </w:rPr>
        <w:t>which will be partially satisfied by the proceeds of the offering: (a) an affiliate of J.P. Morgan Securities</w:t>
      </w:r>
    </w:p>
    <w:p>
      <w:pPr>
        <w:ind w:left="1260"/>
        <w:spacing w:after="0"/>
        <w:rPr>
          <w:sz w:val="20"/>
          <w:szCs w:val="20"/>
          <w:color w:val="auto"/>
        </w:rPr>
      </w:pPr>
      <w:r>
        <w:rPr>
          <w:rFonts w:ascii="Arial" w:cs="Arial" w:eastAsia="Arial" w:hAnsi="Arial"/>
          <w:sz w:val="17"/>
          <w:szCs w:val="17"/>
          <w:color w:val="auto"/>
        </w:rPr>
        <w:t>LLC is acting as administrative agent, joint lead arranger, joint bookrunner and issuing bank, (b) an affiliate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Morgan Stanley &amp; Co. LLC is acting as joint lead arranger, joint bookrunner, syndication agent and</w:t>
      </w:r>
    </w:p>
    <w:p>
      <w:pPr>
        <w:ind w:left="1260"/>
        <w:spacing w:after="0" w:line="234" w:lineRule="auto"/>
        <w:rPr>
          <w:sz w:val="20"/>
          <w:szCs w:val="20"/>
          <w:color w:val="auto"/>
        </w:rPr>
      </w:pPr>
      <w:r>
        <w:rPr>
          <w:rFonts w:ascii="Arial" w:cs="Arial" w:eastAsia="Arial" w:hAnsi="Arial"/>
          <w:sz w:val="18"/>
          <w:szCs w:val="18"/>
          <w:color w:val="auto"/>
        </w:rPr>
        <w:t>issuing bank, (c) an affiliate of Barclays Capital Inc. is acting as joint lead arranger, joint bookrunner,</w:t>
      </w:r>
    </w:p>
    <w:p>
      <w:pPr>
        <w:ind w:left="1260"/>
        <w:spacing w:after="0" w:line="235" w:lineRule="auto"/>
        <w:rPr>
          <w:sz w:val="20"/>
          <w:szCs w:val="20"/>
          <w:color w:val="auto"/>
        </w:rPr>
      </w:pPr>
      <w:r>
        <w:rPr>
          <w:rFonts w:ascii="Arial" w:cs="Arial" w:eastAsia="Arial" w:hAnsi="Arial"/>
          <w:sz w:val="18"/>
          <w:szCs w:val="18"/>
          <w:color w:val="auto"/>
        </w:rPr>
        <w:t>documentation agent and issuing bank, (d) an affiliate of BofA Securities, Inc. is acting as joint lead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arranger and joint bookrunner and (e) an affiliate of BofA Securities, Inc. is acting as documentation agent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issuing bank. Additionally, an affiliate of Citigroup Global Markets Inc. acted as the lender under a</w:t>
      </w:r>
    </w:p>
    <w:p>
      <w:pPr>
        <w:ind w:left="1260"/>
        <w:spacing w:after="0"/>
        <w:rPr>
          <w:sz w:val="20"/>
          <w:szCs w:val="20"/>
          <w:color w:val="auto"/>
        </w:rPr>
      </w:pPr>
      <w:r>
        <w:rPr>
          <w:rFonts w:ascii="Arial" w:cs="Arial" w:eastAsia="Arial" w:hAnsi="Arial"/>
          <w:sz w:val="17"/>
          <w:szCs w:val="17"/>
          <w:color w:val="auto"/>
        </w:rPr>
        <w:t>$60 million Global Paying Services Agreement which is included as an exhibit to the registration statement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which this prospectus forms a part.</w:t>
      </w:r>
    </w:p>
    <w:p>
      <w:pPr>
        <w:spacing w:after="0" w:line="11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Pricing of the Offering</w:t>
      </w:r>
    </w:p>
    <w:p>
      <w:pPr>
        <w:spacing w:after="0" w:line="135"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Directed Share Program</w:t>
      </w:r>
    </w:p>
    <w:p>
      <w:pPr>
        <w:spacing w:after="0" w:line="13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At our request, the underwriters have reserved up to 5.0% of the shares of Class A common stock to be offered by this prospectus for sale, at the initial public offering price, to directors, officers, employees, business associates and related persons of Fluence Energy, Inc. If purchased by these persons, these shares will not be subject to a lock-up restriction, except in the case of shares purchased by any of our directors or executive officers, which shares will be subject to a 180- day lock-up restriction (as described above).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 Class A common stock offered by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31"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In relation to each Member State of the European Economic Area, or each, a Relevant State, no securities have been offered or will be offered pursuant to the offering to the public in that Relevant State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1" w:name="page192"/>
    <w:bookmarkEnd w:id="1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08" w:lineRule="exact"/>
        <w:rPr>
          <w:sz w:val="20"/>
          <w:szCs w:val="20"/>
          <w:color w:val="auto"/>
        </w:rPr>
      </w:pPr>
    </w:p>
    <w:p>
      <w:pPr>
        <w:ind w:left="1980" w:hanging="360"/>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44" w:lineRule="exact"/>
        <w:rPr>
          <w:rFonts w:ascii="Arial" w:cs="Arial" w:eastAsia="Arial" w:hAnsi="Arial"/>
          <w:sz w:val="18"/>
          <w:szCs w:val="18"/>
          <w:color w:val="auto"/>
        </w:rPr>
      </w:pPr>
    </w:p>
    <w:p>
      <w:pPr>
        <w:ind w:left="1980" w:right="859" w:hanging="360"/>
        <w:spacing w:after="0" w:line="308" w:lineRule="auto"/>
        <w:tabs>
          <w:tab w:leader="none" w:pos="19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representatives; or</w:t>
      </w:r>
    </w:p>
    <w:p>
      <w:pPr>
        <w:spacing w:after="0" w:line="78" w:lineRule="exact"/>
        <w:rPr>
          <w:rFonts w:ascii="Arial" w:cs="Arial" w:eastAsia="Arial" w:hAnsi="Arial"/>
          <w:sz w:val="17"/>
          <w:szCs w:val="17"/>
          <w:color w:val="auto"/>
        </w:rPr>
      </w:pPr>
    </w:p>
    <w:p>
      <w:pPr>
        <w:ind w:left="1980" w:hanging="360"/>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01"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relation to the United Kingdom, no shares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10" w:lineRule="exact"/>
        <w:rPr>
          <w:sz w:val="20"/>
          <w:szCs w:val="20"/>
          <w:color w:val="auto"/>
        </w:rPr>
      </w:pPr>
    </w:p>
    <w:p>
      <w:pPr>
        <w:ind w:left="1980" w:right="679" w:hanging="360"/>
        <w:spacing w:after="0" w:line="27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02" w:lineRule="exact"/>
        <w:rPr>
          <w:rFonts w:ascii="Arial" w:cs="Arial" w:eastAsia="Arial" w:hAnsi="Arial"/>
          <w:sz w:val="18"/>
          <w:szCs w:val="18"/>
          <w:color w:val="auto"/>
        </w:rPr>
      </w:pPr>
    </w:p>
    <w:p>
      <w:pPr>
        <w:jc w:val="both"/>
        <w:ind w:left="1980" w:right="419" w:hanging="360"/>
        <w:spacing w:after="0" w:line="263"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102" w:lineRule="exact"/>
        <w:rPr>
          <w:rFonts w:ascii="Arial" w:cs="Arial" w:eastAsia="Arial" w:hAnsi="Arial"/>
          <w:sz w:val="18"/>
          <w:szCs w:val="18"/>
          <w:color w:val="auto"/>
        </w:rPr>
      </w:pPr>
    </w:p>
    <w:p>
      <w:pPr>
        <w:ind w:left="1980" w:right="739" w:hanging="360"/>
        <w:spacing w:after="0" w:line="27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“FSMA”),</w:t>
      </w:r>
    </w:p>
    <w:p>
      <w:pPr>
        <w:spacing w:after="0" w:line="103"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provided that no such offer of the shares shall require the Issuer or any representative to publish a prospectus pursuant to Section 85 of the FSMA or supplement a prospectus pursuant to Article 23 of the UK Prospectus Regulation.</w:t>
      </w:r>
    </w:p>
    <w:p>
      <w:pPr>
        <w:spacing w:after="0" w:line="11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In addition, this prospectus is only being distributed to, and is only directed at, and any investment or investment activity to which this prospectus relates is available only to, and will be engaged in only with, persons who are outside the United Kingdom or persons in the United Kingdom (i) having professional experience in matters relating to investments who fall within the definition of “investment professionals” in Article 19(5) of the Financial Services and Markets Act 2000 (Financial Promotion) Order 2005 (the “Order”); or (ii) who are high net worth entities falling within Article 49(2)(a) to (d) of the Order (all such persons together being referred to as “relevant persons”). Persons who are not relevant persons should not take any action on the basis of this prospectus and should not act or rely on it.</w:t>
      </w: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Switzerland</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This prospectus is not intended to constitute an offer or solicitation to purchase or invest in the Class A common stock. The Class A common stock may not be publicly offered, directly or indirectly, in Switzerland within the meaning of the Swiss Financial Services Act (“FinSA”), and no application has or will be made to admit the Class A common stock to trading on any trading venue (exchange or multilateral trading facility) in Switzerland. Neither this prospectus nor any other offering or marketing material relating to the Class A common stock constitutes a prospectus pursuant to the FinSA, and neither this prospectus nor any other offering or marketing material relating to the Class A common stock may be publicly distributed or otherwise made publicly available in Switzerland.</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Canada</w:t>
      </w:r>
    </w:p>
    <w:p>
      <w:pPr>
        <w:spacing w:after="0" w:line="15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The Class A common stock may be sold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Class A common stock must be made in accordance with an exemption from, or in a transaction not subject to, the prospectus requirements of applicable securities laws.</w:t>
      </w:r>
    </w:p>
    <w:p>
      <w:pPr>
        <w:spacing w:after="0" w:line="108"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This prospectus does not constitute a public offer of the Class A common stock, whether by way of sale or subscription, in the Cayman Islands.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Hong Kong</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Class A common stock which are or are intended to be disposed of only to persons outside Hong Kong or only to “professional investors” within the meaning of the Securities and Futures Ordinance (Cap.571, Laws of Hong Kong) and any rules made thereunder.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Singapore</w:t>
      </w:r>
    </w:p>
    <w:p>
      <w:pPr>
        <w:spacing w:after="0" w:line="144" w:lineRule="exact"/>
        <w:rPr>
          <w:sz w:val="20"/>
          <w:szCs w:val="20"/>
          <w:color w:val="auto"/>
        </w:rPr>
      </w:pPr>
    </w:p>
    <w:p>
      <w:pPr>
        <w:ind w:left="1260" w:right="619" w:firstLine="360"/>
        <w:spacing w:after="0" w:line="27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the our Class A common stock be offered or sold, or be made the subject of an invitation for</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79"/>
        <w:spacing w:after="0" w:line="274" w:lineRule="auto"/>
        <w:rPr>
          <w:sz w:val="20"/>
          <w:szCs w:val="20"/>
          <w:color w:val="auto"/>
        </w:rPr>
      </w:pPr>
      <w:r>
        <w:rPr>
          <w:rFonts w:ascii="Arial" w:cs="Arial" w:eastAsia="Arial" w:hAnsi="Arial"/>
          <w:sz w:val="17"/>
          <w:szCs w:val="17"/>
          <w:color w:val="auto"/>
        </w:rPr>
        <w:t>subscription or purchase, whether directly or indirectly, to persons in Singapore other than (i) to an institutional investor under Section 274 of the Securities and Futures Act, Chapter 289 of Singapore</w:t>
      </w:r>
    </w:p>
    <w:p>
      <w:pPr>
        <w:ind w:left="1260" w:right="479"/>
        <w:spacing w:after="0" w:line="255" w:lineRule="auto"/>
        <w:rPr>
          <w:sz w:val="20"/>
          <w:szCs w:val="20"/>
          <w:color w:val="auto"/>
        </w:rPr>
      </w:pPr>
      <w:r>
        <w:rPr>
          <w:rFonts w:ascii="Arial" w:cs="Arial" w:eastAsia="Arial" w:hAnsi="Arial"/>
          <w:sz w:val="18"/>
          <w:szCs w:val="18"/>
          <w:color w:val="auto"/>
        </w:rPr>
        <w:t>(the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09"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Where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our Class A common stock under Section 275 except: (i) to an institutional investor under Section 274 of the SFA or to a relevant person, or any person pursuant to Section 275(1A), and in accordance with the conditions, specified in Section 275 of the SFA;</w:t>
      </w:r>
    </w:p>
    <w:p>
      <w:pPr>
        <w:spacing w:after="0" w:line="1" w:lineRule="exact"/>
        <w:rPr>
          <w:sz w:val="20"/>
          <w:szCs w:val="20"/>
          <w:color w:val="auto"/>
        </w:rPr>
      </w:pPr>
    </w:p>
    <w:p>
      <w:pPr>
        <w:jc w:val="both"/>
        <w:ind w:left="1260" w:right="679"/>
        <w:spacing w:after="0" w:line="255" w:lineRule="auto"/>
        <w:tabs>
          <w:tab w:leader="none" w:pos="154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no consideration is given for the transfer; (iii) where the transfer is by operation of law; (iv) as specified in Section 276(7) of the SFA; or (v) as specified in Regulation 32 of the Securities and Futures (Offers of Investments) (Shares and Debentures) Regulations 2005 of Singapore.</w:t>
      </w:r>
    </w:p>
    <w:p>
      <w:pPr>
        <w:spacing w:after="0" w:line="122"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7"/>
          <w:szCs w:val="17"/>
          <w:color w:val="auto"/>
        </w:rPr>
        <w:t>Solely for the purposes of its obligations pursuant to Section 309B of the SFA, we have determined, and hereby notify all relevant persons (as defined in the Securities and Futures (Capital Markets Products) Regulations 2018 of Singapore (the “CMP Regulations 2018”)), that the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5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Japan</w:t>
      </w:r>
    </w:p>
    <w:p>
      <w:pPr>
        <w:spacing w:after="0" w:line="144"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Class A common stock.</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Accordingly, the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5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Class A common stock constitutes either a “QII only private placement” or a “QII only secondary distribution” (each as described in Paragraph 1, Article 23-13 of the FIEL). Disclosure regarding any such solicitation, as is otherwise prescribed in Paragraph 1, Article 4</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of the FIEL, has not been made in relation to the Class A common stock. The Class A common stock may only be transferred to QIIs.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For Non-QII Investors</w:t>
      </w:r>
    </w:p>
    <w:p>
      <w:pPr>
        <w:spacing w:after="0" w:line="144"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Class A common stock. The Class A common stock may only be transferred en bloc without subdivision to a single investor.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Australia</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5"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Any offer in Australia of the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Class A common stock without disclosure to investors under Chapter 6D of the Corporations Act.</w:t>
      </w:r>
    </w:p>
    <w:p>
      <w:pPr>
        <w:spacing w:after="0" w:line="95"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Class A common stock must observe such Australian on-sale restrictions.</w:t>
      </w:r>
    </w:p>
    <w:p>
      <w:pPr>
        <w:spacing w:after="0" w:line="125"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New York, New York. Weil, Gotshal &amp; Manges LLP, has acted as counsel for the underwriters in connection with certain legal matters related to this offering.</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consolidated financial statements of Fluence Energy, LLC at September, 2020 and 2019, and for each of the two years in the period ended September,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Class A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00"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 xml:space="preserve">Upon the closing of this offering, we will be required to file periodic reports, proxy statements, and other information with the SEC pursuant to the Exchange Act. The SEC also maintains an internet website that contains reports, proxy statements and other information about registrants, like us, that file electronically with the SEC. The address of that site is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maintain a website at </w:t>
      </w:r>
      <w:r>
        <w:rPr>
          <w:rFonts w:ascii="Arial" w:cs="Arial" w:eastAsia="Arial" w:hAnsi="Arial"/>
          <w:sz w:val="18"/>
          <w:szCs w:val="18"/>
          <w:i w:val="1"/>
          <w:iCs w:val="1"/>
          <w:color w:val="auto"/>
        </w:rPr>
        <w:t>https://fluenceenergy.com</w:t>
      </w:r>
      <w:r>
        <w:rPr>
          <w:rFonts w:ascii="Arial" w:cs="Arial" w:eastAsia="Arial" w:hAnsi="Arial"/>
          <w:sz w:val="18"/>
          <w:szCs w:val="18"/>
          <w:color w:val="auto"/>
        </w:rPr>
        <w:t>, through which you may access these materials free of charge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320" w:type="dxa"/>
            <w:vAlign w:val="bottom"/>
            <w:gridSpan w:val="11"/>
          </w:tcPr>
          <w:p>
            <w:pPr>
              <w:ind w:left="1840"/>
              <w:spacing w:after="0"/>
              <w:rPr>
                <w:sz w:val="20"/>
                <w:szCs w:val="20"/>
                <w:color w:val="auto"/>
              </w:rPr>
            </w:pPr>
            <w:r>
              <w:rPr>
                <w:rFonts w:ascii="Arial" w:cs="Arial" w:eastAsia="Arial" w:hAnsi="Arial"/>
                <w:sz w:val="18"/>
                <w:szCs w:val="18"/>
                <w:b w:val="1"/>
                <w:bCs w:val="1"/>
                <w:color w:val="auto"/>
              </w:rPr>
              <w:t>INDEX TO CONSOLIDATED FINANCIAL STATEMENTS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7320" w:type="dxa"/>
            <w:vAlign w:val="bottom"/>
            <w:gridSpan w:val="11"/>
          </w:tcPr>
          <w:p>
            <w:pPr>
              <w:spacing w:after="0"/>
              <w:rPr>
                <w:sz w:val="20"/>
                <w:szCs w:val="20"/>
                <w:color w:val="auto"/>
              </w:rPr>
            </w:pPr>
            <w:r>
              <w:rPr>
                <w:rFonts w:ascii="Arial" w:cs="Arial" w:eastAsia="Arial" w:hAnsi="Arial"/>
                <w:sz w:val="18"/>
                <w:szCs w:val="18"/>
                <w:b w:val="1"/>
                <w:bCs w:val="1"/>
                <w:color w:val="auto"/>
              </w:rPr>
              <w:t>Fluence Energy, LLC and consolidated subsidiaries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5"/>
        </w:trPr>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69"/>
        </w:trPr>
        <w:tc>
          <w:tcPr>
            <w:tcW w:w="4420" w:type="dxa"/>
            <w:vAlign w:val="bottom"/>
            <w:tcBorders>
              <w:bottom w:val="single" w:sz="8" w:color="0000EE"/>
            </w:tcBorders>
            <w:gridSpan w:val="4"/>
            <w:shd w:val="clear" w:color="auto" w:fill="CCEEFF"/>
          </w:tcPr>
          <w:p>
            <w:pPr>
              <w:spacing w:after="0" w:line="162" w:lineRule="exact"/>
              <w:rPr>
                <w:rFonts w:ascii="Arial" w:cs="Arial" w:eastAsia="Arial" w:hAnsi="Arial"/>
                <w:sz w:val="18"/>
                <w:szCs w:val="18"/>
                <w:color w:val="0000EE"/>
                <w:w w:val="95"/>
              </w:rPr>
            </w:pPr>
            <w:hyperlink w:anchor="page197">
              <w:r>
                <w:rPr>
                  <w:rFonts w:ascii="Arial" w:cs="Arial" w:eastAsia="Arial" w:hAnsi="Arial"/>
                  <w:sz w:val="18"/>
                  <w:szCs w:val="18"/>
                  <w:color w:val="0000EE"/>
                  <w:w w:val="95"/>
                </w:rPr>
                <w:t>Report of Independent Registered Public Accounting Firm</w:t>
              </w:r>
            </w:hyperlink>
          </w:p>
        </w:tc>
        <w:tc>
          <w:tcPr>
            <w:tcW w:w="2900" w:type="dxa"/>
            <w:vAlign w:val="bottom"/>
            <w:tcBorders>
              <w:bottom w:val="single" w:sz="8" w:color="CCEEFF"/>
            </w:tcBorders>
            <w:gridSpan w:val="7"/>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0000EE"/>
            </w:tcBorders>
            <w:shd w:val="clear" w:color="auto" w:fill="CCEEFF"/>
          </w:tcPr>
          <w:p>
            <w:pPr>
              <w:jc w:val="right"/>
              <w:spacing w:after="0" w:line="162" w:lineRule="exact"/>
              <w:rPr>
                <w:rFonts w:ascii="Arial" w:cs="Arial" w:eastAsia="Arial" w:hAnsi="Arial"/>
                <w:sz w:val="18"/>
                <w:szCs w:val="18"/>
                <w:color w:val="0000EE"/>
                <w:w w:val="88"/>
              </w:rPr>
            </w:pPr>
            <w:hyperlink w:anchor="page197">
              <w:r>
                <w:rPr>
                  <w:rFonts w:ascii="Arial" w:cs="Arial" w:eastAsia="Arial" w:hAnsi="Arial"/>
                  <w:sz w:val="18"/>
                  <w:szCs w:val="18"/>
                  <w:color w:val="0000EE"/>
                  <w:w w:val="88"/>
                </w:rPr>
                <w:t>F-2</w:t>
              </w:r>
            </w:hyperlink>
          </w:p>
        </w:tc>
      </w:tr>
      <w:tr>
        <w:trPr>
          <w:trHeight w:val="257"/>
        </w:trPr>
        <w:tc>
          <w:tcPr>
            <w:tcW w:w="7320" w:type="dxa"/>
            <w:vAlign w:val="bottom"/>
            <w:gridSpan w:val="11"/>
          </w:tcPr>
          <w:p>
            <w:pPr>
              <w:spacing w:after="0"/>
              <w:rPr>
                <w:sz w:val="20"/>
                <w:szCs w:val="20"/>
                <w:color w:val="auto"/>
              </w:rPr>
            </w:pPr>
            <w:r>
              <w:rPr>
                <w:rFonts w:ascii="Arial" w:cs="Arial" w:eastAsia="Arial" w:hAnsi="Arial"/>
                <w:sz w:val="18"/>
                <w:szCs w:val="18"/>
                <w:color w:val="auto"/>
                <w:w w:val="99"/>
              </w:rPr>
              <w:t>Consolidated Financial Statements for the fiscal years ended September 30, 2020 and 2019</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0"/>
        </w:trPr>
        <w:tc>
          <w:tcPr>
            <w:tcW w:w="484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2"/>
              </w:rPr>
            </w:pPr>
            <w:hyperlink w:anchor="page198">
              <w:r>
                <w:rPr>
                  <w:rFonts w:ascii="Arial" w:cs="Arial" w:eastAsia="Arial" w:hAnsi="Arial"/>
                  <w:sz w:val="18"/>
                  <w:szCs w:val="18"/>
                  <w:color w:val="0000EE"/>
                  <w:w w:val="92"/>
                </w:rPr>
                <w:t>Consolidated balance sheets as of September 30, 2020 and 2019</w:t>
              </w:r>
            </w:hyperlink>
          </w:p>
        </w:tc>
        <w:tc>
          <w:tcPr>
            <w:tcW w:w="2480" w:type="dxa"/>
            <w:vAlign w:val="bottom"/>
            <w:tcBorders>
              <w:bottom w:val="single" w:sz="8" w:color="CCEEFF"/>
            </w:tcBorders>
            <w:gridSpan w:val="4"/>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8"/>
              </w:rPr>
            </w:pPr>
            <w:hyperlink w:anchor="page198">
              <w:r>
                <w:rPr>
                  <w:rFonts w:ascii="Arial" w:cs="Arial" w:eastAsia="Arial" w:hAnsi="Arial"/>
                  <w:sz w:val="18"/>
                  <w:szCs w:val="18"/>
                  <w:color w:val="0000EE"/>
                  <w:w w:val="88"/>
                </w:rPr>
                <w:t>F-3</w:t>
              </w:r>
            </w:hyperlink>
          </w:p>
        </w:tc>
      </w:tr>
      <w:tr>
        <w:trPr>
          <w:trHeight w:val="229"/>
        </w:trPr>
        <w:tc>
          <w:tcPr>
            <w:tcW w:w="7320" w:type="dxa"/>
            <w:vAlign w:val="bottom"/>
            <w:gridSpan w:val="11"/>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operations and comprehensive loss</w:t>
              </w:r>
            </w:hyperlink>
          </w:p>
        </w:tc>
        <w:tc>
          <w:tcPr>
            <w:tcW w:w="540" w:type="dxa"/>
            <w:vAlign w:val="bottom"/>
          </w:tcPr>
          <w:p>
            <w:pPr>
              <w:spacing w:after="0"/>
              <w:rPr>
                <w:sz w:val="19"/>
                <w:szCs w:val="19"/>
                <w:color w:val="auto"/>
              </w:rPr>
            </w:pPr>
          </w:p>
        </w:tc>
        <w:tc>
          <w:tcPr>
            <w:tcW w:w="340" w:type="dxa"/>
            <w:vAlign w:val="bottom"/>
            <w:gridSpan w:val="2"/>
          </w:tcPr>
          <w:p>
            <w:pPr>
              <w:jc w:val="right"/>
              <w:spacing w:after="0"/>
              <w:rPr>
                <w:rFonts w:ascii="Arial" w:cs="Arial" w:eastAsia="Arial" w:hAnsi="Arial"/>
                <w:sz w:val="18"/>
                <w:szCs w:val="18"/>
                <w:color w:val="0000EE"/>
              </w:rPr>
            </w:pPr>
            <w:hyperlink w:anchor="page199">
              <w:r>
                <w:rPr>
                  <w:rFonts w:ascii="Arial" w:cs="Arial" w:eastAsia="Arial" w:hAnsi="Arial"/>
                  <w:sz w:val="18"/>
                  <w:szCs w:val="18"/>
                  <w:color w:val="0000EE"/>
                </w:rPr>
                <w:t>F-4</w:t>
              </w:r>
            </w:hyperlink>
          </w:p>
        </w:tc>
      </w:tr>
      <w:tr>
        <w:trPr>
          <w:trHeight w:val="21"/>
        </w:trPr>
        <w:tc>
          <w:tcPr>
            <w:tcW w:w="29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50"/>
        </w:trPr>
        <w:tc>
          <w:tcPr>
            <w:tcW w:w="7320" w:type="dxa"/>
            <w:vAlign w:val="bottom"/>
            <w:gridSpan w:val="11"/>
            <w:shd w:val="clear" w:color="auto" w:fill="CCEEFF"/>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Consolidated statements of changes in members’ (deficit) equity</w:t>
              </w:r>
            </w:hyperlink>
          </w:p>
        </w:tc>
        <w:tc>
          <w:tcPr>
            <w:tcW w:w="5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rPr>
            </w:pPr>
            <w:hyperlink w:anchor="page200">
              <w:r>
                <w:rPr>
                  <w:rFonts w:ascii="Arial" w:cs="Arial" w:eastAsia="Arial" w:hAnsi="Arial"/>
                  <w:sz w:val="18"/>
                  <w:szCs w:val="18"/>
                  <w:color w:val="0000EE"/>
                </w:rPr>
                <w:t>F-5</w:t>
              </w:r>
            </w:hyperlink>
          </w:p>
        </w:tc>
      </w:tr>
      <w:tr>
        <w:trPr>
          <w:trHeight w:val="229"/>
        </w:trPr>
        <w:tc>
          <w:tcPr>
            <w:tcW w:w="4860" w:type="dxa"/>
            <w:vAlign w:val="bottom"/>
            <w:tcBorders>
              <w:top w:val="single" w:sz="8" w:color="0000EE"/>
            </w:tcBorders>
            <w:gridSpan w:val="8"/>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Consolidated statements of cash flows</w:t>
              </w:r>
            </w:hyperlink>
          </w:p>
        </w:tc>
        <w:tc>
          <w:tcPr>
            <w:tcW w:w="2460" w:type="dxa"/>
            <w:vAlign w:val="bottom"/>
            <w:tcBorders>
              <w:top w:val="single" w:sz="8" w:color="CCEEFF"/>
            </w:tcBorders>
            <w:gridSpan w:val="3"/>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jc w:val="right"/>
              <w:spacing w:after="0"/>
              <w:rPr>
                <w:rFonts w:ascii="Arial" w:cs="Arial" w:eastAsia="Arial" w:hAnsi="Arial"/>
                <w:sz w:val="18"/>
                <w:szCs w:val="18"/>
                <w:color w:val="0000EE"/>
                <w:w w:val="88"/>
              </w:rPr>
            </w:pPr>
            <w:hyperlink w:anchor="page201">
              <w:r>
                <w:rPr>
                  <w:rFonts w:ascii="Arial" w:cs="Arial" w:eastAsia="Arial" w:hAnsi="Arial"/>
                  <w:sz w:val="18"/>
                  <w:szCs w:val="18"/>
                  <w:color w:val="0000EE"/>
                  <w:w w:val="88"/>
                </w:rPr>
                <w:t>F-6</w:t>
              </w:r>
            </w:hyperlink>
          </w:p>
        </w:tc>
      </w:tr>
      <w:tr>
        <w:trPr>
          <w:trHeight w:val="21"/>
        </w:trPr>
        <w:tc>
          <w:tcPr>
            <w:tcW w:w="29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29"/>
        </w:trPr>
        <w:tc>
          <w:tcPr>
            <w:tcW w:w="7320" w:type="dxa"/>
            <w:vAlign w:val="bottom"/>
            <w:gridSpan w:val="11"/>
            <w:shd w:val="clear" w:color="auto" w:fill="CCEEFF"/>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Notes to consolidated financial statements</w:t>
              </w:r>
            </w:hyperlink>
          </w:p>
        </w:tc>
        <w:tc>
          <w:tcPr>
            <w:tcW w:w="5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rPr>
            </w:pPr>
            <w:hyperlink w:anchor="page202">
              <w:r>
                <w:rPr>
                  <w:rFonts w:ascii="Arial" w:cs="Arial" w:eastAsia="Arial" w:hAnsi="Arial"/>
                  <w:sz w:val="18"/>
                  <w:szCs w:val="18"/>
                  <w:color w:val="0000EE"/>
                </w:rPr>
                <w:t>F-7</w:t>
              </w:r>
            </w:hyperlink>
          </w:p>
        </w:tc>
      </w:tr>
      <w:tr>
        <w:trPr>
          <w:trHeight w:val="21"/>
        </w:trPr>
        <w:tc>
          <w:tcPr>
            <w:tcW w:w="29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r>
      <w:tr>
        <w:trPr>
          <w:trHeight w:val="242"/>
        </w:trPr>
        <w:tc>
          <w:tcPr>
            <w:tcW w:w="7320" w:type="dxa"/>
            <w:vAlign w:val="bottom"/>
            <w:gridSpan w:val="11"/>
          </w:tcPr>
          <w:p>
            <w:pPr>
              <w:spacing w:after="0"/>
              <w:rPr>
                <w:sz w:val="20"/>
                <w:szCs w:val="20"/>
                <w:color w:val="auto"/>
              </w:rPr>
            </w:pPr>
            <w:r>
              <w:rPr>
                <w:rFonts w:ascii="Arial" w:cs="Arial" w:eastAsia="Arial" w:hAnsi="Arial"/>
                <w:sz w:val="18"/>
                <w:szCs w:val="18"/>
                <w:color w:val="auto"/>
                <w:w w:val="96"/>
              </w:rPr>
              <w:t>Unaudited Condensed Consolidated Financial Statements as of and for the nine months ended</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7320" w:type="dxa"/>
            <w:vAlign w:val="bottom"/>
            <w:gridSpan w:val="11"/>
          </w:tcPr>
          <w:p>
            <w:pPr>
              <w:ind w:left="180"/>
              <w:spacing w:after="0"/>
              <w:rPr>
                <w:sz w:val="20"/>
                <w:szCs w:val="20"/>
                <w:color w:val="auto"/>
              </w:rPr>
            </w:pPr>
            <w:r>
              <w:rPr>
                <w:rFonts w:ascii="Arial" w:cs="Arial" w:eastAsia="Arial" w:hAnsi="Arial"/>
                <w:sz w:val="18"/>
                <w:szCs w:val="18"/>
                <w:color w:val="auto"/>
              </w:rPr>
              <w:t>June 30, 2021 and 2020</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6"/>
        </w:trPr>
        <w:tc>
          <w:tcPr>
            <w:tcW w:w="7320" w:type="dxa"/>
            <w:vAlign w:val="bottom"/>
            <w:gridSpan w:val="11"/>
            <w:shd w:val="clear" w:color="auto" w:fill="CCEEFF"/>
          </w:tcPr>
          <w:p>
            <w:pPr>
              <w:spacing w:after="0"/>
              <w:rPr>
                <w:rFonts w:ascii="Arial" w:cs="Arial" w:eastAsia="Arial" w:hAnsi="Arial"/>
                <w:sz w:val="18"/>
                <w:szCs w:val="18"/>
                <w:color w:val="0000EE"/>
                <w:w w:val="92"/>
              </w:rPr>
            </w:pPr>
            <w:hyperlink w:anchor="page219">
              <w:r>
                <w:rPr>
                  <w:rFonts w:ascii="Arial" w:cs="Arial" w:eastAsia="Arial" w:hAnsi="Arial"/>
                  <w:sz w:val="18"/>
                  <w:szCs w:val="18"/>
                  <w:color w:val="0000EE"/>
                  <w:w w:val="92"/>
                </w:rPr>
                <w:t>Condensed Consolidated balance sheets (unaudited) as of June 30, 2021 and September 30, 2020</w:t>
              </w:r>
            </w:hyperlink>
          </w:p>
        </w:tc>
        <w:tc>
          <w:tcPr>
            <w:tcW w:w="880" w:type="dxa"/>
            <w:vAlign w:val="bottom"/>
            <w:gridSpan w:val="3"/>
            <w:shd w:val="clear" w:color="auto" w:fill="CCEEFF"/>
          </w:tcPr>
          <w:p>
            <w:pPr>
              <w:jc w:val="right"/>
              <w:spacing w:after="0"/>
              <w:rPr>
                <w:rFonts w:ascii="Arial" w:cs="Arial" w:eastAsia="Arial" w:hAnsi="Arial"/>
                <w:sz w:val="18"/>
                <w:szCs w:val="18"/>
                <w:color w:val="0000EE"/>
              </w:rPr>
            </w:pPr>
            <w:hyperlink w:anchor="page219">
              <w:r>
                <w:rPr>
                  <w:rFonts w:ascii="Arial" w:cs="Arial" w:eastAsia="Arial" w:hAnsi="Arial"/>
                  <w:sz w:val="18"/>
                  <w:szCs w:val="18"/>
                  <w:color w:val="0000EE"/>
                </w:rPr>
                <w:t>F-24</w:t>
              </w:r>
            </w:hyperlink>
          </w:p>
        </w:tc>
      </w:tr>
      <w:tr>
        <w:trPr>
          <w:trHeight w:val="21"/>
        </w:trPr>
        <w:tc>
          <w:tcPr>
            <w:tcW w:w="29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320" w:type="dxa"/>
            <w:vAlign w:val="bottom"/>
            <w:gridSpan w:val="11"/>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Condensed Consolidated statements of operations and comprehensive loss (unaudited)</w:t>
              </w:r>
            </w:hyperlink>
          </w:p>
        </w:tc>
        <w:tc>
          <w:tcPr>
            <w:tcW w:w="880" w:type="dxa"/>
            <w:vAlign w:val="bottom"/>
            <w:gridSpan w:val="3"/>
          </w:tcPr>
          <w:p>
            <w:pPr>
              <w:jc w:val="right"/>
              <w:spacing w:after="0"/>
              <w:rPr>
                <w:rFonts w:ascii="Arial" w:cs="Arial" w:eastAsia="Arial" w:hAnsi="Arial"/>
                <w:sz w:val="18"/>
                <w:szCs w:val="18"/>
                <w:color w:val="0000EE"/>
              </w:rPr>
            </w:pPr>
            <w:hyperlink w:anchor="page220">
              <w:r>
                <w:rPr>
                  <w:rFonts w:ascii="Arial" w:cs="Arial" w:eastAsia="Arial" w:hAnsi="Arial"/>
                  <w:sz w:val="18"/>
                  <w:szCs w:val="18"/>
                  <w:color w:val="0000EE"/>
                </w:rPr>
                <w:t>F-25</w:t>
              </w:r>
            </w:hyperlink>
          </w:p>
        </w:tc>
      </w:tr>
      <w:tr>
        <w:trPr>
          <w:trHeight w:val="21"/>
        </w:trPr>
        <w:tc>
          <w:tcPr>
            <w:tcW w:w="29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29"/>
        </w:trPr>
        <w:tc>
          <w:tcPr>
            <w:tcW w:w="7320" w:type="dxa"/>
            <w:vAlign w:val="bottom"/>
            <w:gridSpan w:val="11"/>
            <w:shd w:val="clear" w:color="auto" w:fill="CCEEFF"/>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Condensed Consolidated statements of changes in members’ (deficit) equity (unaudited)</w:t>
              </w:r>
            </w:hyperlink>
          </w:p>
        </w:tc>
        <w:tc>
          <w:tcPr>
            <w:tcW w:w="880" w:type="dxa"/>
            <w:vAlign w:val="bottom"/>
            <w:gridSpan w:val="3"/>
            <w:shd w:val="clear" w:color="auto" w:fill="CCEEFF"/>
          </w:tcPr>
          <w:p>
            <w:pPr>
              <w:jc w:val="right"/>
              <w:spacing w:after="0"/>
              <w:rPr>
                <w:rFonts w:ascii="Arial" w:cs="Arial" w:eastAsia="Arial" w:hAnsi="Arial"/>
                <w:sz w:val="18"/>
                <w:szCs w:val="18"/>
                <w:color w:val="0000EE"/>
              </w:rPr>
            </w:pPr>
            <w:hyperlink w:anchor="page221">
              <w:r>
                <w:rPr>
                  <w:rFonts w:ascii="Arial" w:cs="Arial" w:eastAsia="Arial" w:hAnsi="Arial"/>
                  <w:sz w:val="18"/>
                  <w:szCs w:val="18"/>
                  <w:color w:val="0000EE"/>
                </w:rPr>
                <w:t>F-26</w:t>
              </w:r>
            </w:hyperlink>
          </w:p>
        </w:tc>
      </w:tr>
      <w:tr>
        <w:trPr>
          <w:trHeight w:val="21"/>
        </w:trPr>
        <w:tc>
          <w:tcPr>
            <w:tcW w:w="29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6660" w:type="dxa"/>
            <w:vAlign w:val="bottom"/>
            <w:gridSpan w:val="10"/>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Condensed Consolidated statements of cash flows (unaudited)</w:t>
              </w:r>
            </w:hyperlink>
          </w:p>
        </w:tc>
        <w:tc>
          <w:tcPr>
            <w:tcW w:w="660" w:type="dxa"/>
            <w:vAlign w:val="bottom"/>
          </w:tcPr>
          <w:p>
            <w:pPr>
              <w:spacing w:after="0"/>
              <w:rPr>
                <w:sz w:val="19"/>
                <w:szCs w:val="19"/>
                <w:color w:val="auto"/>
              </w:rPr>
            </w:pPr>
          </w:p>
        </w:tc>
        <w:tc>
          <w:tcPr>
            <w:tcW w:w="880" w:type="dxa"/>
            <w:vAlign w:val="bottom"/>
            <w:gridSpan w:val="3"/>
          </w:tcPr>
          <w:p>
            <w:pPr>
              <w:jc w:val="right"/>
              <w:spacing w:after="0"/>
              <w:rPr>
                <w:rFonts w:ascii="Arial" w:cs="Arial" w:eastAsia="Arial" w:hAnsi="Arial"/>
                <w:sz w:val="18"/>
                <w:szCs w:val="18"/>
                <w:color w:val="0000EE"/>
              </w:rPr>
            </w:pPr>
            <w:hyperlink w:anchor="page222">
              <w:r>
                <w:rPr>
                  <w:rFonts w:ascii="Arial" w:cs="Arial" w:eastAsia="Arial" w:hAnsi="Arial"/>
                  <w:sz w:val="18"/>
                  <w:szCs w:val="18"/>
                  <w:color w:val="0000EE"/>
                </w:rPr>
                <w:t>F-27</w:t>
              </w:r>
            </w:hyperlink>
          </w:p>
        </w:tc>
      </w:tr>
      <w:tr>
        <w:trPr>
          <w:trHeight w:val="21"/>
        </w:trPr>
        <w:tc>
          <w:tcPr>
            <w:tcW w:w="29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29"/>
        </w:trPr>
        <w:tc>
          <w:tcPr>
            <w:tcW w:w="7320" w:type="dxa"/>
            <w:vAlign w:val="bottom"/>
            <w:gridSpan w:val="11"/>
            <w:shd w:val="clear" w:color="auto" w:fill="CCEEFF"/>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Notes to consolidated financial statements (unaudited)</w:t>
              </w:r>
            </w:hyperlink>
          </w:p>
        </w:tc>
        <w:tc>
          <w:tcPr>
            <w:tcW w:w="880" w:type="dxa"/>
            <w:vAlign w:val="bottom"/>
            <w:gridSpan w:val="3"/>
            <w:shd w:val="clear" w:color="auto" w:fill="CCEEFF"/>
          </w:tcPr>
          <w:p>
            <w:pPr>
              <w:jc w:val="right"/>
              <w:spacing w:after="0"/>
              <w:rPr>
                <w:rFonts w:ascii="Arial" w:cs="Arial" w:eastAsia="Arial" w:hAnsi="Arial"/>
                <w:sz w:val="18"/>
                <w:szCs w:val="18"/>
                <w:color w:val="0000EE"/>
              </w:rPr>
            </w:pPr>
            <w:hyperlink w:anchor="page223">
              <w:r>
                <w:rPr>
                  <w:rFonts w:ascii="Arial" w:cs="Arial" w:eastAsia="Arial" w:hAnsi="Arial"/>
                  <w:sz w:val="18"/>
                  <w:szCs w:val="18"/>
                  <w:color w:val="0000EE"/>
                </w:rPr>
                <w:t>F-28</w:t>
              </w:r>
            </w:hyperlink>
          </w:p>
        </w:tc>
      </w:tr>
      <w:tr>
        <w:trPr>
          <w:trHeight w:val="21"/>
        </w:trPr>
        <w:tc>
          <w:tcPr>
            <w:tcW w:w="29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2359" w:firstLine="1951"/>
        <w:spacing w:after="0" w:line="47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Members and the Board of Directors of Fluence Energy, LLC</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have audited the accompanying consolidated balance sheets of Fluence Energy, LLC (the Company) as of September 30, 2020 and 2019, the related consolidated statements of operations and comprehensive loss, members’ deficit and cash flows for each of the two years in the period ended September, 2020, and the related notes (collectively referred to as the “consolidated financial statements”). In our opinion, the consolidated financial statements present fairly, in all material respects, the financial position of the Company at September 30, 2020 and 2019, and the results of its operations and its cash flows for each of the two years in the period ended September 30, 2020, in conformity with U.S. generally accepted accounting principles.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Tysons, VA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per unit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5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65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32,097</w:t>
            </w:r>
          </w:p>
        </w:tc>
        <w:tc>
          <w:tcPr>
            <w:tcW w:w="100" w:type="dxa"/>
            <w:vAlign w:val="bottom"/>
          </w:tcPr>
          <w:p>
            <w:pPr>
              <w:spacing w:after="0"/>
              <w:rPr>
                <w:sz w:val="18"/>
                <w:szCs w:val="18"/>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Receivables from related parties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52,452</w:t>
            </w:r>
          </w:p>
        </w:tc>
        <w:tc>
          <w:tcPr>
            <w:tcW w:w="100" w:type="dxa"/>
            <w:vAlign w:val="bottom"/>
          </w:tcPr>
          <w:p>
            <w:pPr>
              <w:spacing w:after="0"/>
              <w:rPr>
                <w:sz w:val="18"/>
                <w:szCs w:val="18"/>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to suppliers</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37,310</w:t>
            </w:r>
          </w:p>
        </w:tc>
        <w:tc>
          <w:tcPr>
            <w:tcW w:w="100" w:type="dxa"/>
            <w:vAlign w:val="bottom"/>
          </w:tcPr>
          <w:p>
            <w:pPr>
              <w:spacing w:after="0"/>
              <w:rPr>
                <w:sz w:val="18"/>
                <w:szCs w:val="18"/>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10,684</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327,473</w:t>
            </w:r>
          </w:p>
        </w:tc>
        <w:tc>
          <w:tcPr>
            <w:tcW w:w="100" w:type="dxa"/>
            <w:vAlign w:val="bottom"/>
          </w:tcPr>
          <w:p>
            <w:pPr>
              <w:spacing w:after="0"/>
              <w:rPr>
                <w:sz w:val="18"/>
                <w:szCs w:val="18"/>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w w:val="86"/>
              </w:rPr>
              <w:t>148,295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18"/>
                <w:szCs w:val="18"/>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18"/>
                <w:szCs w:val="18"/>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asset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36,552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364,025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w w:val="86"/>
              </w:rPr>
              <w:t>188,804</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65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(deficit) equity</w:t>
            </w:r>
          </w:p>
        </w:tc>
        <w:tc>
          <w:tcPr>
            <w:tcW w:w="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123,841</w:t>
            </w:r>
          </w:p>
        </w:tc>
        <w:tc>
          <w:tcPr>
            <w:tcW w:w="10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52,980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Personnel related liabilities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Accruals and provisions</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137,696</w:t>
            </w:r>
          </w:p>
        </w:tc>
        <w:tc>
          <w:tcPr>
            <w:tcW w:w="10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17,802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and deferred revenue with related parties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378,240</w:t>
            </w:r>
          </w:p>
        </w:tc>
        <w:tc>
          <w:tcPr>
            <w:tcW w:w="10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w w:val="86"/>
              </w:rPr>
              <w:t>160,715</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Personnel related liabilities</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and provisions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Deferred income tax liability</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1"/>
                <w:szCs w:val="21"/>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381,250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163,299</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6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 (Note 12)</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Members’ (deficit) equity:</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Capital contributions (7,920,000 units issued and outstanding as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September 30, 2020 and 2019)</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99,872</w:t>
            </w:r>
          </w:p>
        </w:tc>
        <w:tc>
          <w:tcPr>
            <w:tcW w:w="100" w:type="dxa"/>
            <w:vAlign w:val="bottom"/>
          </w:tcPr>
          <w:p>
            <w:pPr>
              <w:spacing w:after="0"/>
              <w:rPr>
                <w:sz w:val="20"/>
                <w:szCs w:val="20"/>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97,372</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(1,279)</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(117,298)</w:t>
            </w:r>
          </w:p>
        </w:tc>
        <w:tc>
          <w:tcPr>
            <w:tcW w:w="100" w:type="dxa"/>
            <w:vAlign w:val="bottom"/>
          </w:tcPr>
          <w:p>
            <w:pPr>
              <w:spacing w:after="0"/>
              <w:rPr>
                <w:sz w:val="22"/>
                <w:szCs w:val="22"/>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w w:val="92"/>
              </w:rPr>
              <w:t>(70,588)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members’ (deficit) equity</w:t>
            </w: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(17,225)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liabilities and members’ (deficit)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364,025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w w:val="86"/>
              </w:rPr>
              <w:t>188,804</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6560" w:type="dxa"/>
            <w:vAlign w:val="bottom"/>
            <w:vMerge w:val="restart"/>
          </w:tcPr>
          <w:p>
            <w:pPr>
              <w:ind w:left="166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6560" w:type="dxa"/>
            <w:vAlign w:val="bottom"/>
          </w:tcPr>
          <w:p>
            <w:pPr>
              <w:ind w:left="3960"/>
              <w:spacing w:after="0"/>
              <w:rPr>
                <w:sz w:val="20"/>
                <w:szCs w:val="20"/>
                <w:color w:val="auto"/>
              </w:rPr>
            </w:pPr>
            <w:r>
              <w:rPr>
                <w:rFonts w:ascii="Arial" w:cs="Arial" w:eastAsia="Arial" w:hAnsi="Arial"/>
                <w:sz w:val="18"/>
                <w:szCs w:val="18"/>
                <w:color w:val="auto"/>
              </w:rPr>
              <w:t>F-3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-1028065</wp:posOffset>
            </wp:positionV>
            <wp:extent cx="47745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-2091055</wp:posOffset>
            </wp:positionV>
            <wp:extent cx="47745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-4499610</wp:posOffset>
            </wp:positionV>
            <wp:extent cx="47745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-4834255</wp:posOffset>
            </wp:positionV>
            <wp:extent cx="47745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-7071360</wp:posOffset>
            </wp:positionV>
            <wp:extent cx="137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-7071360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9" w:name="page200"/>
    <w:bookmarkEnd w:id="199"/>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(U.S. Dollars in Thousands, except unit and per unit data)</w:t>
      </w:r>
    </w:p>
    <w:p>
      <w:pPr>
        <w:spacing w:after="0" w:line="162"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Fiscal Year Ended</w:t>
      </w:r>
    </w:p>
    <w:p>
      <w:pPr>
        <w:spacing w:after="0" w:line="17"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22225</wp:posOffset>
            </wp:positionV>
            <wp:extent cx="11830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401,676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44,982</w:t>
            </w:r>
          </w:p>
        </w:tc>
        <w:tc>
          <w:tcPr>
            <w:tcW w:w="60" w:type="dxa"/>
            <w:vAlign w:val="bottom"/>
          </w:tcPr>
          <w:p>
            <w:pPr>
              <w:spacing w:after="0"/>
              <w:rPr>
                <w:sz w:val="21"/>
                <w:szCs w:val="21"/>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Revenue from related parties</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159,647</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47,169</w:t>
            </w: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561,323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92,151</w:t>
            </w:r>
          </w:p>
        </w:tc>
        <w:tc>
          <w:tcPr>
            <w:tcW w:w="60" w:type="dxa"/>
            <w:vAlign w:val="bottom"/>
          </w:tcPr>
          <w:p>
            <w:pPr>
              <w:spacing w:after="0"/>
              <w:rPr>
                <w:sz w:val="22"/>
                <w:szCs w:val="22"/>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553,400</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100,068</w:t>
            </w: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60" w:type="dxa"/>
            <w:vAlign w:val="bottom"/>
          </w:tcPr>
          <w:p>
            <w:pPr>
              <w:spacing w:after="0"/>
              <w:rPr>
                <w:sz w:val="22"/>
                <w:szCs w:val="2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11,535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60" w:type="dxa"/>
            <w:vAlign w:val="bottom"/>
          </w:tcPr>
          <w:p>
            <w:pPr>
              <w:spacing w:after="0"/>
              <w:rPr>
                <w:sz w:val="22"/>
                <w:szCs w:val="22"/>
                <w:color w:val="auto"/>
              </w:rPr>
            </w:pPr>
          </w:p>
        </w:tc>
      </w:tr>
      <w:tr>
        <w:trPr>
          <w:trHeight w:val="257"/>
        </w:trPr>
        <w:tc>
          <w:tcPr>
            <w:tcW w:w="63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14,963</w:t>
            </w:r>
          </w:p>
        </w:tc>
      </w:tr>
      <w:tr>
        <w:trPr>
          <w:trHeight w:val="256"/>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17,940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60" w:type="dxa"/>
            <w:vAlign w:val="bottom"/>
          </w:tcPr>
          <w:p>
            <w:pPr>
              <w:spacing w:after="0"/>
              <w:rPr>
                <w:sz w:val="22"/>
                <w:szCs w:val="22"/>
                <w:color w:val="auto"/>
              </w:rPr>
            </w:pPr>
          </w:p>
        </w:tc>
      </w:tr>
      <w:tr>
        <w:trPr>
          <w:trHeight w:val="257"/>
        </w:trPr>
        <w:tc>
          <w:tcPr>
            <w:tcW w:w="6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2,891</w:t>
            </w:r>
          </w:p>
        </w:tc>
      </w:tr>
      <w:tr>
        <w:trPr>
          <w:trHeight w:val="263"/>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22"/>
                <w:szCs w:val="22"/>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(40,289)</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(47,759)</w:t>
            </w: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22"/>
                <w:szCs w:val="22"/>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(46,710)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(46,981)</w:t>
            </w:r>
          </w:p>
        </w:tc>
      </w:tr>
      <w:tr>
        <w:trPr>
          <w:trHeight w:val="256"/>
        </w:trPr>
        <w:tc>
          <w:tcPr>
            <w:tcW w:w="63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Per Unit</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63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(5.93)</w:t>
            </w:r>
          </w:p>
        </w:tc>
      </w:tr>
      <w:tr>
        <w:trPr>
          <w:trHeight w:val="256"/>
        </w:trPr>
        <w:tc>
          <w:tcPr>
            <w:tcW w:w="63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Units</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63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7,920,000</w:t>
            </w:r>
          </w:p>
        </w:tc>
        <w:tc>
          <w:tcPr>
            <w:tcW w:w="1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7,920,000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636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Foreign currency translation gain (loss), net of income tax expense of $0 in each</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44"/>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21"/>
                <w:szCs w:val="21"/>
                <w:color w:val="auto"/>
              </w:rPr>
            </w:pPr>
          </w:p>
        </w:tc>
      </w:tr>
      <w:tr>
        <w:trPr>
          <w:trHeight w:val="242"/>
        </w:trPr>
        <w:tc>
          <w:tcPr>
            <w:tcW w:w="6360" w:type="dxa"/>
            <w:vAlign w:val="bottom"/>
          </w:tcPr>
          <w:p>
            <w:pPr>
              <w:spacing w:after="0"/>
              <w:rPr>
                <w:sz w:val="20"/>
                <w:szCs w:val="20"/>
                <w:color w:val="auto"/>
              </w:rPr>
            </w:pPr>
            <w:r>
              <w:rPr>
                <w:rFonts w:ascii="Arial" w:cs="Arial" w:eastAsia="Arial" w:hAnsi="Arial"/>
                <w:sz w:val="18"/>
                <w:szCs w:val="18"/>
                <w:color w:val="auto"/>
                <w:w w:val="99"/>
              </w:rPr>
              <w:t>Actuarial gains/(losses) on pension liabilities, net of income tax expense of $0 in</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each period</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60" w:type="dxa"/>
            <w:vAlign w:val="bottom"/>
          </w:tcPr>
          <w:p>
            <w:pPr>
              <w:spacing w:after="0"/>
              <w:rPr>
                <w:sz w:val="23"/>
                <w:szCs w:val="23"/>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3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(47,935)</w:t>
            </w:r>
          </w:p>
        </w:tc>
      </w:tr>
      <w:tr>
        <w:trPr>
          <w:trHeight w:val="20"/>
        </w:trPr>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-385445</wp:posOffset>
            </wp:positionV>
            <wp:extent cx="468884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-1353820</wp:posOffset>
            </wp:positionV>
            <wp:extent cx="468884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-1696720</wp:posOffset>
            </wp:positionV>
            <wp:extent cx="46888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-2056765</wp:posOffset>
            </wp:positionV>
            <wp:extent cx="468884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-3394075</wp:posOffset>
            </wp:positionV>
            <wp:extent cx="468884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-3736975</wp:posOffset>
            </wp:positionV>
            <wp:extent cx="468884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-4079875</wp:posOffset>
            </wp:positionV>
            <wp:extent cx="12001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-4079875</wp:posOffset>
            </wp:positionV>
            <wp:extent cx="603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CONSOLIDATED STATEMENTS OF CHANGES IN MEMBERS’ (DEFICIT) EQUITY</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(U.S. Dollars in Thousands except Member Units)</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0"/>
              </w:rPr>
              <w:t>Limited Members’ Capital</w:t>
            </w:r>
          </w:p>
        </w:tc>
        <w:tc>
          <w:tcPr>
            <w:tcW w:w="200" w:type="dxa"/>
            <w:vAlign w:val="bottom"/>
          </w:tcPr>
          <w:p>
            <w:pPr>
              <w:spacing w:after="0"/>
              <w:rPr>
                <w:sz w:val="14"/>
                <w:szCs w:val="14"/>
                <w:color w:val="auto"/>
              </w:rPr>
            </w:pPr>
          </w:p>
        </w:tc>
        <w:tc>
          <w:tcPr>
            <w:tcW w:w="14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4"/>
                <w:szCs w:val="14"/>
                <w:color w:val="auto"/>
              </w:rPr>
            </w:pPr>
          </w:p>
        </w:tc>
        <w:tc>
          <w:tcPr>
            <w:tcW w:w="174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rPr>
                <w:sz w:val="1"/>
                <w:szCs w:val="1"/>
                <w:color w:val="auto"/>
              </w:rPr>
            </w:pPr>
          </w:p>
        </w:tc>
      </w:tr>
      <w:tr>
        <w:trPr>
          <w:trHeight w:val="92"/>
        </w:trPr>
        <w:tc>
          <w:tcPr>
            <w:tcW w:w="4680" w:type="dxa"/>
            <w:vAlign w:val="bottom"/>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00" w:type="dxa"/>
            <w:vAlign w:val="bottom"/>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420" w:type="dxa"/>
            <w:vAlign w:val="bottom"/>
            <w:gridSpan w:val="5"/>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42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Units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7"/>
                <w:szCs w:val="17"/>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(Deficit)</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(Deficit) Equity</w:t>
            </w:r>
          </w:p>
        </w:tc>
        <w:tc>
          <w:tcPr>
            <w:tcW w:w="0" w:type="dxa"/>
            <w:vAlign w:val="bottom"/>
          </w:tcPr>
          <w:p>
            <w:pPr>
              <w:spacing w:after="0"/>
              <w:rPr>
                <w:sz w:val="1"/>
                <w:szCs w:val="1"/>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October 1, 2018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7,920,000</w:t>
            </w:r>
          </w:p>
        </w:tc>
        <w:tc>
          <w:tcPr>
            <w:tcW w:w="260" w:type="dxa"/>
            <w:vAlign w:val="bottom"/>
            <w:tcBorders>
              <w:right w:val="single" w:sz="8" w:color="CCEEFF"/>
            </w:tcBorders>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$87,372</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(325)</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(23,607)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$ 63,440</w:t>
            </w:r>
          </w:p>
        </w:tc>
        <w:tc>
          <w:tcPr>
            <w:tcW w:w="0" w:type="dxa"/>
            <w:vAlign w:val="bottom"/>
          </w:tcPr>
          <w:p>
            <w:pPr>
              <w:spacing w:after="0"/>
              <w:rPr>
                <w:sz w:val="1"/>
                <w:szCs w:val="1"/>
                <w:color w:val="auto"/>
              </w:rPr>
            </w:pPr>
          </w:p>
        </w:tc>
      </w:tr>
      <w:tr>
        <w:trPr>
          <w:trHeight w:val="229"/>
        </w:trPr>
        <w:tc>
          <w:tcPr>
            <w:tcW w:w="4680" w:type="dxa"/>
            <w:vAlign w:val="bottom"/>
          </w:tcPr>
          <w:p>
            <w:pPr>
              <w:ind w:left="160"/>
              <w:spacing w:after="0"/>
              <w:rPr>
                <w:sz w:val="20"/>
                <w:szCs w:val="20"/>
                <w:color w:val="auto"/>
              </w:rPr>
            </w:pPr>
            <w:r>
              <w:rPr>
                <w:rFonts w:ascii="Arial" w:cs="Arial" w:eastAsia="Arial" w:hAnsi="Arial"/>
                <w:sz w:val="17"/>
                <w:szCs w:val="17"/>
                <w:color w:val="auto"/>
              </w:rPr>
              <w:t>Capital contribution</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10,000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43"/>
        </w:trPr>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9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(46,981)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(46,981)</w:t>
            </w:r>
          </w:p>
        </w:tc>
        <w:tc>
          <w:tcPr>
            <w:tcW w:w="0" w:type="dxa"/>
            <w:vAlign w:val="bottom"/>
          </w:tcPr>
          <w:p>
            <w:pPr>
              <w:spacing w:after="0"/>
              <w:rPr>
                <w:sz w:val="1"/>
                <w:szCs w:val="1"/>
                <w:color w:val="auto"/>
              </w:rPr>
            </w:pPr>
          </w:p>
        </w:tc>
      </w:tr>
      <w:tr>
        <w:trPr>
          <w:trHeight w:val="252"/>
        </w:trPr>
        <w:tc>
          <w:tcPr>
            <w:tcW w:w="4680" w:type="dxa"/>
            <w:vAlign w:val="bottom"/>
          </w:tcPr>
          <w:p>
            <w:pPr>
              <w:ind w:left="160"/>
              <w:spacing w:after="0"/>
              <w:rPr>
                <w:sz w:val="20"/>
                <w:szCs w:val="20"/>
                <w:color w:val="auto"/>
              </w:rPr>
            </w:pPr>
            <w:r>
              <w:rPr>
                <w:rFonts w:ascii="Arial" w:cs="Arial" w:eastAsia="Arial" w:hAnsi="Arial"/>
                <w:sz w:val="17"/>
                <w:szCs w:val="17"/>
                <w:color w:val="auto"/>
              </w:rPr>
              <w:t>Other comprehensive loss, net of income tax benefit of</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(954)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18"/>
        </w:trPr>
        <w:tc>
          <w:tcPr>
            <w:tcW w:w="4680" w:type="dxa"/>
            <w:vAlign w:val="bottom"/>
          </w:tcPr>
          <w:p>
            <w:pPr>
              <w:ind w:left="340"/>
              <w:spacing w:after="0"/>
              <w:rPr>
                <w:sz w:val="20"/>
                <w:szCs w:val="20"/>
                <w:color w:val="auto"/>
              </w:rPr>
            </w:pPr>
            <w:r>
              <w:rPr>
                <w:rFonts w:ascii="Arial" w:cs="Arial" w:eastAsia="Arial" w:hAnsi="Arial"/>
                <w:sz w:val="17"/>
                <w:szCs w:val="17"/>
                <w:color w:val="auto"/>
              </w:rPr>
              <w:t>$0</w:t>
            </w:r>
          </w:p>
        </w:tc>
        <w:tc>
          <w:tcPr>
            <w:tcW w:w="9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September 30, 2019</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7,920,000</w:t>
            </w:r>
          </w:p>
        </w:tc>
        <w:tc>
          <w:tcPr>
            <w:tcW w:w="260" w:type="dxa"/>
            <w:vAlign w:val="bottom"/>
            <w:tcBorders>
              <w:right w:val="single" w:sz="8" w:color="CCEEFF"/>
            </w:tcBorders>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97,372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2"/>
              </w:rPr>
              <w:t>(1,279)</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(70,588)</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25,505</w:t>
            </w:r>
          </w:p>
        </w:tc>
        <w:tc>
          <w:tcPr>
            <w:tcW w:w="0" w:type="dxa"/>
            <w:vAlign w:val="bottom"/>
          </w:tcPr>
          <w:p>
            <w:pPr>
              <w:spacing w:after="0"/>
              <w:rPr>
                <w:sz w:val="1"/>
                <w:szCs w:val="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7"/>
                <w:szCs w:val="17"/>
                <w:color w:val="auto"/>
              </w:rPr>
              <w:t>Capital contribution</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2,500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43"/>
        </w:trPr>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9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(46,710)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(46,710)</w:t>
            </w:r>
          </w:p>
        </w:tc>
        <w:tc>
          <w:tcPr>
            <w:tcW w:w="0" w:type="dxa"/>
            <w:vAlign w:val="bottom"/>
          </w:tcPr>
          <w:p>
            <w:pPr>
              <w:spacing w:after="0"/>
              <w:rPr>
                <w:sz w:val="1"/>
                <w:szCs w:val="1"/>
                <w:color w:val="auto"/>
              </w:rPr>
            </w:pPr>
          </w:p>
        </w:tc>
      </w:tr>
      <w:tr>
        <w:trPr>
          <w:trHeight w:val="252"/>
        </w:trPr>
        <w:tc>
          <w:tcPr>
            <w:tcW w:w="4680" w:type="dxa"/>
            <w:vAlign w:val="bottom"/>
          </w:tcPr>
          <w:p>
            <w:pPr>
              <w:ind w:left="160"/>
              <w:spacing w:after="0"/>
              <w:rPr>
                <w:sz w:val="20"/>
                <w:szCs w:val="20"/>
                <w:color w:val="auto"/>
              </w:rPr>
            </w:pPr>
            <w:r>
              <w:rPr>
                <w:rFonts w:ascii="Arial" w:cs="Arial" w:eastAsia="Arial" w:hAnsi="Arial"/>
                <w:sz w:val="17"/>
                <w:szCs w:val="17"/>
                <w:color w:val="auto"/>
              </w:rPr>
              <w:t>Other comprehensive income, net of income tax benefit of</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auto"/>
              </w:rPr>
              <w:t>1,480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1,480</w:t>
            </w:r>
          </w:p>
        </w:tc>
        <w:tc>
          <w:tcPr>
            <w:tcW w:w="0" w:type="dxa"/>
            <w:vAlign w:val="bottom"/>
          </w:tcPr>
          <w:p>
            <w:pPr>
              <w:spacing w:after="0"/>
              <w:rPr>
                <w:sz w:val="1"/>
                <w:szCs w:val="1"/>
                <w:color w:val="auto"/>
              </w:rPr>
            </w:pPr>
          </w:p>
        </w:tc>
      </w:tr>
      <w:tr>
        <w:trPr>
          <w:trHeight w:val="207"/>
        </w:trPr>
        <w:tc>
          <w:tcPr>
            <w:tcW w:w="4680" w:type="dxa"/>
            <w:vAlign w:val="bottom"/>
          </w:tcPr>
          <w:p>
            <w:pPr>
              <w:ind w:left="340"/>
              <w:spacing w:after="0"/>
              <w:rPr>
                <w:sz w:val="20"/>
                <w:szCs w:val="20"/>
                <w:color w:val="auto"/>
              </w:rPr>
            </w:pPr>
            <w:r>
              <w:rPr>
                <w:rFonts w:ascii="Arial" w:cs="Arial" w:eastAsia="Arial" w:hAnsi="Arial"/>
                <w:sz w:val="17"/>
                <w:szCs w:val="17"/>
                <w:color w:val="auto"/>
              </w:rPr>
              <w:t>$0</w:t>
            </w:r>
          </w:p>
        </w:tc>
        <w:tc>
          <w:tcPr>
            <w:tcW w:w="98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September 30, 2020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7,920,000</w:t>
            </w:r>
          </w:p>
        </w:tc>
        <w:tc>
          <w:tcPr>
            <w:tcW w:w="26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$99,872</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201</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(117,298)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$(17,225)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6389370</wp:posOffset>
            </wp:positionH>
            <wp:positionV relativeFrom="paragraph">
              <wp:posOffset>-222250</wp:posOffset>
            </wp:positionV>
            <wp:extent cx="1028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-222250</wp:posOffset>
            </wp:positionV>
            <wp:extent cx="22288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-222250</wp:posOffset>
            </wp:positionV>
            <wp:extent cx="3429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-222250</wp:posOffset>
            </wp:positionV>
            <wp:extent cx="431165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-1757045</wp:posOffset>
            </wp:positionV>
            <wp:extent cx="1200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-1757045</wp:posOffset>
            </wp:positionV>
            <wp:extent cx="499745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201" w:name="page202"/>
    <w:bookmarkEnd w:id="201"/>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right"/>
              <w:ind w:right="1520"/>
              <w:spacing w:after="0"/>
              <w:rPr>
                <w:sz w:val="20"/>
                <w:szCs w:val="20"/>
                <w:color w:val="auto"/>
              </w:rPr>
            </w:pPr>
            <w:r>
              <w:rPr>
                <w:rFonts w:ascii="Arial" w:cs="Arial" w:eastAsia="Arial" w:hAnsi="Arial"/>
                <w:sz w:val="14"/>
                <w:szCs w:val="14"/>
                <w:b w:val="1"/>
                <w:bCs w:val="1"/>
                <w:color w:val="auto"/>
                <w:w w:val="97"/>
              </w:rPr>
              <w:t>Fiscal Year Ended</w:t>
            </w:r>
          </w:p>
        </w:tc>
      </w:tr>
      <w:tr>
        <w:trPr>
          <w:trHeight w:val="186"/>
        </w:trPr>
        <w:tc>
          <w:tcPr>
            <w:tcW w:w="126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jc w:val="right"/>
              <w:ind w:right="1620"/>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198"/>
        </w:trPr>
        <w:tc>
          <w:tcPr>
            <w:tcW w:w="12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260" w:type="dxa"/>
            <w:vAlign w:val="bottom"/>
          </w:tcPr>
          <w:p>
            <w:pPr>
              <w:spacing w:after="0"/>
              <w:rPr>
                <w:sz w:val="17"/>
                <w:szCs w:val="17"/>
                <w:color w:val="auto"/>
              </w:rPr>
            </w:pPr>
          </w:p>
        </w:tc>
      </w:tr>
      <w:tr>
        <w:trPr>
          <w:trHeight w:val="26"/>
        </w:trPr>
        <w:tc>
          <w:tcPr>
            <w:tcW w:w="1260" w:type="dxa"/>
            <w:vAlign w:val="bottom"/>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(46,710)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1200"/>
              <w:spacing w:after="0"/>
              <w:rPr>
                <w:sz w:val="20"/>
                <w:szCs w:val="20"/>
                <w:color w:val="auto"/>
              </w:rPr>
            </w:pPr>
            <w:r>
              <w:rPr>
                <w:rFonts w:ascii="Arial" w:cs="Arial" w:eastAsia="Arial" w:hAnsi="Arial"/>
                <w:sz w:val="18"/>
                <w:szCs w:val="18"/>
                <w:color w:val="auto"/>
                <w:w w:val="89"/>
              </w:rPr>
              <w:t>(46,981)</w:t>
            </w:r>
          </w:p>
        </w:tc>
      </w:tr>
      <w:tr>
        <w:trPr>
          <w:trHeight w:val="229"/>
        </w:trPr>
        <w:tc>
          <w:tcPr>
            <w:tcW w:w="1260" w:type="dxa"/>
            <w:vAlign w:val="bottom"/>
          </w:tcPr>
          <w:p>
            <w:pPr>
              <w:spacing w:after="0"/>
              <w:rPr>
                <w:sz w:val="19"/>
                <w:szCs w:val="19"/>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provided by operating</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44"/>
        </w:trPr>
        <w:tc>
          <w:tcPr>
            <w:tcW w:w="1260" w:type="dxa"/>
            <w:vAlign w:val="bottom"/>
          </w:tcPr>
          <w:p>
            <w:pPr>
              <w:spacing w:after="0"/>
              <w:rPr>
                <w:sz w:val="21"/>
                <w:szCs w:val="21"/>
                <w:color w:val="auto"/>
              </w:rPr>
            </w:pPr>
          </w:p>
        </w:tc>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66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2"/>
                <w:szCs w:val="22"/>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rPr>
              <w:t>2,891</w:t>
            </w:r>
          </w:p>
        </w:tc>
      </w:tr>
      <w:tr>
        <w:trPr>
          <w:trHeight w:val="257"/>
        </w:trPr>
        <w:tc>
          <w:tcPr>
            <w:tcW w:w="1260" w:type="dxa"/>
            <w:vAlign w:val="bottom"/>
          </w:tcPr>
          <w:p>
            <w:pPr>
              <w:spacing w:after="0"/>
              <w:rPr>
                <w:sz w:val="22"/>
                <w:szCs w:val="22"/>
                <w:color w:val="auto"/>
              </w:rPr>
            </w:pPr>
          </w:p>
        </w:tc>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66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(25,149)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(3,450)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(90,333)</w:t>
            </w:r>
          </w:p>
        </w:tc>
        <w:tc>
          <w:tcPr>
            <w:tcW w:w="100" w:type="dxa"/>
            <w:vAlign w:val="bottom"/>
          </w:tcPr>
          <w:p>
            <w:pPr>
              <w:spacing w:after="0"/>
              <w:rPr>
                <w:sz w:val="22"/>
                <w:szCs w:val="22"/>
                <w:color w:val="auto"/>
              </w:rPr>
            </w:pPr>
          </w:p>
        </w:tc>
        <w:tc>
          <w:tcPr>
            <w:tcW w:w="1820" w:type="dxa"/>
            <w:vAlign w:val="bottom"/>
            <w:gridSpan w:val="2"/>
          </w:tcPr>
          <w:p>
            <w:pPr>
              <w:jc w:val="right"/>
              <w:ind w:right="1200"/>
              <w:spacing w:after="0"/>
              <w:rPr>
                <w:sz w:val="20"/>
                <w:szCs w:val="20"/>
                <w:color w:val="auto"/>
              </w:rPr>
            </w:pPr>
            <w:r>
              <w:rPr>
                <w:rFonts w:ascii="Arial" w:cs="Arial" w:eastAsia="Arial" w:hAnsi="Arial"/>
                <w:sz w:val="18"/>
                <w:szCs w:val="18"/>
                <w:color w:val="auto"/>
              </w:rPr>
              <w:t>(4,634)</w:t>
            </w:r>
          </w:p>
        </w:tc>
      </w:tr>
      <w:tr>
        <w:trPr>
          <w:trHeight w:val="257"/>
        </w:trPr>
        <w:tc>
          <w:tcPr>
            <w:tcW w:w="1260" w:type="dxa"/>
            <w:vAlign w:val="bottom"/>
          </w:tcPr>
          <w:p>
            <w:pPr>
              <w:spacing w:after="0"/>
              <w:rPr>
                <w:sz w:val="22"/>
                <w:szCs w:val="22"/>
                <w:color w:val="auto"/>
              </w:rPr>
            </w:pPr>
          </w:p>
        </w:tc>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(45,781)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(2,940)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Advances to suppliers</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2"/>
                <w:szCs w:val="22"/>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rPr>
              <w:t>1,272</w:t>
            </w:r>
          </w:p>
        </w:tc>
      </w:tr>
      <w:tr>
        <w:trPr>
          <w:trHeight w:val="256"/>
        </w:trPr>
        <w:tc>
          <w:tcPr>
            <w:tcW w:w="1260" w:type="dxa"/>
            <w:vAlign w:val="bottom"/>
          </w:tcPr>
          <w:p>
            <w:pPr>
              <w:spacing w:after="0"/>
              <w:rPr>
                <w:sz w:val="22"/>
                <w:szCs w:val="22"/>
                <w:color w:val="auto"/>
              </w:rPr>
            </w:pPr>
          </w:p>
        </w:tc>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Inventory, net</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(26,626)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(9,839)</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2"/>
                <w:szCs w:val="22"/>
                <w:color w:val="auto"/>
              </w:rPr>
            </w:pPr>
          </w:p>
        </w:tc>
        <w:tc>
          <w:tcPr>
            <w:tcW w:w="1820" w:type="dxa"/>
            <w:vAlign w:val="bottom"/>
            <w:gridSpan w:val="2"/>
          </w:tcPr>
          <w:p>
            <w:pPr>
              <w:jc w:val="right"/>
              <w:ind w:right="1200"/>
              <w:spacing w:after="0"/>
              <w:rPr>
                <w:sz w:val="20"/>
                <w:szCs w:val="20"/>
                <w:color w:val="auto"/>
              </w:rPr>
            </w:pPr>
            <w:r>
              <w:rPr>
                <w:rFonts w:ascii="Arial" w:cs="Arial" w:eastAsia="Arial" w:hAnsi="Arial"/>
                <w:sz w:val="18"/>
                <w:szCs w:val="18"/>
                <w:color w:val="auto"/>
              </w:rPr>
              <w:t>(2,102)</w:t>
            </w:r>
          </w:p>
        </w:tc>
      </w:tr>
      <w:tr>
        <w:trPr>
          <w:trHeight w:val="257"/>
        </w:trPr>
        <w:tc>
          <w:tcPr>
            <w:tcW w:w="1260" w:type="dxa"/>
            <w:vAlign w:val="bottom"/>
          </w:tcPr>
          <w:p>
            <w:pPr>
              <w:spacing w:after="0"/>
              <w:rPr>
                <w:sz w:val="22"/>
                <w:szCs w:val="22"/>
                <w:color w:val="auto"/>
              </w:rPr>
            </w:pPr>
          </w:p>
        </w:tc>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(1,484)</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63,086</w:t>
            </w:r>
          </w:p>
        </w:tc>
        <w:tc>
          <w:tcPr>
            <w:tcW w:w="100" w:type="dxa"/>
            <w:vAlign w:val="bottom"/>
          </w:tcPr>
          <w:p>
            <w:pPr>
              <w:spacing w:after="0"/>
              <w:rPr>
                <w:sz w:val="22"/>
                <w:szCs w:val="22"/>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w w:val="98"/>
              </w:rPr>
              <w:t>12,433</w:t>
            </w:r>
          </w:p>
        </w:tc>
      </w:tr>
      <w:tr>
        <w:trPr>
          <w:trHeight w:val="256"/>
        </w:trPr>
        <w:tc>
          <w:tcPr>
            <w:tcW w:w="1260" w:type="dxa"/>
            <w:vAlign w:val="bottom"/>
          </w:tcPr>
          <w:p>
            <w:pPr>
              <w:spacing w:after="0"/>
              <w:rPr>
                <w:sz w:val="22"/>
                <w:szCs w:val="22"/>
                <w:color w:val="auto"/>
              </w:rPr>
            </w:pPr>
          </w:p>
        </w:tc>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Payables and deferred revenue with related parties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(41,147)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24,543</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70,861</w:t>
            </w:r>
          </w:p>
        </w:tc>
        <w:tc>
          <w:tcPr>
            <w:tcW w:w="100" w:type="dxa"/>
            <w:vAlign w:val="bottom"/>
          </w:tcPr>
          <w:p>
            <w:pPr>
              <w:spacing w:after="0"/>
              <w:rPr>
                <w:sz w:val="22"/>
                <w:szCs w:val="22"/>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w w:val="98"/>
              </w:rPr>
              <w:t>40,909</w:t>
            </w:r>
          </w:p>
        </w:tc>
      </w:tr>
      <w:tr>
        <w:trPr>
          <w:trHeight w:val="257"/>
        </w:trPr>
        <w:tc>
          <w:tcPr>
            <w:tcW w:w="1260" w:type="dxa"/>
            <w:vAlign w:val="bottom"/>
          </w:tcPr>
          <w:p>
            <w:pPr>
              <w:spacing w:after="0"/>
              <w:rPr>
                <w:sz w:val="22"/>
                <w:szCs w:val="22"/>
                <w:color w:val="auto"/>
              </w:rPr>
            </w:pPr>
          </w:p>
        </w:tc>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accruals and provisions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119,894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10,295</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2"/>
                <w:szCs w:val="22"/>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rPr>
              <w:t>2,676</w:t>
            </w:r>
          </w:p>
        </w:tc>
      </w:tr>
      <w:tr>
        <w:trPr>
          <w:trHeight w:val="257"/>
        </w:trPr>
        <w:tc>
          <w:tcPr>
            <w:tcW w:w="1260" w:type="dxa"/>
            <w:vAlign w:val="bottom"/>
          </w:tcPr>
          <w:p>
            <w:pPr>
              <w:spacing w:after="0"/>
              <w:rPr>
                <w:sz w:val="22"/>
                <w:szCs w:val="22"/>
                <w:color w:val="auto"/>
              </w:rPr>
            </w:pPr>
          </w:p>
        </w:tc>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60" w:type="dxa"/>
            <w:vAlign w:val="bottom"/>
          </w:tcPr>
          <w:p>
            <w:pPr>
              <w:spacing w:after="0"/>
              <w:rPr>
                <w:sz w:val="22"/>
                <w:szCs w:val="22"/>
                <w:color w:val="auto"/>
              </w:rPr>
            </w:pPr>
          </w:p>
        </w:tc>
      </w:tr>
      <w:tr>
        <w:trPr>
          <w:trHeight w:val="277"/>
        </w:trPr>
        <w:tc>
          <w:tcPr>
            <w:tcW w:w="1260" w:type="dxa"/>
            <w:vAlign w:val="bottom"/>
          </w:tcPr>
          <w:p>
            <w:pPr>
              <w:spacing w:after="0"/>
              <w:rPr>
                <w:sz w:val="24"/>
                <w:szCs w:val="24"/>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4"/>
                <w:szCs w:val="24"/>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rPr>
              <w:t>2,021</w:t>
            </w:r>
          </w:p>
        </w:tc>
      </w:tr>
      <w:tr>
        <w:trPr>
          <w:trHeight w:val="20"/>
        </w:trPr>
        <w:tc>
          <w:tcPr>
            <w:tcW w:w="1260" w:type="dxa"/>
            <w:vAlign w:val="bottom"/>
          </w:tcPr>
          <w:p>
            <w:pPr>
              <w:spacing w:after="0" w:line="20" w:lineRule="exact"/>
              <w:rPr>
                <w:sz w:val="1"/>
                <w:szCs w:val="1"/>
                <w:color w:val="auto"/>
              </w:rPr>
            </w:pPr>
          </w:p>
        </w:tc>
        <w:tc>
          <w:tcPr>
            <w:tcW w:w="6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(14,016)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27,682</w:t>
            </w:r>
          </w:p>
        </w:tc>
        <w:tc>
          <w:tcPr>
            <w:tcW w:w="126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66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(purchases of) short-term investments</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(20,000)</w:t>
            </w:r>
          </w:p>
        </w:tc>
        <w:tc>
          <w:tcPr>
            <w:tcW w:w="1260" w:type="dxa"/>
            <w:vAlign w:val="bottom"/>
          </w:tcPr>
          <w:p>
            <w:pPr>
              <w:spacing w:after="0"/>
              <w:rPr>
                <w:sz w:val="23"/>
                <w:szCs w:val="23"/>
                <w:color w:val="auto"/>
              </w:rPr>
            </w:pPr>
          </w:p>
        </w:tc>
      </w:tr>
      <w:tr>
        <w:trPr>
          <w:trHeight w:val="277"/>
        </w:trPr>
        <w:tc>
          <w:tcPr>
            <w:tcW w:w="126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4"/>
                <w:szCs w:val="24"/>
                <w:color w:val="auto"/>
              </w:rPr>
            </w:pPr>
          </w:p>
        </w:tc>
        <w:tc>
          <w:tcPr>
            <w:tcW w:w="1820" w:type="dxa"/>
            <w:vAlign w:val="bottom"/>
            <w:gridSpan w:val="2"/>
          </w:tcPr>
          <w:p>
            <w:pPr>
              <w:jc w:val="right"/>
              <w:ind w:right="1200"/>
              <w:spacing w:after="0"/>
              <w:rPr>
                <w:sz w:val="20"/>
                <w:szCs w:val="20"/>
                <w:color w:val="auto"/>
              </w:rPr>
            </w:pPr>
            <w:r>
              <w:rPr>
                <w:rFonts w:ascii="Arial" w:cs="Arial" w:eastAsia="Arial" w:hAnsi="Arial"/>
                <w:sz w:val="18"/>
                <w:szCs w:val="18"/>
                <w:color w:val="auto"/>
              </w:rPr>
              <w:t>(2,736)</w:t>
            </w:r>
          </w:p>
        </w:tc>
      </w:tr>
      <w:tr>
        <w:trPr>
          <w:trHeight w:val="277"/>
        </w:trPr>
        <w:tc>
          <w:tcPr>
            <w:tcW w:w="1260" w:type="dxa"/>
            <w:vAlign w:val="bottom"/>
          </w:tcPr>
          <w:p>
            <w:pPr>
              <w:spacing w:after="0"/>
              <w:rPr>
                <w:sz w:val="24"/>
                <w:szCs w:val="24"/>
                <w:color w:val="auto"/>
              </w:rPr>
            </w:pPr>
          </w:p>
        </w:tc>
        <w:tc>
          <w:tcPr>
            <w:tcW w:w="66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(22,736)</w:t>
            </w:r>
          </w:p>
        </w:tc>
        <w:tc>
          <w:tcPr>
            <w:tcW w:w="126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contribution from Members</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Borrowing from line of credit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3"/>
                <w:szCs w:val="23"/>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r>
      <w:tr>
        <w:trPr>
          <w:trHeight w:val="277"/>
        </w:trPr>
        <w:tc>
          <w:tcPr>
            <w:tcW w:w="1260" w:type="dxa"/>
            <w:vAlign w:val="bottom"/>
          </w:tcPr>
          <w:p>
            <w:pPr>
              <w:spacing w:after="0"/>
              <w:rPr>
                <w:sz w:val="24"/>
                <w:szCs w:val="24"/>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to line of credit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(14,500)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6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w w:val="98"/>
              </w:rPr>
              <w:t>10,000</w:t>
            </w:r>
          </w:p>
        </w:tc>
      </w:tr>
      <w:tr>
        <w:trPr>
          <w:trHeight w:val="277"/>
        </w:trPr>
        <w:tc>
          <w:tcPr>
            <w:tcW w:w="1260" w:type="dxa"/>
            <w:vAlign w:val="bottom"/>
          </w:tcPr>
          <w:p>
            <w:pPr>
              <w:spacing w:after="0"/>
              <w:rPr>
                <w:sz w:val="24"/>
                <w:szCs w:val="24"/>
                <w:color w:val="auto"/>
              </w:rPr>
            </w:pPr>
          </w:p>
        </w:tc>
        <w:tc>
          <w:tcPr>
            <w:tcW w:w="66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6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23"/>
                <w:szCs w:val="23"/>
                <w:color w:val="auto"/>
              </w:rPr>
            </w:pP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w w:val="98"/>
              </w:rPr>
              <w:t>14,131</w:t>
            </w:r>
          </w:p>
        </w:tc>
      </w:tr>
      <w:tr>
        <w:trPr>
          <w:trHeight w:val="277"/>
        </w:trPr>
        <w:tc>
          <w:tcPr>
            <w:tcW w:w="1260" w:type="dxa"/>
            <w:vAlign w:val="bottom"/>
          </w:tcPr>
          <w:p>
            <w:pPr>
              <w:spacing w:after="0"/>
              <w:rPr>
                <w:sz w:val="24"/>
                <w:szCs w:val="24"/>
                <w:color w:val="auto"/>
              </w:rPr>
            </w:pPr>
          </w:p>
        </w:tc>
        <w:tc>
          <w:tcPr>
            <w:tcW w:w="66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as of the beginning of the period</w:t>
            </w: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72,889</w:t>
            </w:r>
          </w:p>
        </w:tc>
        <w:tc>
          <w:tcPr>
            <w:tcW w:w="126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cash equivalents, and restricted cash as of the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95,051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w w:val="98"/>
              </w:rPr>
              <w:t>87,020</w:t>
            </w:r>
          </w:p>
        </w:tc>
      </w:tr>
      <w:tr>
        <w:trPr>
          <w:trHeight w:val="270"/>
        </w:trPr>
        <w:tc>
          <w:tcPr>
            <w:tcW w:w="1260" w:type="dxa"/>
            <w:vAlign w:val="bottom"/>
          </w:tcPr>
          <w:p>
            <w:pPr>
              <w:spacing w:after="0"/>
              <w:rPr>
                <w:sz w:val="23"/>
                <w:szCs w:val="23"/>
                <w:color w:val="auto"/>
              </w:rPr>
            </w:pPr>
          </w:p>
        </w:tc>
        <w:tc>
          <w:tcPr>
            <w:tcW w:w="66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60" w:type="dxa"/>
            <w:vAlign w:val="bottom"/>
          </w:tcPr>
          <w:p>
            <w:pPr>
              <w:spacing w:after="0"/>
              <w:rPr>
                <w:sz w:val="23"/>
                <w:szCs w:val="23"/>
                <w:color w:val="auto"/>
              </w:rPr>
            </w:pPr>
          </w:p>
        </w:tc>
      </w:tr>
      <w:tr>
        <w:trPr>
          <w:trHeight w:val="277"/>
        </w:trPr>
        <w:tc>
          <w:tcPr>
            <w:tcW w:w="126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1260"/>
              <w:spacing w:after="0"/>
              <w:rPr>
                <w:sz w:val="20"/>
                <w:szCs w:val="20"/>
                <w:color w:val="auto"/>
              </w:rPr>
            </w:pPr>
            <w:r>
              <w:rPr>
                <w:rFonts w:ascii="Arial" w:cs="Arial" w:eastAsia="Arial" w:hAnsi="Arial"/>
                <w:sz w:val="18"/>
                <w:szCs w:val="18"/>
                <w:color w:val="auto"/>
              </w:rPr>
              <w:t>851</w:t>
            </w:r>
          </w:p>
        </w:tc>
      </w:tr>
      <w:tr>
        <w:trPr>
          <w:trHeight w:val="310"/>
        </w:trPr>
        <w:tc>
          <w:tcPr>
            <w:tcW w:w="1260" w:type="dxa"/>
            <w:vAlign w:val="bottom"/>
          </w:tcPr>
          <w:p>
            <w:pPr>
              <w:spacing w:after="0"/>
              <w:rPr>
                <w:sz w:val="24"/>
                <w:szCs w:val="24"/>
                <w:color w:val="auto"/>
              </w:rPr>
            </w:pPr>
          </w:p>
        </w:tc>
        <w:tc>
          <w:tcPr>
            <w:tcW w:w="6640" w:type="dxa"/>
            <w:vAlign w:val="bottom"/>
          </w:tcPr>
          <w:p>
            <w:pPr>
              <w:ind w:left="1660"/>
              <w:spacing w:after="0"/>
              <w:rPr>
                <w:sz w:val="20"/>
                <w:szCs w:val="20"/>
                <w:color w:val="auto"/>
              </w:rPr>
            </w:pPr>
            <w:r>
              <w:rPr>
                <w:rFonts w:ascii="Arial" w:cs="Arial" w:eastAsia="Arial" w:hAnsi="Arial"/>
                <w:sz w:val="18"/>
                <w:szCs w:val="18"/>
                <w:color w:val="auto"/>
                <w:w w:val="95"/>
              </w:rPr>
              <w:t>The accompanying notes are an integral part of these statements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6640" w:type="dxa"/>
            <w:vAlign w:val="bottom"/>
          </w:tcPr>
          <w:p>
            <w:pPr>
              <w:ind w:left="3960"/>
              <w:spacing w:after="0"/>
              <w:rPr>
                <w:sz w:val="20"/>
                <w:szCs w:val="20"/>
                <w:color w:val="auto"/>
              </w:rPr>
            </w:pPr>
            <w:r>
              <w:rPr>
                <w:rFonts w:ascii="Arial" w:cs="Arial" w:eastAsia="Arial" w:hAnsi="Arial"/>
                <w:sz w:val="18"/>
                <w:szCs w:val="18"/>
                <w:color w:val="auto"/>
              </w:rPr>
              <w:t>F-6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-1019175</wp:posOffset>
            </wp:positionV>
            <wp:extent cx="479171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-1756410</wp:posOffset>
            </wp:positionV>
            <wp:extent cx="479171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-2836545</wp:posOffset>
            </wp:positionV>
            <wp:extent cx="47917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-3557270</wp:posOffset>
            </wp:positionV>
            <wp:extent cx="479171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-6968490</wp:posOffset>
            </wp:positionV>
            <wp:extent cx="137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-6968490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2" w:name="page203"/>
    <w:bookmarkEnd w:id="202"/>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September 30, 2020 and 2019</w:t>
      </w:r>
    </w:p>
    <w:p>
      <w:pPr>
        <w:spacing w:after="0" w:line="165" w:lineRule="exact"/>
        <w:rPr>
          <w:sz w:val="20"/>
          <w:szCs w:val="20"/>
          <w:color w:val="auto"/>
        </w:rPr>
      </w:pPr>
    </w:p>
    <w:p>
      <w:pPr>
        <w:ind w:left="1620" w:hanging="360"/>
        <w:spacing w:after="0"/>
        <w:tabs>
          <w:tab w:leader="none" w:pos="16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Operations</w:t>
      </w:r>
    </w:p>
    <w:p>
      <w:pPr>
        <w:spacing w:after="0" w:line="14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Fluence Energy, LLC (‘‘Fluence’’), a Delaware limited liability company, was formed on June 30, 2017, and commenced operations on January 1, 2018 (the ‘‘Effective Date’’). Fluence, with its wholly owned subsidiaries including Fluence Energy GmbH in Germany, Fluence Energy Pty Ltd. in Australia, and Fluence Energy Inc. in the Philippines. is primarily engaged in the construction and sale of battery-based energy storage products and provides related operational services. As of September 30, 2020, AES Grid Stability LLC (‘‘AES’’) and Siemens Industry, Inc. (‘‘Siemens’’) (together, ‘‘Members’’) each holds 3,960,000 units, or 50% of the limited liability interest, of the Company. Except where the content clearly indicates otherwise, “Fluence,” “we,” “us,” “our” or the “Company” refers to Fluence Energy, LLC and its wholly owned subsidiaries.</w:t>
      </w:r>
    </w:p>
    <w:p>
      <w:pPr>
        <w:spacing w:after="0" w:line="124"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05"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The Company’s fiscal year begins on October 1 and ends on September 30. Consequently, fiscal year 2019 (‘‘FY 2019’’) ended on September 30, 2019 and fiscal year 2020 (‘‘FY 2020’’) ended on September 30, 2020.</w:t>
      </w:r>
    </w:p>
    <w:p>
      <w:pPr>
        <w:spacing w:after="0" w:line="151" w:lineRule="exact"/>
        <w:rPr>
          <w:sz w:val="20"/>
          <w:szCs w:val="20"/>
          <w:color w:val="auto"/>
        </w:rPr>
      </w:pPr>
    </w:p>
    <w:p>
      <w:pPr>
        <w:ind w:left="1620" w:hanging="360"/>
        <w:spacing w:after="0"/>
        <w:tabs>
          <w:tab w:leader="none" w:pos="16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Estimates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Principles of Accounting and Consolidation</w:t>
      </w:r>
    </w:p>
    <w:p>
      <w:pPr>
        <w:spacing w:after="0" w:line="148"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The accompanying consolidated financial statements are prepared in accordance with U.S. generally accepted accounting principles (‘‘U.S. GAAP’’) and under the rules of the Securities and Exchange Commission (the ‘‘SEC’’). The accompanying consolidated financial statements include the accounts of Fluence and its subsidiaries. All intercompany balances and transactions have been eliminated in consolidation.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 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The JOBS Act also provides that emerging growth companies can elect to adopt new or revised accounting standards issued subsequent to the enactment of the JOBS Act under private company effective dates.</w:t>
      </w:r>
    </w:p>
    <w:p>
      <w:pPr>
        <w:spacing w:after="0" w:line="121"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The Company has elected to use this extended transition period to adopt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1260" w:right="899" w:firstLine="360"/>
        <w:spacing w:after="0" w:line="324"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reported in the accompanying</w:t>
      </w:r>
    </w:p>
    <w:p>
      <w:pPr>
        <w:spacing w:after="0" w:line="3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consolidated financial statements and accompanying notes. Actual results could differ materially from those estimates. Items subject to such estimates and assumptions include: the carrying amount and estimated useful lives of long-lived assets; impairment of goodwill and long-lived assets; valuation allowances for inventories; deferred tax assets; revenue recognized under the percentage-of-completion method; accrued bonuses; and various project related provisions including but not limited to estimated losses, warranty obligations, and liquidated damages.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Cash and cash equivalents include cash on-hand and highly liquid investments readily convertible to cash, with an original maturity of 90 days or less when purchased.</w:t>
      </w:r>
    </w:p>
    <w:p>
      <w:pPr>
        <w:spacing w:after="0" w:line="103"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Cash restricted for use as a result of financing or other obligations is classified separately as restricted cash in other current assets.</w:t>
      </w:r>
    </w:p>
    <w:p>
      <w:pPr>
        <w:spacing w:after="0" w:line="103"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consolidated balance sheets and sums to the total of such amounts shown on the consolidated statements of cash flows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40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w w:val="93"/>
              </w:rPr>
              <w:t>As of September 30,</w:t>
            </w:r>
          </w:p>
        </w:tc>
      </w:tr>
      <w:tr>
        <w:trPr>
          <w:trHeight w:val="26"/>
        </w:trPr>
        <w:tc>
          <w:tcPr>
            <w:tcW w:w="6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8"/>
        </w:trPr>
        <w:tc>
          <w:tcPr>
            <w:tcW w:w="6800" w:type="dxa"/>
            <w:vAlign w:val="bottom"/>
          </w:tcPr>
          <w:p>
            <w:pPr>
              <w:spacing w:after="0"/>
              <w:rPr>
                <w:sz w:val="17"/>
                <w:szCs w:val="17"/>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2019</w:t>
            </w:r>
          </w:p>
        </w:tc>
      </w:tr>
      <w:tr>
        <w:trPr>
          <w:trHeight w:val="26"/>
        </w:trPr>
        <w:tc>
          <w:tcPr>
            <w:tcW w:w="6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$93,815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$84,113</w:t>
            </w:r>
          </w:p>
        </w:tc>
      </w:tr>
      <w:tr>
        <w:trPr>
          <w:trHeight w:val="263"/>
        </w:trPr>
        <w:tc>
          <w:tcPr>
            <w:tcW w:w="680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1,236</w:t>
            </w:r>
          </w:p>
        </w:tc>
        <w:tc>
          <w:tcPr>
            <w:tcW w:w="580" w:type="dxa"/>
            <w:vAlign w:val="bottom"/>
          </w:tcPr>
          <w:p>
            <w:pPr>
              <w:jc w:val="right"/>
              <w:spacing w:after="0"/>
              <w:rPr>
                <w:sz w:val="20"/>
                <w:szCs w:val="20"/>
                <w:color w:val="auto"/>
              </w:rPr>
            </w:pPr>
            <w:r>
              <w:rPr>
                <w:rFonts w:ascii="Arial" w:cs="Arial" w:eastAsia="Arial" w:hAnsi="Arial"/>
                <w:sz w:val="18"/>
                <w:szCs w:val="18"/>
                <w:color w:val="auto"/>
              </w:rPr>
              <w:t>2,907</w:t>
            </w:r>
          </w:p>
        </w:tc>
      </w:tr>
      <w:tr>
        <w:trPr>
          <w:trHeight w:val="20"/>
        </w:trPr>
        <w:tc>
          <w:tcPr>
            <w:tcW w:w="68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90"/>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rPr>
              <w:t>Total cash, cash equivalents and restricted cash shown in the statements of cash flows</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$95,051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$87,020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8260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9"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Restricted cash included in other current assets on the consolidated balance sheets as of September 30, 2020 consists of $915 thousand collateral for credit card program (2019: $904 thousand) and $321 thousand of collateral for outstanding bank guarantee (2019: $2,003 thousand).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Trade Receivables</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Trade receivables represent actual billings that are generally due within 30 days from the invoice date, and do not bear interest. Receivables are carried at amortized cost. The Company periodically assesses collectability of accounts receivable and records an allowance for doubtful accounts for the estimated uncollectable amount when deemed appropriate. As of September 30, 2020 and 2019, no allowance for doubtful accounts was recognized.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Advances to Suppliers</w:t>
      </w:r>
    </w:p>
    <w:p>
      <w:pPr>
        <w:spacing w:after="0" w:line="148"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Advances are given to suppliers based on the contract terms of respective agreements and are presented on a separate line on the consolidated balance sheets. These advances are recovered through the receipt of goods and services mainly used in the production of battery-based energy storage products.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 Transactions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An entity’s functional currency is the currency of the primary economic environment in which the entity operates and is generally the currency in which the entity generates and expends cash. The reporting currency of the Company is the U.S. dollar. Monetary and non-monetary assets and liabilities denominated in foreign currencies are remeasured into U.S. dollars using the year-end exchange rates, while revenues and expenses denominated in foreign currencies are remeasured at weighted average exchange rates prevailing during the year. Resultant foreign currency exchange adjustments for monetary assets and liabilities are recorded in earnings on the accompanying consolidated statements of operations and comprehensive loss. Adjustments arising from the translation of the balance sheets of subsidiaries that have a functional currency other than the U.S. dollar are recorded as a component of members’ (deficit) equity in accumulated other comprehensive income (loss).</w:t>
      </w: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and Cost Recognition</w:t>
      </w:r>
    </w:p>
    <w:p>
      <w:pPr>
        <w:spacing w:after="0" w:line="14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 xml:space="preserve">The Company commenced operations on January 1, 2018 and immediately adopted Accounting Standards Updated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related amendments (collectively known as Accounting Standards Codification 606, or ‘‘ASC 606’’). The Company’s revenue recognition policy included herein is based on the application of ASC 606. As of September 30, 2020, the Company’s revenue was generated primarily from sale of battery-based energy storage products and providing operational service related to storage products.</w:t>
      </w:r>
    </w:p>
    <w:p>
      <w:pPr>
        <w:spacing w:after="0" w:line="122"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b w:val="1"/>
          <w:bCs w:val="1"/>
          <w:i w:val="1"/>
          <w:iCs w:val="1"/>
          <w:color w:val="auto"/>
        </w:rPr>
        <w:t xml:space="preserve">Revenue from Sale of Battery-Based Energy Storage Products: </w:t>
      </w:r>
      <w:r>
        <w:rPr>
          <w:rFonts w:ascii="Arial" w:cs="Arial" w:eastAsia="Arial" w:hAnsi="Arial"/>
          <w:sz w:val="17"/>
          <w:szCs w:val="17"/>
          <w:color w:val="auto"/>
        </w:rPr>
        <w:t>Fluence enters into contracts with utility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developers, and commercial and industrial customers to design and build battery-based energy storage products. Each storage product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or other variable consideration that are included in the transaction price in accordance with ASC 606. The transaction price identified is allocated to each distinct performance obligation to deliver a good or service based on the relative standalone selling prices. Generally, the Company’s contracts to design and build battery-based storage products are determined to have one performance obligation. The Company believes that the prices negotiated with each individual customer are representative of the stand-alone selling price of the product.</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Company recognizes revenue over time as a result of the continuous transfer of control of our product to the customer. This continuous transfer of control to the customer is supported by clauses in the contracts that provide enforceable rights to payment of the transaction price associated with work performed to date for products that do not have an alternative use to the Company and/or the project is built on customer’s land that is under the customer’s control.</w:t>
      </w:r>
    </w:p>
    <w:p>
      <w:pPr>
        <w:spacing w:after="0" w:line="10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 xml:space="preserve">Revenue for these performance obligations is recognized using the percentage of completion method based on cost incurred as a percentage of total estimated contract costs. Contract costs include all direct material and labor costs related to contract performance. Pre -contract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 facts and changes in circumstance become known.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 Refer to </w:t>
      </w:r>
      <w:r>
        <w:rPr>
          <w:rFonts w:ascii="Arial" w:cs="Arial" w:eastAsia="Arial" w:hAnsi="Arial"/>
          <w:sz w:val="18"/>
          <w:szCs w:val="18"/>
          <w:i w:val="1"/>
          <w:iCs w:val="1"/>
          <w:color w:val="auto"/>
        </w:rPr>
        <w:t>Loss Contracts</w:t>
      </w:r>
      <w:r>
        <w:rPr>
          <w:rFonts w:ascii="Arial" w:cs="Arial" w:eastAsia="Arial" w:hAnsi="Arial"/>
          <w:sz w:val="18"/>
          <w:szCs w:val="18"/>
          <w:color w:val="auto"/>
        </w:rPr>
        <w:t xml:space="preserve"> below for further discussion.</w:t>
      </w:r>
    </w:p>
    <w:p>
      <w:pPr>
        <w:spacing w:after="0" w:line="12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Revenue from Services: </w:t>
      </w:r>
      <w:r>
        <w:rPr>
          <w:rFonts w:ascii="Arial" w:cs="Arial" w:eastAsia="Arial" w:hAnsi="Arial"/>
          <w:sz w:val="18"/>
          <w:szCs w:val="18"/>
          <w:color w:val="auto"/>
        </w:rPr>
        <w:t>Fluence also enters into long-term service agreements with customers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operational services related to battery-based energy storage products. The services include maintenance, monitoring, and other minor services. The Company accounts for the services as a single performance obligation as the services are substantially the same and have the same pattern of transfer to the customers. Straight-line revenue recognition method is applied for these types of services. The Company believes using a time -based method to measure progress is appropriate as the performance obligations are satisfied evenly over time based on the fact that customers receive the services evenly and cost pattern does not change significantly over the service period. Revenue is recognized by dividing the total contract revenue over the service period.</w:t>
      </w:r>
    </w:p>
    <w:p>
      <w:pPr>
        <w:spacing w:after="0" w:line="12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Some of the agreements also provide capacity guarantees which stand for a commitment to perform certain augmentation activities to maintain the level of battery capacity specified in the agreement. Augmentation activities would typically be represented by installation of additional batteries, and other components as needed, to compensate for partially lost capacity due to degradation of batteries over time. These services are treated as service-type warranties and are accounted for as separate performance obligations from other services discussed above. Performance obligations of the services are satisfied over time. The percentage of completion revenue recognition method is applied for service type warranties as the cost pattern is expected to change significantly with little to no operating costs incurred in the earlier years and larger</w:t>
      </w: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color w:val="auto"/>
        </w:rPr>
        <w:t>costs incurred in later years when augmentation is required to restore the required capacity, for example, adding more batteries or changing some existing modules with declined capacity.</w:t>
      </w:r>
    </w:p>
    <w:p>
      <w:pPr>
        <w:spacing w:after="0" w:line="89"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For both products and service contracts where there are multiple performance obligations in a single contract, the Company allocates the consideration to the various obligations in the contract based on the relative standalone selling price method. Standalone selling prices are estimated based on estimated costs plus margin or using market data for comparable products when estimated costs are not imputable.</w:t>
      </w:r>
    </w:p>
    <w:p>
      <w:pPr>
        <w:spacing w:after="0" w:line="104"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Revenue is recorded net of any taxes assessed on and collected from customers, which are remitted to the governmental authorities.</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b w:val="1"/>
          <w:bCs w:val="1"/>
          <w:i w:val="1"/>
          <w:iCs w:val="1"/>
          <w:color w:val="auto"/>
        </w:rPr>
        <w:t xml:space="preserve">Cost of Goods and Services: </w:t>
      </w:r>
      <w:r>
        <w:rPr>
          <w:rFonts w:ascii="Arial" w:cs="Arial" w:eastAsia="Arial" w:hAnsi="Arial"/>
          <w:sz w:val="18"/>
          <w:szCs w:val="18"/>
          <w:color w:val="auto"/>
        </w:rPr>
        <w:t>Cost of goods and services are recognized when services are performed,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of goods are transferred to the customers, which is generally based upon International Commercial Terms (commonly referred to as ‘‘incoterms’’) stated in corresponding supply agreements or purchase orders.</w:t>
      </w:r>
    </w:p>
    <w:p>
      <w:pPr>
        <w:spacing w:after="0" w:line="106"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b w:val="1"/>
          <w:bCs w:val="1"/>
          <w:i w:val="1"/>
          <w:iCs w:val="1"/>
          <w:color w:val="auto"/>
        </w:rPr>
        <w:t xml:space="preserve">Unbilled Receivables: </w:t>
      </w:r>
      <w:r>
        <w:rPr>
          <w:rFonts w:ascii="Arial" w:cs="Arial" w:eastAsia="Arial" w:hAnsi="Arial"/>
          <w:sz w:val="18"/>
          <w:szCs w:val="18"/>
          <w:color w:val="auto"/>
        </w:rPr>
        <w:t>Unbilled receivables represent the excess of revenues recognized over billings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on certain contracts.</w:t>
      </w:r>
    </w:p>
    <w:p>
      <w:pPr>
        <w:spacing w:after="0" w:line="103"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b w:val="1"/>
          <w:bCs w:val="1"/>
          <w:i w:val="1"/>
          <w:iCs w:val="1"/>
          <w:color w:val="auto"/>
        </w:rPr>
        <w:t>Deferred Revenue</w:t>
      </w:r>
      <w:r>
        <w:rPr>
          <w:rFonts w:ascii="Arial" w:cs="Arial" w:eastAsia="Arial" w:hAnsi="Arial"/>
          <w:sz w:val="17"/>
          <w:szCs w:val="17"/>
          <w:color w:val="auto"/>
        </w:rPr>
        <w:t>: Deferred revenue represents the excess billings to date over the amount of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recognized to date. Contract advances represent amounts received by the Company upon signing of the related contracts with customers. The advances are offset proportionately against progress billings. Any outstanding portion is included in deferred revenue on the accompanying consolidated balance sheets.</w:t>
      </w:r>
    </w:p>
    <w:p>
      <w:pPr>
        <w:spacing w:after="0" w:line="10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b w:val="1"/>
          <w:bCs w:val="1"/>
          <w:i w:val="1"/>
          <w:iCs w:val="1"/>
          <w:color w:val="auto"/>
        </w:rPr>
        <w:t xml:space="preserve">Loss Contracts: </w:t>
      </w:r>
      <w:r>
        <w:rPr>
          <w:rFonts w:ascii="Arial" w:cs="Arial" w:eastAsia="Arial" w:hAnsi="Arial"/>
          <w:sz w:val="18"/>
          <w:szCs w:val="18"/>
          <w:color w:val="auto"/>
        </w:rPr>
        <w:t>A contact becomes a loss contract when its estimated total costs are expected to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total revenue. The Company accrues the full loss expected in the period a loss contract is identified which is recorded in current liabilities—accruals and provisions and cost of goods and services on the Company’s consolidated balance sheets and consolidated statements of operations and comprehensive loss, respectively.</w:t>
      </w:r>
    </w:p>
    <w:p>
      <w:pPr>
        <w:spacing w:after="0" w:line="107"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b w:val="1"/>
          <w:bCs w:val="1"/>
          <w:i w:val="1"/>
          <w:iCs w:val="1"/>
          <w:color w:val="auto"/>
        </w:rPr>
        <w:t xml:space="preserve">Warranty Costs: </w:t>
      </w:r>
      <w:r>
        <w:rPr>
          <w:rFonts w:ascii="Arial" w:cs="Arial" w:eastAsia="Arial" w:hAnsi="Arial"/>
          <w:sz w:val="17"/>
          <w:szCs w:val="17"/>
          <w:color w:val="auto"/>
        </w:rPr>
        <w:t>The Company provides a limited warranty related to the successful operation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battery-based energy storage solutions, apart from the service type warranties described above and are normally provided for a limited period of time from one to three years after the commercial operation date. The warranties are considered assurance-type warranties which provide a guarantee of quality of the products. The Company accrues for expected warranty costs based on historical activity and expectations of future costs at the time of commercial operation date. Periodically, the Company evaluates and adjusts warranty costs to the extent that actual warranty costs materially differ from the original estimates. Extended warranties that customers purchase separately from the related products and services are accounted for as separate performance obligations. Both warranty fees and associated costs are accounted for after the commercial operation date of the related battery product. Warranty costs accrued are included in current liabilities—accruals and provisions and cost of goods and services on the consolidated balance sheets consolidated statements of operations and comprehensive loss, respectively.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Inventory, Net</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Inventory consists of batteries and equipment, cases, inverters, and spare parts which are used in ongoing battery storage projects for sale. Inventory is stated at the lower of cost or net realizable value with cost being determined by the specific identification method. The Company periodically reviews its inventory for potential obsolescence and write down of its inventory, as appropriate, to net realizable value based on its assessment of market conditions.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 Company evaluates the recoverability of its property and equipment, and intangible assets whenever events or changes in circumstances indicate that their carrying amount may not be recoverable. The assets are considered impaired when their fair value is less than their carrying value. Impairment charges are calculated as the difference between the discounted expected future cash flows, or other accepted valuation techniques to determine fair value and the assets’ carrying amount at the date of the triggering event.</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6" w:name="page207"/>
    <w:bookmarkEnd w:id="206"/>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Intangible assets are stated at their historical cost and amortized on a straight-line basis over their expected useful lives.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Accruals and Provisions</w:t>
      </w:r>
    </w:p>
    <w:p>
      <w:pPr>
        <w:spacing w:after="0" w:line="162"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7"/>
          <w:szCs w:val="17"/>
          <w:color w:val="auto"/>
        </w:rPr>
        <w:t>Expenses are recognized on an accrual basis. Provisions are recognized when it is probable that a liability has been incurred and the amount of liability could be reasonably estimated.</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Expenses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Operating expenses include research and development, sales and marketing, general and administrative expenses, and depreciation and amortization.</w:t>
      </w:r>
    </w:p>
    <w:p>
      <w:pPr>
        <w:spacing w:after="0" w:line="90"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Research and development expenses represent personnel costs of the technology team, and costs of materials and services procured for research and development projects.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Sales and marketing expenses represent personnel costs of the sales team and all marketing expenses.</w:t>
      </w:r>
    </w:p>
    <w:p>
      <w:pPr>
        <w:spacing w:after="0" w:line="181"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General and administrative expenses represent personnel costs, rent, IT expenses insurance, and external providers for payroll, accounting, consulting and others.</w:t>
      </w:r>
    </w:p>
    <w:p>
      <w:pPr>
        <w:spacing w:after="0" w:line="90"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Depreciation and amortization are expenses associated with property and equipment and contributed intangible assets, consisting of intellectual property rights.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1260" w:right="639" w:firstLine="360"/>
        <w:spacing w:after="0" w:line="294" w:lineRule="auto"/>
        <w:rPr>
          <w:sz w:val="20"/>
          <w:szCs w:val="20"/>
          <w:color w:val="auto"/>
        </w:rPr>
      </w:pPr>
      <w:r>
        <w:rPr>
          <w:rFonts w:ascii="Arial" w:cs="Arial" w:eastAsia="Arial" w:hAnsi="Arial"/>
          <w:sz w:val="16"/>
          <w:szCs w:val="16"/>
          <w:color w:val="auto"/>
        </w:rPr>
        <w:t>The Company is treated as a partnership for U.S. federal income tax purposes. As such, the members are individually liable for their own distributable share of taxable income or loss. No provision has been made in the accompanying consolidated financial statements for U.S. federal, state or local income taxes.</w:t>
      </w:r>
    </w:p>
    <w:p>
      <w:pPr>
        <w:spacing w:after="0" w:line="80"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 xml:space="preserve">Foreign subsidiaries of the Company account for income taxes and the related accounts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Under ASC 740, 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91"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The Company recognizes the tax benefits from uncertain tax positions if it is more likely than not that the position will be sustained on examination by the taxing authorities. The Company recognizes interest and penalties related to unrecognized tax benefits as a component of income tax expense. As of September 30, 2020 and 2019, the Company has not recognized tax benefits relating to uncertain tax positions.</w:t>
      </w:r>
    </w:p>
    <w:p>
      <w:pPr>
        <w:spacing w:after="0" w:line="122"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The preparation of income tax returns requires the use of management’s estimates and interpretations which may be subjected to review by the respective taxing authorities and may result in an assessment of additional taxes, penalties and interest. The period from January 1, 2018 until September 30, 2020 remains subject to examination by foreign, federal and state taxing authorities.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Measurements</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is used to classify assets and liabilities based on the observable inputs and unobservable inputs used to value the assets and liabilities:</w:t>
      </w:r>
    </w:p>
    <w:p>
      <w:pPr>
        <w:spacing w:after="0" w:line="96"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7" w:name="page208"/>
    <w:bookmarkEnd w:id="207"/>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13" w:lineRule="exact"/>
        <w:rPr>
          <w:sz w:val="20"/>
          <w:szCs w:val="20"/>
          <w:color w:val="auto"/>
        </w:rPr>
      </w:pPr>
    </w:p>
    <w:p>
      <w:pPr>
        <w:jc w:val="both"/>
        <w:ind w:left="1260" w:right="739" w:firstLine="360"/>
        <w:spacing w:after="0" w:line="243"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any recurring Level 3 fair value measurements.</w:t>
      </w:r>
    </w:p>
    <w:p>
      <w:pPr>
        <w:spacing w:after="0" w:line="120"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 Company’s cash equivalents include term deposits with original maturity of less than three months and are recorded at amortized cost. Fair value of cash equivalents approximates the carrying amount using Level 2 inputs. The carrying amounts of trade receivables, accounts payable and short-term debt obligations approximate fair values due to their short maturities using Level 2 inputs.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Earnings per Unit (EPU)</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Company calculates basic earnings per common LLC member unit by dividing net loss, by the average number of common LLC member unit outstanding during the period. Diluted earnings per unit is calculated in a similar manner after consideration of the potential dilutive effect of common LLC member unit equivalents on the average number of common LLC member units outstanding during the period. Dilution is not considered when a net loss is reported. Common LLC member unit equivalents that have an antidilutive effect are excluded from the computation of diluted earnings per common LLC member unit. As of September 30, 2020 and 2019, the Company had no outstanding common LLC member unit equivalents.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 Split</w:t>
      </w:r>
    </w:p>
    <w:p>
      <w:pPr>
        <w:spacing w:after="0" w:line="14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In December 2020, the Company approved an amendment to their Limited Liability Company Agreement to effect a 1:1,320 unit split of the Company’s common LLC member units, which was effected on December 29, 2020. The par value of the common unit was not adjusted as a result of the unit split. All common LLC member units and per unit data have been retrospectively revised to reflect the unit split.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 xml:space="preserve">In February 2016, the Financial Accounting Standards Board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supersedes existing guidance on accounting for leases in ASC 840,</w:t>
      </w:r>
      <w:r>
        <w:rPr>
          <w:rFonts w:ascii="Arial" w:cs="Arial" w:eastAsia="Arial" w:hAnsi="Arial"/>
          <w:sz w:val="17"/>
          <w:szCs w:val="17"/>
          <w:i w:val="1"/>
          <w:iCs w:val="1"/>
          <w:color w:val="auto"/>
        </w:rPr>
        <w:t xml:space="preserve"> Leases</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requires all leases to be recognized on the consolidated balance sheet. ASU 2016-02 was effective for public companies for fiscal year beginning after December 15, 2018. As an emerging growth company, Fluence is permitted to defer adoption until the non -public company adoption date, i.e. annual periods starting after December 15, 2021. Early application is permitted for all entities. The FASB has issued several amendments to ASU 2016-02, including ASU 2018-11, Leases (Topic 842): Targeted Improvements that introduced an additional transition method permitting an entity to initially apply the new lease standard at the adoption date and recognize a cumulative-effect adjustment to the opening balance of retained earnings in the period of adoption. ASU 2016- 02 includes optional practical expedients intended to reduce the cost and complexity to implement the new lease standard, such as an option to maintain the current lease classification for all existing lease arrangements and the option to use hindsight in evaluating lessee options to extend or terminate a lease. The Company’s existing lease population is mainly comprised of operating leases for office space. It plans to utilize the available practical expedients to record the impact of adoption prospectively, maintain the current lease classification for all existing leasing arrangements, and use hindsight in determining the lease term. The Company is currently evaluating the impact of adoption on its consolidated financial statements.</w:t>
      </w:r>
    </w:p>
    <w:p>
      <w:pPr>
        <w:spacing w:after="0" w:line="116" w:lineRule="exact"/>
        <w:rPr>
          <w:sz w:val="20"/>
          <w:szCs w:val="20"/>
          <w:color w:val="auto"/>
        </w:rPr>
      </w:pPr>
    </w:p>
    <w:p>
      <w:pPr>
        <w:ind w:left="1260" w:right="1079" w:firstLine="360"/>
        <w:spacing w:after="0" w:line="291"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This guidance removes certain exceptions related to the approach for</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intraperiod tax allocations, the methodology for calculating income taxes in an interim period, and the recognition of deferred tax liabilities for outside basis differences. The guidance also clarifies and simplifies other areas of ASC 740. ASU 2019-12 is effective for the Company on October 1, 2022. Certain amendments must be applied on a prospective basis, certain amendments must be applied on a retrospective basis, and certain amendments must be applied on a modified retrospective basis through a cumulative-effect adjustment to retained earnings/(deficit) in the period of adoption. The Company is evaluating the impact of this guidance as well as timing of adoption.</w:t>
      </w:r>
    </w:p>
    <w:p>
      <w:pPr>
        <w:spacing w:after="0" w:line="114"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 xml:space="preserve">In February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This standard updates the impairment model for financial assets measured at amortized cost, known as the Current Expected Credit Loss (“CECL”) model. For trade and other receivables, held-to-maturity debt securities, loans and other instruments, entities will be required to use a new forward-looking expected loss model that generally will result in the earlier recognition of allowance for losses. ASU 2016-13 was effective for public companies for annual periods starting after December 15, 2019. As an EGC, Fluence is permitted to defer adoption until the non-public company adoption date, i.e. annual periods starting after December 15, 2022. Early adoption is permitted. There are various transition methods available upon adoption. The Company is currently evaluating the impact of adoption on its consolidated financial statements.</w:t>
      </w:r>
    </w:p>
    <w:p>
      <w:pPr>
        <w:spacing w:after="0" w:line="127"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Framework—Changes to the Disclosure Requirements for Fair Value Measurement, </w:t>
      </w:r>
      <w:r>
        <w:rPr>
          <w:rFonts w:ascii="Arial" w:cs="Arial" w:eastAsia="Arial" w:hAnsi="Arial"/>
          <w:sz w:val="17"/>
          <w:szCs w:val="17"/>
          <w:color w:val="auto"/>
        </w:rPr>
        <w:t>which amends ASC 820</w:t>
      </w:r>
      <w:r>
        <w:rPr>
          <w:rFonts w:ascii="Arial" w:cs="Arial" w:eastAsia="Arial" w:hAnsi="Arial"/>
          <w:sz w:val="17"/>
          <w:szCs w:val="17"/>
          <w:i w:val="1"/>
          <w:iCs w:val="1"/>
          <w:color w:val="auto"/>
        </w:rPr>
        <w:t xml:space="preserve"> </w:t>
      </w:r>
      <w:r>
        <w:rPr>
          <w:rFonts w:ascii="Arial" w:cs="Arial" w:eastAsia="Arial" w:hAnsi="Arial"/>
          <w:sz w:val="17"/>
          <w:szCs w:val="17"/>
          <w:color w:val="auto"/>
        </w:rPr>
        <w:t>to add, remove, and modify fair value measurement disclosure requirements. New disclosures required for public companies under ASU 2018-13 include Level 3 changes in unrealized gains or losses and Level 3 range and weighted average used to develop significant unobservable inputs. ASU 2018-13 is effective for the Company beginning October 1, 2020, it is not expected that the adoption of this standard will have material effect on the Company’s consolidated financial statements.</w:t>
      </w:r>
    </w:p>
    <w:p>
      <w:pPr>
        <w:spacing w:after="0" w:line="110"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Facilitation of the Effects of 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Reform on Financial Reporting (Topic 848). </w:t>
      </w:r>
      <w:r>
        <w:rPr>
          <w:rFonts w:ascii="Arial" w:cs="Arial" w:eastAsia="Arial" w:hAnsi="Arial"/>
          <w:sz w:val="17"/>
          <w:szCs w:val="17"/>
          <w:color w:val="auto"/>
        </w:rPr>
        <w:t>The ASU provides optional expedients and exceptions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applying GAAP to transactions affected by reference rate (e.g., the London Inter-Bank Offer Rate) reform if certain criteria are met, for a limited period of time to ease the potential burden in accounting for (or recognizing the effects of) reference rate reform on financial reporting. The ASU is effective as of</w:t>
      </w:r>
    </w:p>
    <w:p>
      <w:pPr>
        <w:spacing w:after="0" w:line="3"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March 12, 2020 through December 31, 2022. The Company will evaluate transactions or contract modifications occurring as a result of reference rate reform and determine whether to apply the optional guidance on an ongoing basis. The ASU is currently not expected to have a material impact on our consolidated financial statements.</w:t>
      </w:r>
    </w:p>
    <w:p>
      <w:pPr>
        <w:spacing w:after="0" w:line="189" w:lineRule="exact"/>
        <w:rPr>
          <w:sz w:val="20"/>
          <w:szCs w:val="20"/>
          <w:color w:val="auto"/>
        </w:rPr>
      </w:pPr>
    </w:p>
    <w:p>
      <w:pPr>
        <w:ind w:left="1620" w:hanging="360"/>
        <w:spacing w:after="0"/>
        <w:tabs>
          <w:tab w:leader="none" w:pos="16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presents the Company’s revenues disaggregated by contract type (in thousands):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Fiscal Year Ended</w:t>
            </w:r>
          </w:p>
        </w:tc>
      </w:tr>
      <w:tr>
        <w:trPr>
          <w:trHeight w:val="186"/>
        </w:trPr>
        <w:tc>
          <w:tcPr>
            <w:tcW w:w="5240" w:type="dxa"/>
            <w:vAlign w:val="bottom"/>
          </w:tcPr>
          <w:p>
            <w:pPr>
              <w:spacing w:after="0"/>
              <w:rPr>
                <w:sz w:val="16"/>
                <w:szCs w:val="16"/>
                <w:color w:val="auto"/>
              </w:rPr>
            </w:pPr>
          </w:p>
        </w:tc>
        <w:tc>
          <w:tcPr>
            <w:tcW w:w="152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September 30,</w:t>
            </w:r>
          </w:p>
        </w:tc>
      </w:tr>
      <w:tr>
        <w:trPr>
          <w:trHeight w:val="25"/>
        </w:trPr>
        <w:tc>
          <w:tcPr>
            <w:tcW w:w="5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524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r>
      <w:tr>
        <w:trPr>
          <w:trHeight w:val="25"/>
        </w:trPr>
        <w:tc>
          <w:tcPr>
            <w:tcW w:w="5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 from sale of battery-based energy storage products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$556,681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$88,830</w:t>
            </w: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Revenue from services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3,773</w:t>
            </w:r>
          </w:p>
        </w:tc>
        <w:tc>
          <w:tcPr>
            <w:tcW w:w="600" w:type="dxa"/>
            <w:vAlign w:val="bottom"/>
          </w:tcPr>
          <w:p>
            <w:pPr>
              <w:jc w:val="right"/>
              <w:spacing w:after="0"/>
              <w:rPr>
                <w:sz w:val="20"/>
                <w:szCs w:val="20"/>
                <w:color w:val="auto"/>
              </w:rPr>
            </w:pPr>
            <w:r>
              <w:rPr>
                <w:rFonts w:ascii="Arial" w:cs="Arial" w:eastAsia="Arial" w:hAnsi="Arial"/>
                <w:sz w:val="18"/>
                <w:szCs w:val="18"/>
                <w:color w:val="auto"/>
              </w:rPr>
              <w:t>2,326</w:t>
            </w:r>
          </w:p>
        </w:tc>
      </w:tr>
      <w:tr>
        <w:trPr>
          <w:trHeight w:val="26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0"/>
        </w:trPr>
        <w:tc>
          <w:tcPr>
            <w:tcW w:w="5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64"/>
        </w:trPr>
        <w:tc>
          <w:tcPr>
            <w:tcW w:w="5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$561,323</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$92,151</w:t>
            </w:r>
          </w:p>
        </w:tc>
      </w:tr>
      <w:tr>
        <w:trPr>
          <w:trHeight w:val="27"/>
        </w:trPr>
        <w:tc>
          <w:tcPr>
            <w:tcW w:w="524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-719455</wp:posOffset>
            </wp:positionV>
            <wp:extent cx="39090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The following table presents the Company’s revenue disaggregated by geographical region. Revenues are attributed to countries based on location of customers (in thousands):</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Fiscal Year Ended</w:t>
            </w:r>
          </w:p>
        </w:tc>
      </w:tr>
      <w:tr>
        <w:trPr>
          <w:trHeight w:val="186"/>
        </w:trPr>
        <w:tc>
          <w:tcPr>
            <w:tcW w:w="5240" w:type="dxa"/>
            <w:vAlign w:val="bottom"/>
          </w:tcPr>
          <w:p>
            <w:pPr>
              <w:spacing w:after="0"/>
              <w:rPr>
                <w:sz w:val="16"/>
                <w:szCs w:val="16"/>
                <w:color w:val="auto"/>
              </w:rPr>
            </w:pPr>
          </w:p>
        </w:tc>
        <w:tc>
          <w:tcPr>
            <w:tcW w:w="152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5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7"/>
        </w:trPr>
        <w:tc>
          <w:tcPr>
            <w:tcW w:w="524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r>
      <w:tr>
        <w:trPr>
          <w:trHeight w:val="26"/>
        </w:trPr>
        <w:tc>
          <w:tcPr>
            <w:tcW w:w="5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$318,920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$41,739</w:t>
            </w: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Philippines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191,530</w:t>
            </w:r>
          </w:p>
        </w:tc>
        <w:tc>
          <w:tcPr>
            <w:tcW w:w="60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5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26,897</w:t>
            </w:r>
          </w:p>
        </w:tc>
      </w:tr>
      <w:tr>
        <w:trPr>
          <w:trHeight w:val="256"/>
        </w:trPr>
        <w:tc>
          <w:tcPr>
            <w:tcW w:w="5240" w:type="dxa"/>
            <w:vAlign w:val="bottom"/>
          </w:tcPr>
          <w:p>
            <w:pPr>
              <w:spacing w:after="0"/>
              <w:rPr>
                <w:sz w:val="20"/>
                <w:szCs w:val="20"/>
                <w:color w:val="auto"/>
              </w:rPr>
            </w:pPr>
            <w:r>
              <w:rPr>
                <w:rFonts w:ascii="Arial" w:cs="Arial" w:eastAsia="Arial" w:hAnsi="Arial"/>
                <w:sz w:val="18"/>
                <w:szCs w:val="18"/>
                <w:color w:val="auto"/>
              </w:rPr>
              <w:t>Chile</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12,103</w:t>
            </w: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5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Switzerland</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9,967</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w:t>
            </w:r>
          </w:p>
        </w:tc>
      </w:tr>
      <w:tr>
        <w:trPr>
          <w:trHeight w:val="20"/>
        </w:trPr>
        <w:tc>
          <w:tcPr>
            <w:tcW w:w="5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63"/>
        </w:trPr>
        <w:tc>
          <w:tcPr>
            <w:tcW w:w="5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$561,323</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$92,151</w:t>
            </w:r>
          </w:p>
        </w:tc>
      </w:tr>
      <w:tr>
        <w:trPr>
          <w:trHeight w:val="27"/>
        </w:trPr>
        <w:tc>
          <w:tcPr>
            <w:tcW w:w="524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-1370965</wp:posOffset>
            </wp:positionV>
            <wp:extent cx="39090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revenue</w:t>
      </w:r>
    </w:p>
    <w:p>
      <w:pPr>
        <w:spacing w:after="0" w:line="148"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Deferred revenue represents the excess billings over the amount of revenue recognized to date. Deferred revenue from related parties is included in payables and deferred revenue with related parties on the Company’s consolidated balance sheets. The following table provides information about deferred revenue from contracts with customers (in thousands):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 September 30</w:t>
            </w:r>
          </w:p>
        </w:tc>
      </w:tr>
      <w:tr>
        <w:trPr>
          <w:trHeight w:val="25"/>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52,980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$ 12,071</w:t>
            </w:r>
          </w:p>
        </w:tc>
        <w:tc>
          <w:tcPr>
            <w:tcW w:w="60" w:type="dxa"/>
            <w:vAlign w:val="bottom"/>
          </w:tcPr>
          <w:p>
            <w:pPr>
              <w:spacing w:after="0"/>
              <w:rPr>
                <w:sz w:val="21"/>
                <w:szCs w:val="2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Additions</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120,852</w:t>
            </w:r>
          </w:p>
        </w:tc>
        <w:tc>
          <w:tcPr>
            <w:tcW w:w="660" w:type="dxa"/>
            <w:vAlign w:val="bottom"/>
          </w:tcPr>
          <w:p>
            <w:pPr>
              <w:jc w:val="right"/>
              <w:spacing w:after="0"/>
              <w:rPr>
                <w:sz w:val="20"/>
                <w:szCs w:val="20"/>
                <w:color w:val="auto"/>
              </w:rPr>
            </w:pPr>
            <w:r>
              <w:rPr>
                <w:rFonts w:ascii="Arial" w:cs="Arial" w:eastAsia="Arial" w:hAnsi="Arial"/>
                <w:sz w:val="18"/>
                <w:szCs w:val="18"/>
                <w:color w:val="auto"/>
              </w:rPr>
              <w:t>51,129</w:t>
            </w:r>
          </w:p>
        </w:tc>
        <w:tc>
          <w:tcPr>
            <w:tcW w:w="60" w:type="dxa"/>
            <w:vAlign w:val="bottom"/>
          </w:tcPr>
          <w:p>
            <w:pPr>
              <w:spacing w:after="0"/>
              <w:rPr>
                <w:sz w:val="22"/>
                <w:szCs w:val="22"/>
                <w:color w:val="auto"/>
              </w:rPr>
            </w:pPr>
          </w:p>
        </w:tc>
      </w:tr>
      <w:tr>
        <w:trPr>
          <w:trHeight w:val="229"/>
        </w:trPr>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 related to amounts that were included in</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2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 of deferred revenue</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(49,991)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(10,220)</w:t>
            </w:r>
          </w:p>
        </w:tc>
        <w:tc>
          <w:tcPr>
            <w:tcW w:w="60" w:type="dxa"/>
            <w:vAlign w:val="bottom"/>
          </w:tcPr>
          <w:p>
            <w:pPr>
              <w:spacing w:after="0"/>
              <w:rPr>
                <w:sz w:val="20"/>
                <w:szCs w:val="20"/>
                <w:color w:val="auto"/>
              </w:rPr>
            </w:pPr>
          </w:p>
        </w:tc>
      </w:tr>
      <w:tr>
        <w:trPr>
          <w:trHeight w:val="20"/>
        </w:trPr>
        <w:tc>
          <w:tcPr>
            <w:tcW w:w="5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Deferred revenue end of period</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$123,841</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$ 52,980</w:t>
            </w:r>
          </w:p>
        </w:tc>
        <w:tc>
          <w:tcPr>
            <w:tcW w:w="60" w:type="dxa"/>
            <w:vAlign w:val="bottom"/>
          </w:tcPr>
          <w:p>
            <w:pPr>
              <w:spacing w:after="0"/>
              <w:rPr>
                <w:sz w:val="22"/>
                <w:szCs w:val="22"/>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Arial" w:cs="Arial" w:eastAsia="Arial" w:hAnsi="Arial"/>
                <w:sz w:val="14"/>
                <w:szCs w:val="14"/>
                <w:b w:val="1"/>
                <w:bCs w:val="1"/>
                <w:color w:val="auto"/>
              </w:rPr>
              <w:t>As of September 30</w:t>
            </w:r>
          </w:p>
        </w:tc>
      </w:tr>
      <w:tr>
        <w:trPr>
          <w:trHeight w:val="25"/>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from related parties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60,968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$ 36,895</w:t>
            </w:r>
          </w:p>
        </w:tc>
        <w:tc>
          <w:tcPr>
            <w:tcW w:w="60" w:type="dxa"/>
            <w:vAlign w:val="bottom"/>
          </w:tcPr>
          <w:p>
            <w:pPr>
              <w:spacing w:after="0"/>
              <w:rPr>
                <w:sz w:val="21"/>
                <w:szCs w:val="2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10,464</w:t>
            </w:r>
          </w:p>
        </w:tc>
        <w:tc>
          <w:tcPr>
            <w:tcW w:w="660" w:type="dxa"/>
            <w:vAlign w:val="bottom"/>
          </w:tcPr>
          <w:p>
            <w:pPr>
              <w:jc w:val="right"/>
              <w:spacing w:after="0"/>
              <w:rPr>
                <w:sz w:val="20"/>
                <w:szCs w:val="20"/>
                <w:color w:val="auto"/>
              </w:rPr>
            </w:pPr>
            <w:r>
              <w:rPr>
                <w:rFonts w:ascii="Arial" w:cs="Arial" w:eastAsia="Arial" w:hAnsi="Arial"/>
                <w:sz w:val="18"/>
                <w:szCs w:val="18"/>
                <w:color w:val="auto"/>
              </w:rPr>
              <w:t>46,922</w:t>
            </w:r>
          </w:p>
        </w:tc>
        <w:tc>
          <w:tcPr>
            <w:tcW w:w="60" w:type="dxa"/>
            <w:vAlign w:val="bottom"/>
          </w:tcPr>
          <w:p>
            <w:pPr>
              <w:spacing w:after="0"/>
              <w:rPr>
                <w:sz w:val="22"/>
                <w:szCs w:val="22"/>
                <w:color w:val="auto"/>
              </w:rPr>
            </w:pPr>
          </w:p>
        </w:tc>
      </w:tr>
      <w:tr>
        <w:trPr>
          <w:trHeight w:val="229"/>
        </w:trPr>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 related to amounts that were included in</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2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 of deferred revenue</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(60,007)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(22,849)</w:t>
            </w:r>
          </w:p>
        </w:tc>
        <w:tc>
          <w:tcPr>
            <w:tcW w:w="60" w:type="dxa"/>
            <w:vAlign w:val="bottom"/>
          </w:tcPr>
          <w:p>
            <w:pPr>
              <w:spacing w:after="0"/>
              <w:rPr>
                <w:sz w:val="20"/>
                <w:szCs w:val="20"/>
                <w:color w:val="auto"/>
              </w:rPr>
            </w:pPr>
          </w:p>
        </w:tc>
      </w:tr>
      <w:tr>
        <w:trPr>
          <w:trHeight w:val="20"/>
        </w:trPr>
        <w:tc>
          <w:tcPr>
            <w:tcW w:w="5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Deferred revenue from related parties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11,425</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$ 60,968</w:t>
            </w:r>
          </w:p>
        </w:tc>
        <w:tc>
          <w:tcPr>
            <w:tcW w:w="60" w:type="dxa"/>
            <w:vAlign w:val="bottom"/>
          </w:tcPr>
          <w:p>
            <w:pPr>
              <w:spacing w:after="0"/>
              <w:rPr>
                <w:sz w:val="22"/>
                <w:szCs w:val="22"/>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-2150745</wp:posOffset>
            </wp:positionV>
            <wp:extent cx="38658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6588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-856615</wp:posOffset>
            </wp:positionV>
            <wp:extent cx="38658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Remaining performance obligations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terminate contracts or defer the timing of its services and their payments to the Company. As of September 30, 2020, the Company had $992,090 thousand of remaining performance obligations related to its battery storage product contracts, the majority of which we expect to recognize in revenue in the next 12 months. The Company also had $156,481 thousand of remaining performance obligations related to operational service contracts including maintenance, monitoring, and other minor services, of which we expect to recognize 35%</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0" w:name="page211"/>
    <w:bookmarkEnd w:id="210"/>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380"/>
        <w:spacing w:after="0" w:line="248" w:lineRule="auto"/>
        <w:rPr>
          <w:sz w:val="20"/>
          <w:szCs w:val="20"/>
          <w:color w:val="auto"/>
        </w:rPr>
      </w:pPr>
      <w:r>
        <w:rPr>
          <w:rFonts w:ascii="Arial" w:cs="Arial" w:eastAsia="Arial" w:hAnsi="Arial"/>
          <w:sz w:val="18"/>
          <w:szCs w:val="18"/>
          <w:color w:val="auto"/>
        </w:rPr>
        <w:t>within the next five years and the remainder after five years, and $60,160 thousand remaining performance obligations related to capacity guarantees, 35% of which is expected to be recognized within the next five years and the remainder after five years.</w:t>
      </w:r>
    </w:p>
    <w:p>
      <w:pPr>
        <w:spacing w:after="0" w:line="101" w:lineRule="exact"/>
        <w:rPr>
          <w:sz w:val="20"/>
          <w:szCs w:val="20"/>
          <w:color w:val="auto"/>
        </w:rPr>
      </w:pPr>
    </w:p>
    <w:p>
      <w:pPr>
        <w:ind w:left="1260" w:right="1600" w:firstLine="360"/>
        <w:spacing w:after="0" w:line="258" w:lineRule="auto"/>
        <w:rPr>
          <w:sz w:val="20"/>
          <w:szCs w:val="20"/>
          <w:color w:val="auto"/>
        </w:rPr>
      </w:pPr>
      <w:r>
        <w:rPr>
          <w:rFonts w:ascii="Arial" w:cs="Arial" w:eastAsia="Arial" w:hAnsi="Arial"/>
          <w:sz w:val="17"/>
          <w:szCs w:val="17"/>
          <w:color w:val="auto"/>
        </w:rPr>
        <w:t>The Company applied the practical expedient for certain revenue streams to exclude the value of remaining performance obligations for (i) contracts with an original expected term of one year or less or</w:t>
      </w:r>
    </w:p>
    <w:p>
      <w:pPr>
        <w:spacing w:after="0" w:line="1" w:lineRule="exact"/>
        <w:rPr>
          <w:sz w:val="20"/>
          <w:szCs w:val="20"/>
          <w:color w:val="auto"/>
        </w:rPr>
      </w:pPr>
    </w:p>
    <w:p>
      <w:pPr>
        <w:ind w:left="1260" w:right="1500"/>
        <w:spacing w:after="0" w:line="243" w:lineRule="auto"/>
        <w:tabs>
          <w:tab w:leader="none" w:pos="154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 in proportion to the amount we have the right to invoice for services performed.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Costs to obtain or fulfill a contract</w:t>
      </w:r>
    </w:p>
    <w:p>
      <w:pPr>
        <w:spacing w:after="0" w:line="162" w:lineRule="exact"/>
        <w:rPr>
          <w:sz w:val="20"/>
          <w:szCs w:val="20"/>
          <w:color w:val="auto"/>
        </w:rPr>
      </w:pPr>
    </w:p>
    <w:p>
      <w:pPr>
        <w:ind w:left="1260" w:right="1420" w:firstLine="360"/>
        <w:spacing w:after="0" w:line="248" w:lineRule="auto"/>
        <w:rPr>
          <w:sz w:val="20"/>
          <w:szCs w:val="20"/>
          <w:color w:val="auto"/>
        </w:rPr>
      </w:pPr>
      <w:r>
        <w:rPr>
          <w:rFonts w:ascii="Arial" w:cs="Arial" w:eastAsia="Arial" w:hAnsi="Arial"/>
          <w:sz w:val="18"/>
          <w:szCs w:val="18"/>
          <w:color w:val="auto"/>
        </w:rPr>
        <w:t>The Company recognizes the incremental costs incurred to obtain or fulfill a contract with a customer as an asset when these costs are recoverable. These costs consist primarily of sales commissions and bid/proposal costs.</w:t>
      </w:r>
    </w:p>
    <w:p>
      <w:pPr>
        <w:spacing w:after="0" w:line="114" w:lineRule="exact"/>
        <w:rPr>
          <w:sz w:val="20"/>
          <w:szCs w:val="20"/>
          <w:color w:val="auto"/>
        </w:rPr>
      </w:pPr>
    </w:p>
    <w:p>
      <w:pPr>
        <w:ind w:left="1260" w:right="1320" w:firstLine="360"/>
        <w:spacing w:after="0" w:line="248" w:lineRule="auto"/>
        <w:rPr>
          <w:sz w:val="20"/>
          <w:szCs w:val="20"/>
          <w:color w:val="auto"/>
        </w:rPr>
      </w:pPr>
      <w:r>
        <w:rPr>
          <w:rFonts w:ascii="Arial" w:cs="Arial" w:eastAsia="Arial" w:hAnsi="Arial"/>
          <w:sz w:val="18"/>
          <w:szCs w:val="18"/>
          <w:color w:val="auto"/>
        </w:rPr>
        <w:t>As of September 30, 2020, we recorded costs to obtain or fulfill a contract of $2,083 thousand (2019: $768 thousand) within other current assets and $0 thousand (2019: $560 thousand) within other non-current assets on the Company’s consolidated balance sheets.</w:t>
      </w:r>
    </w:p>
    <w:p>
      <w:pPr>
        <w:spacing w:after="0" w:line="101" w:lineRule="exact"/>
        <w:rPr>
          <w:sz w:val="20"/>
          <w:szCs w:val="20"/>
          <w:color w:val="auto"/>
        </w:rPr>
      </w:pPr>
    </w:p>
    <w:p>
      <w:pPr>
        <w:ind w:left="1260" w:right="1500" w:firstLine="360"/>
        <w:spacing w:after="0" w:line="270" w:lineRule="auto"/>
        <w:rPr>
          <w:sz w:val="20"/>
          <w:szCs w:val="20"/>
          <w:color w:val="auto"/>
        </w:rPr>
      </w:pPr>
      <w:r>
        <w:rPr>
          <w:rFonts w:ascii="Arial" w:cs="Arial" w:eastAsia="Arial" w:hAnsi="Arial"/>
          <w:sz w:val="17"/>
          <w:szCs w:val="17"/>
          <w:color w:val="auto"/>
        </w:rPr>
        <w:t>Amortization related to costs to obtain or fulfill a contract was $768 thousand and $418 thousand for fiscal year ended September 30, 2020 and 2019, respectively, which was recorded within sales and marketing on the Company’s consolidated statements of operations and comprehensive loss.</w:t>
      </w:r>
    </w:p>
    <w:p>
      <w:pPr>
        <w:spacing w:after="0" w:line="160" w:lineRule="exact"/>
        <w:rPr>
          <w:sz w:val="20"/>
          <w:szCs w:val="20"/>
          <w:color w:val="auto"/>
        </w:rPr>
      </w:pPr>
    </w:p>
    <w:p>
      <w:pPr>
        <w:ind w:left="1620" w:hanging="360"/>
        <w:spacing w:after="0"/>
        <w:tabs>
          <w:tab w:leader="none" w:pos="16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Net</w:t>
      </w:r>
    </w:p>
    <w:p>
      <w:pPr>
        <w:spacing w:after="0" w:line="161"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 (in thousands):</w:t>
      </w:r>
    </w:p>
    <w:p>
      <w:pPr>
        <w:spacing w:after="0" w:line="163" w:lineRule="exact"/>
        <w:rPr>
          <w:sz w:val="20"/>
          <w:szCs w:val="20"/>
          <w:color w:val="auto"/>
        </w:rPr>
      </w:pPr>
    </w:p>
    <w:tbl>
      <w:tblPr>
        <w:tblLayout w:type="fixed"/>
        <w:tblInd w:w="1980" w:type="dxa"/>
        <w:tblCellMar>
          <w:top w:w="0" w:type="dxa"/>
          <w:left w:w="0" w:type="dxa"/>
          <w:bottom w:w="0" w:type="dxa"/>
          <w:right w:w="0" w:type="dxa"/>
        </w:tblCellMar>
      </w:tblPr>
      <w:tr>
        <w:trPr>
          <w:trHeight w:val="192"/>
        </w:trPr>
        <w:tc>
          <w:tcPr>
            <w:tcW w:w="45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Provision</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29"/>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Batteries and equipment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36,112</w:t>
            </w:r>
          </w:p>
        </w:tc>
        <w:tc>
          <w:tcPr>
            <w:tcW w:w="120" w:type="dxa"/>
            <w:vAlign w:val="bottom"/>
          </w:tcPr>
          <w:p>
            <w:pPr>
              <w:spacing w:after="0"/>
              <w:rPr>
                <w:sz w:val="19"/>
                <w:szCs w:val="19"/>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36,112</w:t>
            </w:r>
          </w:p>
        </w:tc>
        <w:tc>
          <w:tcPr>
            <w:tcW w:w="0" w:type="dxa"/>
            <w:vAlign w:val="bottom"/>
          </w:tcPr>
          <w:p>
            <w:pPr>
              <w:spacing w:after="0"/>
              <w:rPr>
                <w:sz w:val="1"/>
                <w:szCs w:val="1"/>
                <w:color w:val="auto"/>
              </w:rPr>
            </w:pPr>
          </w:p>
        </w:tc>
      </w:tr>
      <w:tr>
        <w:trPr>
          <w:trHeight w:val="230"/>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Cases, inverters and other major equipment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Spare parts</w:t>
            </w:r>
          </w:p>
        </w:tc>
        <w:tc>
          <w:tcPr>
            <w:tcW w:w="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37,340</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37,310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8"/>
                <w:szCs w:val="18"/>
                <w:b w:val="1"/>
                <w:bCs w:val="1"/>
                <w:color w:val="auto"/>
              </w:rPr>
              <w:t>September 30, 2019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Batteries and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9,504</w:t>
            </w: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Cases, inverters and other major equipment</w:t>
            </w: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Spare parts</w:t>
            </w: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10,684</w:t>
            </w:r>
          </w:p>
        </w:tc>
        <w:tc>
          <w:tcPr>
            <w:tcW w:w="120" w:type="dxa"/>
            <w:vAlign w:val="bottom"/>
          </w:tcPr>
          <w:p>
            <w:pPr>
              <w:spacing w:after="0"/>
              <w:rPr>
                <w:sz w:val="21"/>
                <w:szCs w:val="21"/>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10,684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-967740</wp:posOffset>
            </wp:positionV>
            <wp:extent cx="39173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-1567815</wp:posOffset>
            </wp:positionV>
            <wp:extent cx="39090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provision for loss on inventories is associated with the inventory in Australia.</w:t>
      </w:r>
    </w:p>
    <w:p>
      <w:pPr>
        <w:spacing w:after="0" w:line="221" w:lineRule="exact"/>
        <w:rPr>
          <w:sz w:val="20"/>
          <w:szCs w:val="20"/>
          <w:color w:val="auto"/>
        </w:rPr>
      </w:pPr>
    </w:p>
    <w:p>
      <w:pPr>
        <w:ind w:left="1620" w:hanging="360"/>
        <w:spacing w:after="0"/>
        <w:tabs>
          <w:tab w:leader="none" w:pos="16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48"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 the following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As of September 30</w:t>
            </w:r>
          </w:p>
        </w:tc>
        <w:tc>
          <w:tcPr>
            <w:tcW w:w="1980" w:type="dxa"/>
            <w:vAlign w:val="bottom"/>
          </w:tcPr>
          <w:p>
            <w:pPr>
              <w:spacing w:after="0"/>
              <w:rPr>
                <w:sz w:val="16"/>
                <w:szCs w:val="16"/>
                <w:color w:val="auto"/>
              </w:rPr>
            </w:pPr>
          </w:p>
        </w:tc>
      </w:tr>
      <w:tr>
        <w:trPr>
          <w:trHeight w:val="196"/>
        </w:trPr>
        <w:tc>
          <w:tcPr>
            <w:tcW w:w="1980" w:type="dxa"/>
            <w:vAlign w:val="bottom"/>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980" w:type="dxa"/>
            <w:vAlign w:val="bottom"/>
          </w:tcPr>
          <w:p>
            <w:pPr>
              <w:spacing w:after="0"/>
              <w:rPr>
                <w:sz w:val="17"/>
                <w:szCs w:val="17"/>
                <w:color w:val="auto"/>
              </w:rPr>
            </w:pPr>
          </w:p>
        </w:tc>
      </w:tr>
      <w:tr>
        <w:trPr>
          <w:trHeight w:val="215"/>
        </w:trPr>
        <w:tc>
          <w:tcPr>
            <w:tcW w:w="198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Taxes recoverable</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980" w:type="dxa"/>
            <w:vAlign w:val="bottom"/>
          </w:tcPr>
          <w:p>
            <w:pPr>
              <w:spacing w:after="0"/>
              <w:rPr>
                <w:sz w:val="18"/>
                <w:szCs w:val="18"/>
                <w:color w:val="auto"/>
              </w:rPr>
            </w:pPr>
          </w:p>
        </w:tc>
      </w:tr>
      <w:tr>
        <w:trPr>
          <w:trHeight w:val="230"/>
        </w:trPr>
        <w:tc>
          <w:tcPr>
            <w:tcW w:w="198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Prepaid expenses</w:t>
            </w:r>
          </w:p>
        </w:tc>
        <w:tc>
          <w:tcPr>
            <w:tcW w:w="3620" w:type="dxa"/>
            <w:vAlign w:val="bottom"/>
            <w:gridSpan w:val="3"/>
          </w:tcPr>
          <w:p>
            <w:pPr>
              <w:jc w:val="right"/>
              <w:ind w:right="22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2480" w:type="dxa"/>
            <w:vAlign w:val="bottom"/>
            <w:gridSpan w:val="2"/>
          </w:tcPr>
          <w:p>
            <w:pPr>
              <w:jc w:val="right"/>
              <w:ind w:right="1980"/>
              <w:spacing w:after="0"/>
              <w:rPr>
                <w:sz w:val="20"/>
                <w:szCs w:val="20"/>
                <w:color w:val="auto"/>
              </w:rPr>
            </w:pPr>
            <w:r>
              <w:rPr>
                <w:rFonts w:ascii="Arial" w:cs="Arial" w:eastAsia="Arial" w:hAnsi="Arial"/>
                <w:sz w:val="18"/>
                <w:szCs w:val="18"/>
                <w:color w:val="auto"/>
              </w:rPr>
              <w:t>767</w:t>
            </w:r>
          </w:p>
        </w:tc>
      </w:tr>
      <w:tr>
        <w:trPr>
          <w:trHeight w:val="243"/>
        </w:trPr>
        <w:tc>
          <w:tcPr>
            <w:tcW w:w="1980" w:type="dxa"/>
            <w:vAlign w:val="bottom"/>
          </w:tcPr>
          <w:p>
            <w:pPr>
              <w:spacing w:after="0"/>
              <w:rPr>
                <w:sz w:val="21"/>
                <w:szCs w:val="21"/>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980" w:type="dxa"/>
            <w:vAlign w:val="bottom"/>
          </w:tcPr>
          <w:p>
            <w:pPr>
              <w:spacing w:after="0"/>
              <w:rPr>
                <w:sz w:val="21"/>
                <w:szCs w:val="21"/>
                <w:color w:val="auto"/>
              </w:rPr>
            </w:pPr>
          </w:p>
        </w:tc>
      </w:tr>
      <w:tr>
        <w:trPr>
          <w:trHeight w:val="243"/>
        </w:trPr>
        <w:tc>
          <w:tcPr>
            <w:tcW w:w="19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Land held for resale</w:t>
            </w:r>
          </w:p>
        </w:tc>
        <w:tc>
          <w:tcPr>
            <w:tcW w:w="3620" w:type="dxa"/>
            <w:vAlign w:val="bottom"/>
            <w:gridSpan w:val="3"/>
          </w:tcPr>
          <w:p>
            <w:pPr>
              <w:jc w:val="right"/>
              <w:ind w:right="22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480" w:type="dxa"/>
            <w:vAlign w:val="bottom"/>
            <w:gridSpan w:val="2"/>
          </w:tcPr>
          <w:p>
            <w:pPr>
              <w:jc w:val="right"/>
              <w:ind w:right="1980"/>
              <w:spacing w:after="0"/>
              <w:rPr>
                <w:sz w:val="20"/>
                <w:szCs w:val="20"/>
                <w:color w:val="auto"/>
              </w:rPr>
            </w:pPr>
            <w:r>
              <w:rPr>
                <w:rFonts w:ascii="Arial" w:cs="Arial" w:eastAsia="Arial" w:hAnsi="Arial"/>
                <w:sz w:val="18"/>
                <w:szCs w:val="18"/>
                <w:color w:val="auto"/>
              </w:rPr>
              <w:t>—</w:t>
            </w:r>
          </w:p>
        </w:tc>
      </w:tr>
      <w:tr>
        <w:trPr>
          <w:trHeight w:val="243"/>
        </w:trPr>
        <w:tc>
          <w:tcPr>
            <w:tcW w:w="1980" w:type="dxa"/>
            <w:vAlign w:val="bottom"/>
          </w:tcPr>
          <w:p>
            <w:pPr>
              <w:spacing w:after="0"/>
              <w:rPr>
                <w:sz w:val="21"/>
                <w:szCs w:val="21"/>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 cost</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980" w:type="dxa"/>
            <w:vAlign w:val="bottom"/>
          </w:tcPr>
          <w:p>
            <w:pPr>
              <w:spacing w:after="0"/>
              <w:rPr>
                <w:sz w:val="21"/>
                <w:szCs w:val="21"/>
                <w:color w:val="auto"/>
              </w:rPr>
            </w:pPr>
          </w:p>
        </w:tc>
      </w:tr>
      <w:tr>
        <w:trPr>
          <w:trHeight w:val="243"/>
        </w:trPr>
        <w:tc>
          <w:tcPr>
            <w:tcW w:w="19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80" w:type="dxa"/>
            <w:vAlign w:val="bottom"/>
            <w:gridSpan w:val="2"/>
          </w:tcPr>
          <w:p>
            <w:pPr>
              <w:jc w:val="right"/>
              <w:ind w:right="1980"/>
              <w:spacing w:after="0"/>
              <w:rPr>
                <w:sz w:val="20"/>
                <w:szCs w:val="20"/>
                <w:color w:val="auto"/>
              </w:rPr>
            </w:pPr>
            <w:r>
              <w:rPr>
                <w:rFonts w:ascii="Arial" w:cs="Arial" w:eastAsia="Arial" w:hAnsi="Arial"/>
                <w:sz w:val="18"/>
                <w:szCs w:val="18"/>
                <w:color w:val="auto"/>
                <w:w w:val="87"/>
              </w:rPr>
              <w:t>20,000</w:t>
            </w:r>
          </w:p>
        </w:tc>
      </w:tr>
      <w:tr>
        <w:trPr>
          <w:trHeight w:val="270"/>
        </w:trPr>
        <w:tc>
          <w:tcPr>
            <w:tcW w:w="1980" w:type="dxa"/>
            <w:vAlign w:val="bottom"/>
          </w:tcPr>
          <w:p>
            <w:pPr>
              <w:spacing w:after="0"/>
              <w:rPr>
                <w:sz w:val="23"/>
                <w:szCs w:val="2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00" w:type="dxa"/>
            <w:vAlign w:val="bottom"/>
            <w:tcBorders>
              <w:right w:val="single" w:sz="8" w:color="CCEEFF"/>
            </w:tcBorders>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980" w:type="dxa"/>
            <w:vAlign w:val="bottom"/>
          </w:tcPr>
          <w:p>
            <w:pPr>
              <w:spacing w:after="0"/>
              <w:rPr>
                <w:sz w:val="23"/>
                <w:szCs w:val="23"/>
                <w:color w:val="auto"/>
              </w:rPr>
            </w:pPr>
          </w:p>
        </w:tc>
      </w:tr>
      <w:tr>
        <w:trPr>
          <w:trHeight w:val="20"/>
        </w:trPr>
        <w:tc>
          <w:tcPr>
            <w:tcW w:w="1980" w:type="dxa"/>
            <w:vAlign w:val="bottom"/>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9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19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8,886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2480" w:type="dxa"/>
            <w:vAlign w:val="bottom"/>
            <w:gridSpan w:val="2"/>
          </w:tcPr>
          <w:p>
            <w:pPr>
              <w:jc w:val="right"/>
              <w:ind w:right="1980"/>
              <w:spacing w:after="0"/>
              <w:rPr>
                <w:sz w:val="20"/>
                <w:szCs w:val="20"/>
                <w:color w:val="auto"/>
              </w:rPr>
            </w:pPr>
            <w:r>
              <w:rPr>
                <w:rFonts w:ascii="Arial" w:cs="Arial" w:eastAsia="Arial" w:hAnsi="Arial"/>
                <w:sz w:val="18"/>
                <w:szCs w:val="18"/>
                <w:color w:val="auto"/>
                <w:w w:val="87"/>
              </w:rPr>
              <w:t>26,138</w:t>
            </w:r>
          </w:p>
        </w:tc>
      </w:tr>
      <w:tr>
        <w:trPr>
          <w:trHeight w:val="21"/>
        </w:trPr>
        <w:tc>
          <w:tcPr>
            <w:tcW w:w="1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601"/>
        </w:trPr>
        <w:tc>
          <w:tcPr>
            <w:tcW w:w="19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20" w:type="dxa"/>
            <w:vAlign w:val="bottom"/>
            <w:gridSpan w:val="3"/>
          </w:tcPr>
          <w:p>
            <w:pPr>
              <w:jc w:val="right"/>
              <w:ind w:right="2620"/>
              <w:spacing w:after="0"/>
              <w:rPr>
                <w:sz w:val="20"/>
                <w:szCs w:val="20"/>
                <w:color w:val="auto"/>
              </w:rPr>
            </w:pPr>
            <w:r>
              <w:rPr>
                <w:rFonts w:ascii="Arial" w:cs="Arial" w:eastAsia="Arial" w:hAnsi="Arial"/>
                <w:sz w:val="18"/>
                <w:szCs w:val="18"/>
                <w:color w:val="auto"/>
              </w:rPr>
              <w:t>F-15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99"/>
        </w:trPr>
        <w:tc>
          <w:tcPr>
            <w:tcW w:w="19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-1936750</wp:posOffset>
            </wp:positionV>
            <wp:extent cx="39090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1" w:name="page212"/>
    <w:bookmarkEnd w:id="211"/>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As of September 30, 2019, short-term investments consisted of a $20,000 thousand bank deposit collateralized for outstanding bank guarantee (Note 12). In 2020, collaterals were released and deposits closed.</w:t>
      </w:r>
    </w:p>
    <w:p>
      <w:pPr>
        <w:spacing w:after="0" w:line="193" w:lineRule="exact"/>
        <w:rPr>
          <w:sz w:val="20"/>
          <w:szCs w:val="20"/>
          <w:color w:val="auto"/>
        </w:rPr>
      </w:pPr>
    </w:p>
    <w:p>
      <w:pPr>
        <w:ind w:left="1620" w:hanging="360"/>
        <w:spacing w:after="0"/>
        <w:tabs>
          <w:tab w:leader="none" w:pos="1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61"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7"/>
          <w:szCs w:val="17"/>
          <w:color w:val="auto"/>
        </w:rPr>
        <w:t>Property and equipment are stated at amortized cost and consisted of the following (in thousands):</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6"/>
              </w:rPr>
              <w:t>As of September 30,</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6"/>
        </w:trPr>
        <w:tc>
          <w:tcPr>
            <w:tcW w:w="4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r>
      <w:tr>
        <w:trPr>
          <w:trHeight w:val="198"/>
        </w:trPr>
        <w:tc>
          <w:tcPr>
            <w:tcW w:w="4200" w:type="dxa"/>
            <w:vAlign w:val="bottom"/>
          </w:tcPr>
          <w:p>
            <w:pPr>
              <w:spacing w:after="0"/>
              <w:rPr>
                <w:sz w:val="17"/>
                <w:szCs w:val="17"/>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r>
      <w:tr>
        <w:trPr>
          <w:trHeight w:val="26"/>
        </w:trPr>
        <w:tc>
          <w:tcPr>
            <w:tcW w:w="4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3"/>
        </w:trPr>
        <w:tc>
          <w:tcPr>
            <w:tcW w:w="4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6"/>
        </w:trPr>
        <w:tc>
          <w:tcPr>
            <w:tcW w:w="4200" w:type="dxa"/>
            <w:vAlign w:val="bottom"/>
          </w:tcPr>
          <w:p>
            <w:pPr>
              <w:spacing w:after="0"/>
              <w:rPr>
                <w:sz w:val="16"/>
                <w:szCs w:val="16"/>
                <w:color w:val="auto"/>
              </w:rPr>
            </w:pPr>
          </w:p>
        </w:tc>
        <w:tc>
          <w:tcPr>
            <w:tcW w:w="13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Depreciation</w:t>
            </w:r>
          </w:p>
        </w:tc>
        <w:tc>
          <w:tcPr>
            <w:tcW w:w="500" w:type="dxa"/>
            <w:vAlign w:val="bottom"/>
          </w:tcPr>
          <w:p>
            <w:pPr>
              <w:spacing w:after="0"/>
              <w:rPr>
                <w:sz w:val="16"/>
                <w:szCs w:val="16"/>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Net</w:t>
            </w:r>
          </w:p>
        </w:tc>
      </w:tr>
      <w:tr>
        <w:trPr>
          <w:trHeight w:val="26"/>
        </w:trPr>
        <w:tc>
          <w:tcPr>
            <w:tcW w:w="4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$1,865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56"/>
        </w:trPr>
        <w:tc>
          <w:tcPr>
            <w:tcW w:w="4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2,689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1,446</w:t>
            </w:r>
          </w:p>
        </w:tc>
      </w:tr>
      <w:tr>
        <w:trPr>
          <w:trHeight w:val="257"/>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IT Equipment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57"/>
        </w:trPr>
        <w:tc>
          <w:tcPr>
            <w:tcW w:w="4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189</w:t>
            </w:r>
          </w:p>
        </w:tc>
      </w:tr>
      <w:tr>
        <w:trPr>
          <w:trHeight w:val="257"/>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63"/>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90"/>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$6,252</w:t>
            </w:r>
          </w:p>
        </w:tc>
        <w:tc>
          <w:tcPr>
            <w:tcW w:w="2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1,082</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-213995</wp:posOffset>
            </wp:positionV>
            <wp:extent cx="14605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-213995</wp:posOffset>
            </wp:positionV>
            <wp:extent cx="14605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-213995</wp:posOffset>
            </wp:positionV>
            <wp:extent cx="1460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5915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59156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-1207770</wp:posOffset>
            </wp:positionV>
            <wp:extent cx="137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35833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-1464945</wp:posOffset>
            </wp:positionV>
            <wp:extent cx="1371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-1464945</wp:posOffset>
            </wp:positionV>
            <wp:extent cx="137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-1464945</wp:posOffset>
            </wp:positionV>
            <wp:extent cx="137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Total depreciation expense was $544 thousand for the fiscal year ended September 30, 2020. (2019:</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$412 thousand).</w:t>
      </w:r>
    </w:p>
    <w:p>
      <w:pPr>
        <w:spacing w:after="0" w:line="14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Property and equipment are depreciated over the estimated useful lives of the respective assets on a straight-line basis. The range of estimated lives for the respective assets is as follows:</w:t>
      </w:r>
    </w:p>
    <w:p>
      <w:pPr>
        <w:spacing w:after="0" w:line="116"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62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IT equipment</w:t>
            </w:r>
          </w:p>
        </w:tc>
        <w:tc>
          <w:tcPr>
            <w:tcW w:w="36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6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20" w:type="dxa"/>
            <w:vAlign w:val="bottom"/>
          </w:tcPr>
          <w:p>
            <w:pPr>
              <w:jc w:val="right"/>
              <w:spacing w:after="0"/>
              <w:rPr>
                <w:sz w:val="20"/>
                <w:szCs w:val="20"/>
                <w:color w:val="auto"/>
              </w:rPr>
            </w:pPr>
            <w:r>
              <w:rPr>
                <w:rFonts w:ascii="Arial" w:cs="Arial" w:eastAsia="Arial" w:hAnsi="Arial"/>
                <w:sz w:val="18"/>
                <w:szCs w:val="18"/>
                <w:color w:val="auto"/>
              </w:rPr>
              <w:t>10 years, or lease term if shorter</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Other</w:t>
            </w:r>
          </w:p>
        </w:tc>
        <w:tc>
          <w:tcPr>
            <w:tcW w:w="362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238" w:lineRule="exact"/>
        <w:rPr>
          <w:sz w:val="20"/>
          <w:szCs w:val="20"/>
          <w:color w:val="auto"/>
        </w:rPr>
      </w:pPr>
    </w:p>
    <w:p>
      <w:pPr>
        <w:ind w:left="1620" w:hanging="360"/>
        <w:spacing w:after="0"/>
        <w:tabs>
          <w:tab w:leader="none" w:pos="16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48"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are stated at amortized cost and consist of the following (in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As of September 30,</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20" w:type="dxa"/>
            <w:vAlign w:val="bottom"/>
          </w:tcPr>
          <w:p>
            <w:pPr>
              <w:spacing w:after="0"/>
              <w:rPr>
                <w:sz w:val="3"/>
                <w:szCs w:val="3"/>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Average</w:t>
            </w: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8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9"/>
                <w:szCs w:val="9"/>
                <w:color w:val="auto"/>
              </w:rPr>
            </w:pPr>
          </w:p>
        </w:tc>
        <w:tc>
          <w:tcPr>
            <w:tcW w:w="6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9"/>
                <w:szCs w:val="9"/>
                <w:color w:val="auto"/>
              </w:rPr>
            </w:pPr>
          </w:p>
        </w:tc>
        <w:tc>
          <w:tcPr>
            <w:tcW w:w="5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9"/>
                <w:szCs w:val="9"/>
                <w:color w:val="auto"/>
              </w:rPr>
            </w:pPr>
          </w:p>
        </w:tc>
        <w:tc>
          <w:tcPr>
            <w:tcW w:w="5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9"/>
                <w:szCs w:val="9"/>
                <w:color w:val="auto"/>
              </w:rPr>
            </w:pPr>
          </w:p>
        </w:tc>
        <w:tc>
          <w:tcPr>
            <w:tcW w:w="5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05"/>
        </w:trPr>
        <w:tc>
          <w:tcPr>
            <w:tcW w:w="2820" w:type="dxa"/>
            <w:vAlign w:val="bottom"/>
          </w:tcPr>
          <w:p>
            <w:pPr>
              <w:spacing w:after="0"/>
              <w:rPr>
                <w:sz w:val="9"/>
                <w:szCs w:val="9"/>
                <w:color w:val="auto"/>
              </w:rPr>
            </w:pPr>
          </w:p>
        </w:tc>
        <w:tc>
          <w:tcPr>
            <w:tcW w:w="86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Estimated</w:t>
            </w: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Useful</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8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Lives</w:t>
            </w:r>
          </w:p>
        </w:tc>
        <w:tc>
          <w:tcPr>
            <w:tcW w:w="16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580" w:type="dxa"/>
            <w:vAlign w:val="bottom"/>
          </w:tcPr>
          <w:p>
            <w:pPr>
              <w:spacing w:after="0"/>
              <w:rPr>
                <w:sz w:val="17"/>
                <w:szCs w:val="17"/>
                <w:color w:val="auto"/>
              </w:rPr>
            </w:pPr>
          </w:p>
        </w:tc>
        <w:tc>
          <w:tcPr>
            <w:tcW w:w="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25"/>
        </w:trPr>
        <w:tc>
          <w:tcPr>
            <w:tcW w:w="28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Patents and licenses</w:t>
            </w:r>
          </w:p>
        </w:tc>
        <w:tc>
          <w:tcPr>
            <w:tcW w:w="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3"/>
              </w:rPr>
              <w:t>14 years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$33,100</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$33,100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$6,851</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$4,377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$28,723</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3 years</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$33,165</w:t>
            </w:r>
          </w:p>
        </w:tc>
        <w:tc>
          <w:tcPr>
            <w:tcW w:w="22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$33,136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$6,867</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$4,383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-213995</wp:posOffset>
            </wp:positionV>
            <wp:extent cx="14605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-213995</wp:posOffset>
            </wp:positionV>
            <wp:extent cx="14605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-213995</wp:posOffset>
            </wp:positionV>
            <wp:extent cx="14605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-213995</wp:posOffset>
            </wp:positionV>
            <wp:extent cx="14605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86321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-556895</wp:posOffset>
            </wp:positionV>
            <wp:extent cx="13716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-556895</wp:posOffset>
            </wp:positionV>
            <wp:extent cx="13716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-822325</wp:posOffset>
            </wp:positionV>
            <wp:extent cx="137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-822325</wp:posOffset>
            </wp:positionV>
            <wp:extent cx="1371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-822325</wp:posOffset>
            </wp:positionV>
            <wp:extent cx="1371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23317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22"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Intangible assets are amortized over the estimated useful lives of the respective assets on a straight-line basis. Total amortization expenses for the fiscal year ended September 30, 2020 was $2,484 thousand (2019: $2,479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Total future amortization expense for finite-lived intangible assets was estimated as follows (in thousands):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57"/>
        </w:trPr>
        <w:tc>
          <w:tcPr>
            <w:tcW w:w="6160" w:type="dxa"/>
            <w:vAlign w:val="bottom"/>
          </w:tcPr>
          <w:p>
            <w:pPr>
              <w:spacing w:after="0"/>
              <w:rPr>
                <w:sz w:val="20"/>
                <w:szCs w:val="20"/>
                <w:color w:val="auto"/>
              </w:rPr>
            </w:pPr>
            <w:r>
              <w:rPr>
                <w:rFonts w:ascii="Arial" w:cs="Arial" w:eastAsia="Arial" w:hAnsi="Arial"/>
                <w:sz w:val="18"/>
                <w:szCs w:val="18"/>
                <w:color w:val="auto"/>
              </w:rPr>
              <w:t>Year 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5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57"/>
        </w:trPr>
        <w:tc>
          <w:tcPr>
            <w:tcW w:w="6160" w:type="dxa"/>
            <w:vAlign w:val="bottom"/>
          </w:tcPr>
          <w:p>
            <w:pPr>
              <w:spacing w:after="0"/>
              <w:rPr>
                <w:sz w:val="20"/>
                <w:szCs w:val="20"/>
                <w:color w:val="auto"/>
              </w:rPr>
            </w:pPr>
            <w:r>
              <w:rPr>
                <w:rFonts w:ascii="Arial" w:cs="Arial" w:eastAsia="Arial" w:hAnsi="Arial"/>
                <w:sz w:val="18"/>
                <w:szCs w:val="18"/>
                <w:color w:val="auto"/>
              </w:rPr>
              <w:t>Year 4</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5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r>
      <w:tr>
        <w:trPr>
          <w:trHeight w:val="264"/>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13,882</w:t>
            </w:r>
          </w:p>
        </w:tc>
      </w:tr>
      <w:tr>
        <w:trPr>
          <w:trHeight w:val="295"/>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26,298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-213995</wp:posOffset>
            </wp:positionV>
            <wp:extent cx="391731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72" w:lineRule="exact"/>
        <w:rPr>
          <w:sz w:val="20"/>
          <w:szCs w:val="20"/>
          <w:color w:val="auto"/>
        </w:rPr>
      </w:pPr>
    </w:p>
    <w:p>
      <w:pPr>
        <w:ind w:left="1620" w:hanging="360"/>
        <w:spacing w:after="0"/>
        <w:tabs>
          <w:tab w:leader="none" w:pos="16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48"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7"/>
          <w:szCs w:val="17"/>
          <w:color w:val="auto"/>
        </w:rPr>
        <w:t>On January 1, 2018, $4,727 thousand of goodwill was recognized upon the formation of the Company.</w:t>
      </w:r>
    </w:p>
    <w:p>
      <w:pPr>
        <w:spacing w:after="0" w:line="169"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Goodwill is assessed for impairment annually each year during the Company’s fourth quarter, or when impairment indicators exist. No impairment was recognized for the fiscal year ended September 30, 2020 or 2019.</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The following table presents the goodwill activity (in thousands):</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Goodwill, October 1, 2018</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87"/>
              </w:rPr>
              <w:t>$4,727</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Foreign currency adjustment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September 30, 2019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$4,698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Foreign currency adjustment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5"/>
        </w:trPr>
        <w:tc>
          <w:tcPr>
            <w:tcW w:w="360" w:type="dxa"/>
            <w:vAlign w:val="bottom"/>
          </w:tcPr>
          <w:p>
            <w:pPr>
              <w:spacing w:after="0"/>
              <w:rPr>
                <w:sz w:val="24"/>
                <w:szCs w:val="24"/>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September 30, 2020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$4,731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-213995</wp:posOffset>
            </wp:positionV>
            <wp:extent cx="397764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97764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-556895</wp:posOffset>
            </wp:positionV>
            <wp:extent cx="397764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59" w:lineRule="exact"/>
        <w:rPr>
          <w:sz w:val="20"/>
          <w:szCs w:val="20"/>
          <w:color w:val="auto"/>
        </w:rPr>
      </w:pPr>
    </w:p>
    <w:p>
      <w:pPr>
        <w:ind w:left="1620" w:hanging="360"/>
        <w:spacing w:after="0"/>
        <w:tabs>
          <w:tab w:leader="none" w:pos="16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Accruals and Provisions</w:t>
      </w:r>
    </w:p>
    <w:p>
      <w:pPr>
        <w:spacing w:after="0" w:line="161"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Accruals and provisions consisted of the following amounts (in thousands):</w:t>
      </w:r>
    </w:p>
    <w:p>
      <w:pPr>
        <w:spacing w:after="0" w:line="163"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58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September 30</w:t>
            </w:r>
          </w:p>
        </w:tc>
      </w:tr>
      <w:tr>
        <w:trPr>
          <w:trHeight w:val="25"/>
        </w:trPr>
        <w:tc>
          <w:tcPr>
            <w:tcW w:w="5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24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5"/>
        </w:trPr>
        <w:tc>
          <w:tcPr>
            <w:tcW w:w="5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$133,899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$11,636</w:t>
            </w:r>
          </w:p>
        </w:tc>
        <w:tc>
          <w:tcPr>
            <w:tcW w:w="60" w:type="dxa"/>
            <w:vAlign w:val="bottom"/>
          </w:tcPr>
          <w:p>
            <w:pPr>
              <w:spacing w:after="0"/>
              <w:rPr>
                <w:sz w:val="21"/>
                <w:szCs w:val="2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Provisions for expected projects losses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3,019</w:t>
            </w:r>
          </w:p>
        </w:tc>
        <w:tc>
          <w:tcPr>
            <w:tcW w:w="600" w:type="dxa"/>
            <w:vAlign w:val="bottom"/>
          </w:tcPr>
          <w:p>
            <w:pPr>
              <w:jc w:val="right"/>
              <w:spacing w:after="0"/>
              <w:rPr>
                <w:sz w:val="20"/>
                <w:szCs w:val="20"/>
                <w:color w:val="auto"/>
              </w:rPr>
            </w:pPr>
            <w:r>
              <w:rPr>
                <w:rFonts w:ascii="Arial" w:cs="Arial" w:eastAsia="Arial" w:hAnsi="Arial"/>
                <w:sz w:val="18"/>
                <w:szCs w:val="18"/>
                <w:color w:val="auto"/>
              </w:rPr>
              <w:t>5,966</w:t>
            </w:r>
          </w:p>
        </w:tc>
        <w:tc>
          <w:tcPr>
            <w:tcW w:w="60" w:type="dxa"/>
            <w:vAlign w:val="bottom"/>
          </w:tcPr>
          <w:p>
            <w:pPr>
              <w:spacing w:after="0"/>
              <w:rPr>
                <w:sz w:val="22"/>
                <w:szCs w:val="22"/>
                <w:color w:val="auto"/>
              </w:rPr>
            </w:pPr>
          </w:p>
        </w:tc>
      </w:tr>
      <w:tr>
        <w:trPr>
          <w:trHeight w:val="26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projects related provisions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22"/>
                <w:szCs w:val="22"/>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137,953</w:t>
            </w:r>
          </w:p>
        </w:tc>
        <w:tc>
          <w:tcPr>
            <w:tcW w:w="600" w:type="dxa"/>
            <w:vAlign w:val="bottom"/>
          </w:tcPr>
          <w:p>
            <w:pPr>
              <w:jc w:val="right"/>
              <w:spacing w:after="0"/>
              <w:rPr>
                <w:sz w:val="20"/>
                <w:szCs w:val="20"/>
                <w:color w:val="auto"/>
              </w:rPr>
            </w:pPr>
            <w:r>
              <w:rPr>
                <w:rFonts w:ascii="Arial" w:cs="Arial" w:eastAsia="Arial" w:hAnsi="Arial"/>
                <w:sz w:val="18"/>
                <w:szCs w:val="18"/>
                <w:color w:val="auto"/>
              </w:rPr>
              <w:t>17,887</w:t>
            </w:r>
          </w:p>
        </w:tc>
        <w:tc>
          <w:tcPr>
            <w:tcW w:w="60" w:type="dxa"/>
            <w:vAlign w:val="bottom"/>
          </w:tcPr>
          <w:p>
            <w:pPr>
              <w:spacing w:after="0"/>
              <w:rPr>
                <w:sz w:val="22"/>
                <w:szCs w:val="22"/>
                <w:color w:val="auto"/>
              </w:rPr>
            </w:pPr>
          </w:p>
        </w:tc>
      </w:tr>
      <w:tr>
        <w:trPr>
          <w:trHeight w:val="26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2"/>
                <w:szCs w:val="22"/>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Current portion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$137,696</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$17,802</w:t>
            </w:r>
          </w:p>
        </w:tc>
        <w:tc>
          <w:tcPr>
            <w:tcW w:w="60" w:type="dxa"/>
            <w:vAlign w:val="bottom"/>
          </w:tcPr>
          <w:p>
            <w:pPr>
              <w:spacing w:after="0"/>
              <w:rPr>
                <w:sz w:val="23"/>
                <w:szCs w:val="23"/>
                <w:color w:val="auto"/>
              </w:rPr>
            </w:pPr>
          </w:p>
        </w:tc>
      </w:tr>
      <w:tr>
        <w:trPr>
          <w:trHeight w:val="20"/>
        </w:trPr>
        <w:tc>
          <w:tcPr>
            <w:tcW w:w="5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-1062355</wp:posOffset>
            </wp:positionV>
            <wp:extent cx="13716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-1062355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Accruals are mainly represented by not yet invoiced milestones for deliveries of major equipment for battery-based energy storage projects such as batteries, enclosures, and inverters. According to master supply agreements between the Company, and suppliers of the major equipment, vendor bills are issued according to contracted billing schedules with some milestones invoiced after delivery, upon full installation and commissioning of the equipment at substantial completion and final completion project stages.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Short-term borrowing and Line of Credit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had an Uncommitted Line of Credit Agreement with Citibank originally signed 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January 29, 2019, which allows the Company to borrow an amount in aggregate not to exceed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$2,000 thousand, from time to time, until January 29, 2021. The Line of Credit was further amended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the aggregate borrowing amount to $10,000 thousand, $30,000 thousand and $50,000 thousand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13, 2020, August 7, 2020 and December 23, 2020, respectively. The expiration date for the Line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was extended to March 31, 2023 on June 2, 2021.</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3" w:name="page214"/>
    <w:bookmarkEnd w:id="213"/>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No amounts were outstanding under the Uncommitted credit facility as of September 30, 2020 and 2019.</w:t>
      </w:r>
    </w:p>
    <w:p>
      <w:pPr>
        <w:spacing w:after="0" w:line="166" w:lineRule="exact"/>
        <w:rPr>
          <w:sz w:val="20"/>
          <w:szCs w:val="20"/>
          <w:color w:val="auto"/>
        </w:rPr>
      </w:pPr>
    </w:p>
    <w:p>
      <w:pPr>
        <w:ind w:left="1620" w:hanging="360"/>
        <w:spacing w:after="0"/>
        <w:tabs>
          <w:tab w:leader="none" w:pos="16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loss before income tax (in thousands):</w:t>
      </w:r>
    </w:p>
    <w:p>
      <w:pPr>
        <w:spacing w:after="0" w:line="190"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Fiscal Year Ended</w:t>
      </w:r>
    </w:p>
    <w:p>
      <w:pPr>
        <w:spacing w:after="0" w:line="17"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22225</wp:posOffset>
            </wp:positionV>
            <wp:extent cx="99441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46"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$(34,929)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$(35,391)</w:t>
            </w:r>
          </w:p>
        </w:tc>
        <w:tc>
          <w:tcPr>
            <w:tcW w:w="60" w:type="dxa"/>
            <w:vAlign w:val="bottom"/>
          </w:tcPr>
          <w:p>
            <w:pPr>
              <w:spacing w:after="0"/>
              <w:rPr>
                <w:sz w:val="21"/>
                <w:szCs w:val="2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Foreign</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(5,360)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(12,368)</w:t>
            </w:r>
          </w:p>
        </w:tc>
      </w:tr>
      <w:tr>
        <w:trPr>
          <w:trHeight w:val="20"/>
        </w:trPr>
        <w:tc>
          <w:tcPr>
            <w:tcW w:w="5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$(40,289)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$(47,759)</w:t>
            </w:r>
          </w:p>
        </w:tc>
        <w:tc>
          <w:tcPr>
            <w:tcW w:w="60" w:type="dxa"/>
            <w:vAlign w:val="bottom"/>
          </w:tcPr>
          <w:p>
            <w:pPr>
              <w:spacing w:after="0"/>
              <w:rPr>
                <w:sz w:val="24"/>
                <w:szCs w:val="24"/>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-213995</wp:posOffset>
            </wp:positionV>
            <wp:extent cx="38747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477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-556895</wp:posOffset>
            </wp:positionV>
            <wp:extent cx="38658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major components of income tax expense/(benefit) were as follows (in thousands):</w:t>
      </w:r>
    </w:p>
    <w:p>
      <w:pPr>
        <w:spacing w:after="0" w:line="17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2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9"/>
              </w:rPr>
              <w:t>Fiscal Year Ended</w:t>
            </w:r>
          </w:p>
        </w:tc>
      </w:tr>
      <w:tr>
        <w:trPr>
          <w:trHeight w:val="186"/>
        </w:trPr>
        <w:tc>
          <w:tcPr>
            <w:tcW w:w="5600" w:type="dxa"/>
            <w:vAlign w:val="bottom"/>
          </w:tcPr>
          <w:p>
            <w:pPr>
              <w:spacing w:after="0"/>
              <w:rPr>
                <w:sz w:val="16"/>
                <w:szCs w:val="16"/>
                <w:color w:val="auto"/>
              </w:rPr>
            </w:pPr>
          </w:p>
        </w:tc>
        <w:tc>
          <w:tcPr>
            <w:tcW w:w="12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5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600" w:type="dxa"/>
            <w:vAlign w:val="bottom"/>
          </w:tcPr>
          <w:p>
            <w:pPr>
              <w:spacing w:after="0"/>
              <w:rPr>
                <w:sz w:val="17"/>
                <w:szCs w:val="17"/>
                <w:color w:val="auto"/>
              </w:rPr>
            </w:pPr>
          </w:p>
        </w:tc>
        <w:tc>
          <w:tcPr>
            <w:tcW w:w="500" w:type="dxa"/>
            <w:vAlign w:val="bottom"/>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5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 (benefit):</w:t>
            </w: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Foreign</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expense (benefit):</w:t>
            </w: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Foreign</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(843)</w:t>
            </w:r>
          </w:p>
        </w:tc>
      </w:tr>
      <w:tr>
        <w:trPr>
          <w:trHeight w:val="257"/>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Withholding income tax expense:</w:t>
            </w: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Foreign</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3,422</w:t>
            </w:r>
          </w:p>
        </w:tc>
        <w:tc>
          <w:tcPr>
            <w:tcW w:w="12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0"/>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$6,421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1"/>
              </w:rPr>
              <w:t>(778)</w:t>
            </w:r>
          </w:p>
        </w:tc>
        <w:tc>
          <w:tcPr>
            <w:tcW w:w="60" w:type="dxa"/>
            <w:vAlign w:val="bottom"/>
          </w:tcPr>
          <w:p>
            <w:pPr>
              <w:spacing w:after="0"/>
              <w:rPr>
                <w:sz w:val="24"/>
                <w:szCs w:val="24"/>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-213995</wp:posOffset>
            </wp:positionV>
            <wp:extent cx="402018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020185"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-1199515</wp:posOffset>
            </wp:positionV>
            <wp:extent cx="137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-1199515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following table summarizes a reconciliation of the U.S. statutory federal income tax rate to the Company’s effective tax rate.</w:t>
      </w:r>
    </w:p>
    <w:p>
      <w:pPr>
        <w:spacing w:after="0" w:line="121"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Fiscal Year Ended</w:t>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22225</wp:posOffset>
            </wp:positionV>
            <wp:extent cx="7200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46"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
        </w:trPr>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8"/>
              </w:rPr>
              <w:t>21.0%</w:t>
            </w:r>
          </w:p>
        </w:tc>
        <w:tc>
          <w:tcPr>
            <w:tcW w:w="180" w:type="dxa"/>
            <w:vAlign w:val="bottom"/>
          </w:tcPr>
          <w:p>
            <w:pPr>
              <w:spacing w:after="0"/>
              <w:rPr>
                <w:sz w:val="21"/>
                <w:szCs w:val="21"/>
                <w:color w:val="auto"/>
              </w:rPr>
            </w:pPr>
          </w:p>
        </w:tc>
      </w:tr>
      <w:tr>
        <w:trPr>
          <w:trHeight w:val="256"/>
        </w:trPr>
        <w:tc>
          <w:tcPr>
            <w:tcW w:w="5660" w:type="dxa"/>
            <w:vAlign w:val="bottom"/>
            <w:gridSpan w:val="2"/>
          </w:tcPr>
          <w:p>
            <w:pPr>
              <w:spacing w:after="0"/>
              <w:rPr>
                <w:sz w:val="20"/>
                <w:szCs w:val="20"/>
                <w:color w:val="auto"/>
              </w:rPr>
            </w:pPr>
            <w:r>
              <w:rPr>
                <w:rFonts w:ascii="Arial" w:cs="Arial" w:eastAsia="Arial" w:hAnsi="Arial"/>
                <w:sz w:val="18"/>
                <w:szCs w:val="18"/>
                <w:color w:val="auto"/>
              </w:rPr>
              <w:t>Flow-through losses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(18.2)%</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1"/>
              </w:rPr>
              <w:t>(15.6)%</w:t>
            </w:r>
          </w:p>
        </w:tc>
      </w:tr>
      <w:tr>
        <w:trPr>
          <w:trHeight w:val="257"/>
        </w:trPr>
        <w:tc>
          <w:tcPr>
            <w:tcW w:w="566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r>
      <w:tr>
        <w:trPr>
          <w:trHeight w:val="256"/>
        </w:trPr>
        <w:tc>
          <w:tcPr>
            <w:tcW w:w="5660" w:type="dxa"/>
            <w:vAlign w:val="bottom"/>
            <w:gridSpan w:val="2"/>
          </w:tcPr>
          <w:p>
            <w:pPr>
              <w:spacing w:after="0"/>
              <w:rPr>
                <w:sz w:val="20"/>
                <w:szCs w:val="20"/>
                <w:color w:val="auto"/>
              </w:rPr>
            </w:pPr>
            <w:r>
              <w:rPr>
                <w:rFonts w:ascii="Arial" w:cs="Arial" w:eastAsia="Arial" w:hAnsi="Arial"/>
                <w:sz w:val="18"/>
                <w:szCs w:val="18"/>
                <w:color w:val="auto"/>
              </w:rPr>
              <w:t>Withholding taxes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56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56"/>
        </w:trPr>
        <w:tc>
          <w:tcPr>
            <w:tcW w:w="566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77"/>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26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54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(15.9)%</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-1010920</wp:posOffset>
            </wp:positionV>
            <wp:extent cx="4294505" cy="1631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294505" cy="16319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-685165</wp:posOffset>
            </wp:positionV>
            <wp:extent cx="4294505" cy="1631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294505" cy="16319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-359410</wp:posOffset>
            </wp:positionV>
            <wp:extent cx="4294505" cy="1885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294505" cy="18859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-1345565</wp:posOffset>
            </wp:positionV>
            <wp:extent cx="137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-1345565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760" w:firstLine="360"/>
        <w:spacing w:after="0" w:line="261" w:lineRule="auto"/>
        <w:rPr>
          <w:sz w:val="20"/>
          <w:szCs w:val="20"/>
          <w:color w:val="auto"/>
        </w:rPr>
      </w:pPr>
      <w:r>
        <w:rPr>
          <w:rFonts w:ascii="Arial" w:cs="Arial" w:eastAsia="Arial" w:hAnsi="Arial"/>
          <w:sz w:val="18"/>
          <w:szCs w:val="18"/>
          <w:color w:val="auto"/>
        </w:rPr>
        <w:t>Deferred income tax is generated by its foreign subsidiaries and is comprised of the following (in thousands):</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6"/>
              </w:rPr>
              <w:t>As of September 30,</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1,530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$ 3,204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Tax loss carryforwards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7,879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4,470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80" w:type="dxa"/>
            <w:vAlign w:val="bottom"/>
          </w:tcPr>
          <w:p>
            <w:pPr>
              <w:ind w:left="180"/>
              <w:spacing w:after="0"/>
              <w:rPr>
                <w:sz w:val="20"/>
                <w:szCs w:val="20"/>
                <w:color w:val="auto"/>
              </w:rPr>
            </w:pPr>
            <w:r>
              <w:rPr>
                <w:rFonts w:ascii="Arial" w:cs="Arial" w:eastAsia="Arial" w:hAnsi="Arial"/>
                <w:sz w:val="18"/>
                <w:szCs w:val="18"/>
                <w:color w:val="auto"/>
              </w:rPr>
              <w:t>Other deferred taxes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12,090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(8,014)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0"/>
        </w:trPr>
        <w:tc>
          <w:tcPr>
            <w:tcW w:w="5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00" w:type="dxa"/>
            <w:vAlign w:val="bottom"/>
            <w:shd w:val="clear" w:color="auto" w:fill="CCEEFF"/>
          </w:tcPr>
          <w:p>
            <w:pPr>
              <w:spacing w:after="0"/>
              <w:rPr>
                <w:sz w:val="24"/>
                <w:szCs w:val="24"/>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5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(3,775)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80" w:type="dxa"/>
            <w:vAlign w:val="bottom"/>
          </w:tcPr>
          <w:p>
            <w:pPr>
              <w:ind w:left="180"/>
              <w:spacing w:after="0"/>
              <w:rPr>
                <w:sz w:val="20"/>
                <w:szCs w:val="20"/>
                <w:color w:val="auto"/>
              </w:rPr>
            </w:pPr>
            <w:r>
              <w:rPr>
                <w:rFonts w:ascii="Arial" w:cs="Arial" w:eastAsia="Arial" w:hAnsi="Arial"/>
                <w:sz w:val="18"/>
                <w:szCs w:val="18"/>
                <w:color w:val="auto"/>
              </w:rPr>
              <w:t>Unrealized foreign exchange gains/losses</w:t>
            </w:r>
          </w:p>
        </w:tc>
        <w:tc>
          <w:tcPr>
            <w:tcW w:w="1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(313)</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(4,239)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$(4,203)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net deferred tax assets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$ 1,616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-410845</wp:posOffset>
            </wp:positionV>
            <wp:extent cx="39344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9344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-1422400</wp:posOffset>
            </wp:positionV>
            <wp:extent cx="39344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9344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-1782445</wp:posOffset>
            </wp:positionV>
            <wp:extent cx="393446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93446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-2776855</wp:posOffset>
            </wp:positionV>
            <wp:extent cx="39262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foreign net operating loss carryforwards as of September 30, 2020 are approximately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$46,768 thousand (2019: $26,608 thousand). The majority of the net operating loss carryforwards are</w:t>
      </w:r>
    </w:p>
    <w:p>
      <w:pPr>
        <w:ind w:left="1260"/>
        <w:spacing w:after="0" w:line="234" w:lineRule="auto"/>
        <w:rPr>
          <w:sz w:val="20"/>
          <w:szCs w:val="20"/>
          <w:color w:val="auto"/>
        </w:rPr>
      </w:pPr>
      <w:r>
        <w:rPr>
          <w:rFonts w:ascii="Arial" w:cs="Arial" w:eastAsia="Arial" w:hAnsi="Arial"/>
          <w:sz w:val="18"/>
          <w:szCs w:val="18"/>
          <w:color w:val="auto"/>
        </w:rPr>
        <w:t>attributable to the Company’s German subsidiary. The net operating loss carryforwards have an unlimited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carryforward period.</w:t>
      </w:r>
    </w:p>
    <w:p>
      <w:pPr>
        <w:spacing w:after="0" w:line="128" w:lineRule="exact"/>
        <w:rPr>
          <w:sz w:val="20"/>
          <w:szCs w:val="20"/>
          <w:color w:val="auto"/>
        </w:rPr>
      </w:pPr>
    </w:p>
    <w:p>
      <w:pPr>
        <w:ind w:left="1260" w:right="1380" w:firstLine="360"/>
        <w:spacing w:after="0" w:line="257" w:lineRule="auto"/>
        <w:rPr>
          <w:sz w:val="20"/>
          <w:szCs w:val="20"/>
          <w:color w:val="auto"/>
        </w:rPr>
      </w:pPr>
      <w:r>
        <w:rPr>
          <w:rFonts w:ascii="Arial" w:cs="Arial" w:eastAsia="Arial" w:hAnsi="Arial"/>
          <w:sz w:val="17"/>
          <w:szCs w:val="17"/>
          <w:color w:val="auto"/>
        </w:rPr>
        <w:t>As of September 30, 2020, the Company had recorded a valuation allowance of $8,014 thousand against deferred tax assets of the Company’s German and Australian subsidiaries. As of September 30, 2019, the Company had recorded a valuation allowance of $3,524 against the deferred tax assets of the Company’s German entity. The Company determined that based on the weight of available evidence, including cumulative losses, it is more -likely-than-not that the net deferred tax assets at its German and Australian entities will not be realized and recorded a valuation allowance against such deferred tax assets.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Commitments and 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Leases</w:t>
      </w:r>
    </w:p>
    <w:p>
      <w:pPr>
        <w:spacing w:after="0" w:line="162" w:lineRule="exact"/>
        <w:rPr>
          <w:sz w:val="20"/>
          <w:szCs w:val="20"/>
          <w:color w:val="auto"/>
        </w:rPr>
      </w:pPr>
    </w:p>
    <w:p>
      <w:pPr>
        <w:ind w:left="1260" w:right="1560" w:firstLine="360"/>
        <w:spacing w:after="0" w:line="248" w:lineRule="auto"/>
        <w:rPr>
          <w:sz w:val="20"/>
          <w:szCs w:val="20"/>
          <w:color w:val="auto"/>
        </w:rPr>
      </w:pPr>
      <w:r>
        <w:rPr>
          <w:rFonts w:ascii="Arial" w:cs="Arial" w:eastAsia="Arial" w:hAnsi="Arial"/>
          <w:sz w:val="18"/>
          <w:szCs w:val="18"/>
          <w:color w:val="auto"/>
        </w:rPr>
        <w:t>The Company has entered into operating lease agreements to rent office space. As of September 30, 2020, the future minimum lease payments for the next five fiscal years and thereafter are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8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9"/>
              </w:rPr>
              <w:t>Fiscal Year Ended</w:t>
            </w:r>
          </w:p>
        </w:tc>
      </w:tr>
      <w:tr>
        <w:trPr>
          <w:trHeight w:val="162"/>
        </w:trPr>
        <w:tc>
          <w:tcPr>
            <w:tcW w:w="1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8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7"/>
              </w:rPr>
              <w:t>September 30,</w:t>
            </w:r>
          </w:p>
        </w:tc>
      </w:tr>
      <w:tr>
        <w:trPr>
          <w:trHeight w:val="186"/>
        </w:trPr>
        <w:tc>
          <w:tcPr>
            <w:tcW w:w="19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center"/>
              <w:ind w:right="213"/>
              <w:spacing w:after="0"/>
              <w:rPr>
                <w:sz w:val="20"/>
                <w:szCs w:val="20"/>
                <w:color w:val="auto"/>
              </w:rPr>
            </w:pPr>
            <w:r>
              <w:rPr>
                <w:rFonts w:ascii="Arial" w:cs="Arial" w:eastAsia="Arial" w:hAnsi="Arial"/>
                <w:sz w:val="14"/>
                <w:szCs w:val="14"/>
                <w:b w:val="1"/>
                <w:bCs w:val="1"/>
                <w:color w:val="auto"/>
                <w:w w:val="89"/>
              </w:rPr>
              <w:t>2020</w:t>
            </w:r>
          </w:p>
        </w:tc>
        <w:tc>
          <w:tcPr>
            <w:tcW w:w="1980" w:type="dxa"/>
            <w:vAlign w:val="bottom"/>
          </w:tcPr>
          <w:p>
            <w:pPr>
              <w:spacing w:after="0"/>
              <w:rPr>
                <w:sz w:val="16"/>
                <w:szCs w:val="16"/>
                <w:color w:val="auto"/>
              </w:rPr>
            </w:pPr>
          </w:p>
        </w:tc>
      </w:tr>
      <w:tr>
        <w:trPr>
          <w:trHeight w:val="25"/>
        </w:trPr>
        <w:tc>
          <w:tcPr>
            <w:tcW w:w="1980" w:type="dxa"/>
            <w:vAlign w:val="bottom"/>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23"/>
        </w:trPr>
        <w:tc>
          <w:tcPr>
            <w:tcW w:w="1980" w:type="dxa"/>
            <w:vAlign w:val="bottom"/>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36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980" w:type="dxa"/>
            <w:vAlign w:val="bottom"/>
          </w:tcPr>
          <w:p>
            <w:pPr>
              <w:spacing w:after="0"/>
              <w:rPr>
                <w:sz w:val="19"/>
                <w:szCs w:val="19"/>
                <w:color w:val="auto"/>
              </w:rPr>
            </w:pPr>
          </w:p>
        </w:tc>
      </w:tr>
      <w:tr>
        <w:trPr>
          <w:trHeight w:val="243"/>
        </w:trPr>
        <w:tc>
          <w:tcPr>
            <w:tcW w:w="198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Year 2</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2"/>
          </w:tcPr>
          <w:p>
            <w:pPr>
              <w:jc w:val="right"/>
              <w:ind w:right="1980"/>
              <w:spacing w:after="0"/>
              <w:rPr>
                <w:sz w:val="20"/>
                <w:szCs w:val="20"/>
                <w:color w:val="auto"/>
              </w:rPr>
            </w:pPr>
            <w:r>
              <w:rPr>
                <w:rFonts w:ascii="Arial" w:cs="Arial" w:eastAsia="Arial" w:hAnsi="Arial"/>
                <w:sz w:val="18"/>
                <w:szCs w:val="18"/>
                <w:color w:val="auto"/>
              </w:rPr>
              <w:t>1,189</w:t>
            </w:r>
          </w:p>
        </w:tc>
      </w:tr>
      <w:tr>
        <w:trPr>
          <w:trHeight w:val="243"/>
        </w:trPr>
        <w:tc>
          <w:tcPr>
            <w:tcW w:w="1980" w:type="dxa"/>
            <w:vAlign w:val="bottom"/>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3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980" w:type="dxa"/>
            <w:vAlign w:val="bottom"/>
          </w:tcPr>
          <w:p>
            <w:pPr>
              <w:spacing w:after="0"/>
              <w:rPr>
                <w:sz w:val="21"/>
                <w:szCs w:val="21"/>
                <w:color w:val="auto"/>
              </w:rPr>
            </w:pPr>
          </w:p>
        </w:tc>
      </w:tr>
      <w:tr>
        <w:trPr>
          <w:trHeight w:val="243"/>
        </w:trPr>
        <w:tc>
          <w:tcPr>
            <w:tcW w:w="198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Year 4</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2"/>
          </w:tcPr>
          <w:p>
            <w:pPr>
              <w:jc w:val="right"/>
              <w:ind w:right="1980"/>
              <w:spacing w:after="0"/>
              <w:rPr>
                <w:sz w:val="20"/>
                <w:szCs w:val="20"/>
                <w:color w:val="auto"/>
              </w:rPr>
            </w:pPr>
            <w:r>
              <w:rPr>
                <w:rFonts w:ascii="Arial" w:cs="Arial" w:eastAsia="Arial" w:hAnsi="Arial"/>
                <w:sz w:val="18"/>
                <w:szCs w:val="18"/>
                <w:color w:val="auto"/>
              </w:rPr>
              <w:t>221</w:t>
            </w:r>
          </w:p>
        </w:tc>
      </w:tr>
      <w:tr>
        <w:trPr>
          <w:trHeight w:val="277"/>
        </w:trPr>
        <w:tc>
          <w:tcPr>
            <w:tcW w:w="1980" w:type="dxa"/>
            <w:vAlign w:val="bottom"/>
          </w:tcPr>
          <w:p>
            <w:pPr>
              <w:spacing w:after="0"/>
              <w:rPr>
                <w:sz w:val="24"/>
                <w:szCs w:val="24"/>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5 and thereafter</w:t>
            </w:r>
          </w:p>
        </w:tc>
        <w:tc>
          <w:tcPr>
            <w:tcW w:w="3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980" w:type="dxa"/>
            <w:vAlign w:val="bottom"/>
          </w:tcPr>
          <w:p>
            <w:pPr>
              <w:spacing w:after="0"/>
              <w:rPr>
                <w:sz w:val="24"/>
                <w:szCs w:val="24"/>
                <w:color w:val="auto"/>
              </w:rPr>
            </w:pPr>
          </w:p>
        </w:tc>
      </w:tr>
      <w:tr>
        <w:trPr>
          <w:trHeight w:val="270"/>
        </w:trPr>
        <w:tc>
          <w:tcPr>
            <w:tcW w:w="19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760" w:type="dxa"/>
            <w:vAlign w:val="bottom"/>
            <w:gridSpan w:val="2"/>
          </w:tcPr>
          <w:p>
            <w:pPr>
              <w:jc w:val="right"/>
              <w:ind w:right="1980"/>
              <w:spacing w:after="0"/>
              <w:rPr>
                <w:sz w:val="20"/>
                <w:szCs w:val="20"/>
                <w:color w:val="auto"/>
              </w:rPr>
            </w:pPr>
            <w:r>
              <w:rPr>
                <w:rFonts w:ascii="Arial" w:cs="Arial" w:eastAsia="Arial" w:hAnsi="Arial"/>
                <w:sz w:val="18"/>
                <w:szCs w:val="18"/>
                <w:color w:val="auto"/>
              </w:rPr>
              <w:t>3,925</w:t>
            </w:r>
          </w:p>
        </w:tc>
      </w:tr>
      <w:tr>
        <w:trPr>
          <w:trHeight w:val="20"/>
        </w:trPr>
        <w:tc>
          <w:tcPr>
            <w:tcW w:w="1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615"/>
        </w:trPr>
        <w:tc>
          <w:tcPr>
            <w:tcW w:w="1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0" w:type="dxa"/>
            <w:vAlign w:val="bottom"/>
            <w:gridSpan w:val="2"/>
          </w:tcPr>
          <w:p>
            <w:pPr>
              <w:jc w:val="right"/>
              <w:ind w:right="2362"/>
              <w:spacing w:after="0"/>
              <w:rPr>
                <w:sz w:val="20"/>
                <w:szCs w:val="20"/>
                <w:color w:val="auto"/>
              </w:rPr>
            </w:pPr>
            <w:r>
              <w:rPr>
                <w:rFonts w:ascii="Arial" w:cs="Arial" w:eastAsia="Arial" w:hAnsi="Arial"/>
                <w:sz w:val="18"/>
                <w:szCs w:val="18"/>
                <w:color w:val="auto"/>
              </w:rPr>
              <w:t>F-19</w:t>
            </w: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98"/>
        </w:trPr>
        <w:tc>
          <w:tcPr>
            <w:tcW w:w="19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-1670685</wp:posOffset>
            </wp:positionV>
            <wp:extent cx="35915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5915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5" w:name="page216"/>
    <w:bookmarkEnd w:id="215"/>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fiscal year ended September 30, 2020, the Company incurred $1,126 thousand (2019:</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$1,010 thousand) in lease expenses.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color w:val="auto"/>
        </w:rPr>
        <w:t>As of September 30, 2020 and 2019, the Company had outstanding bank guarantees issued as performance security arrangements for several projects. Performance security is a pre-condition to receive any payment from the customer and is reduced in stages according to the project completion status.</w:t>
      </w:r>
    </w:p>
    <w:p>
      <w:pPr>
        <w:spacing w:after="0" w:line="83" w:lineRule="exact"/>
        <w:rPr>
          <w:sz w:val="20"/>
          <w:szCs w:val="20"/>
          <w:color w:val="auto"/>
        </w:rPr>
      </w:pPr>
    </w:p>
    <w:p>
      <w:pPr>
        <w:ind w:left="1260" w:right="979" w:firstLine="360"/>
        <w:spacing w:after="0" w:line="270" w:lineRule="auto"/>
        <w:rPr>
          <w:sz w:val="20"/>
          <w:szCs w:val="20"/>
          <w:color w:val="auto"/>
        </w:rPr>
      </w:pPr>
      <w:r>
        <w:rPr>
          <w:rFonts w:ascii="Arial" w:cs="Arial" w:eastAsia="Arial" w:hAnsi="Arial"/>
          <w:sz w:val="17"/>
          <w:szCs w:val="17"/>
          <w:color w:val="auto"/>
        </w:rPr>
        <w:t>Typical turn-key contracts and long-term service agreements contain provisions for performance liquidated damages payments if the solution fails to meet the guaranteed performance thresholds at completion of the project or throughout the service agreement period.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Purchase Commitments</w:t>
      </w:r>
    </w:p>
    <w:p>
      <w:pPr>
        <w:spacing w:after="0" w:line="148"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The Company has commitments for the minimum volumes of purchases of batteries under a master supply agreement effective as of December 23, 2019. As of September 30, 2020, the Company had future purchase commitments, primarily for batteries, as follows (in thousands):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$281,800</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Year 2</w:t>
            </w:r>
          </w:p>
        </w:tc>
        <w:tc>
          <w:tcPr>
            <w:tcW w:w="680" w:type="dxa"/>
            <w:vAlign w:val="bottom"/>
          </w:tcPr>
          <w:p>
            <w:pPr>
              <w:jc w:val="right"/>
              <w:spacing w:after="0"/>
              <w:rPr>
                <w:sz w:val="20"/>
                <w:szCs w:val="20"/>
                <w:color w:val="auto"/>
              </w:rPr>
            </w:pPr>
            <w:r>
              <w:rPr>
                <w:rFonts w:ascii="Arial" w:cs="Arial" w:eastAsia="Arial" w:hAnsi="Arial"/>
                <w:sz w:val="18"/>
                <w:szCs w:val="18"/>
                <w:color w:val="auto"/>
              </w:rPr>
              <w:t>338,750</w:t>
            </w:r>
          </w:p>
        </w:tc>
      </w:tr>
      <w:tr>
        <w:trPr>
          <w:trHeight w:val="25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Year 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$620,550</w:t>
            </w:r>
          </w:p>
        </w:tc>
      </w:tr>
      <w:tr>
        <w:trPr>
          <w:trHeight w:val="27"/>
        </w:trPr>
        <w:tc>
          <w:tcPr>
            <w:tcW w:w="60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ind w:left="1260" w:right="699" w:firstLine="360"/>
        <w:spacing w:after="0" w:line="262" w:lineRule="auto"/>
        <w:rPr>
          <w:sz w:val="20"/>
          <w:szCs w:val="20"/>
          <w:color w:val="auto"/>
        </w:rPr>
      </w:pPr>
      <w:r>
        <w:rPr>
          <w:rFonts w:ascii="Arial" w:cs="Arial" w:eastAsia="Arial" w:hAnsi="Arial"/>
          <w:sz w:val="17"/>
          <w:szCs w:val="17"/>
          <w:color w:val="auto"/>
        </w:rPr>
        <w:t>Liquidated damages apply if the minimum purchase volumes are not met. The Company expects to meet the minimum committed volumes of purchases. The Company ordered $128,888 thousand worth of batteries during the calendar year 2020 and exceeded the minimum purchase volume of the first calendar year of $79,250 thousand as defined by the mentioned master supply agreement.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Contingencies</w:t>
      </w:r>
    </w:p>
    <w:p>
      <w:pPr>
        <w:spacing w:after="0" w:line="14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be decided unfavorably to the Company and could require the Company to pay damages or make expenditures in amounts that could be material. As of September 30, 2020, no estimate of reasonably possible losses can be determined.</w:t>
      </w:r>
    </w:p>
    <w:p>
      <w:pPr>
        <w:spacing w:after="0" w:line="11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April 2019, one of the Company’s customers experienced a safety incident at one of its energy storage facilities which resulted in damage to the facility and injury to several first responders. The customer owned facility was delivered by and under warranty of AES Energy Storage and the Company was under contract to provide Operations and Maintenance (‘‘O&amp;M’’) services to the facility. The Company, its customer, and the battery manufacturer, among others, have investigated the cause of the incident. As of June 2 2021, this safety incident has been fully resolved with all claims been settled. The Company did not incur any significant legal liabilities associated with the incident.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Related-Party Transactions</w:t>
      </w:r>
    </w:p>
    <w:p>
      <w:pPr>
        <w:spacing w:after="0" w:line="148"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Related parties are represented by Members, their respective subsidiaries and other entities under common control with Members.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Contributions from Members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January 2020, AES made a $2,500 thousand capital contribution in cash (January 2019:</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$10,000 thousand).</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6" w:name="page217"/>
    <w:bookmarkEnd w:id="216"/>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Contracts with Related Parties</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Fluence signs back-to-back battery-based energy storage product and related service contracts with AES, Siemens and their subsidiaries (collectively referred to as affiliates) in relation to execution of the affiliates’ contracts with external customers and also direct contracts signed with affiliates of the Members. The contract price is similar to the price charged to third-party customers. Revenue from contracts with affiliates is included in revenue from related parties on the Company’s consolidated statements of operations and comprehensive loss.</w:t>
      </w:r>
    </w:p>
    <w:p>
      <w:pPr>
        <w:spacing w:after="0" w:line="125"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In addition, Fluence purchases material and supplies from its affiliates and records the costs in cost of goods and services on the Company’s consolidated statements of operations and comprehensive loss.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Service Agreements with Affiliates</w:t>
      </w:r>
    </w:p>
    <w:p>
      <w:pPr>
        <w:spacing w:after="0" w:line="158" w:lineRule="exact"/>
        <w:rPr>
          <w:sz w:val="20"/>
          <w:szCs w:val="20"/>
          <w:color w:val="auto"/>
        </w:rPr>
      </w:pPr>
    </w:p>
    <w:p>
      <w:pPr>
        <w:ind w:left="1260" w:right="479" w:firstLine="360"/>
        <w:spacing w:after="0" w:line="293" w:lineRule="auto"/>
        <w:rPr>
          <w:sz w:val="20"/>
          <w:szCs w:val="20"/>
          <w:color w:val="auto"/>
        </w:rPr>
      </w:pPr>
      <w:r>
        <w:rPr>
          <w:rFonts w:ascii="Arial" w:cs="Arial" w:eastAsia="Arial" w:hAnsi="Arial"/>
          <w:sz w:val="16"/>
          <w:szCs w:val="16"/>
          <w:color w:val="auto"/>
        </w:rPr>
        <w:t>Fluence and its affiliates have signed service agreements under which the affiliates provide certain management and administrative services to Fluence. The services include but are not limited to, treasury, information technology services, payroll and human resources services, sales and marketing services, research and development. Cost of services are accrued monthly and included in payables to related parties, and general and administrative sales and marketing or research and development on the Company’s consolidated balance sheets and statements of operations and comprehensive loss,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Contract Performance Guarantees</w:t>
      </w:r>
    </w:p>
    <w:p>
      <w:pPr>
        <w:spacing w:after="0" w:line="144"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Fluence paid performance guarantee fees to its affiliates in exchange for guaranteeing Fluence’s performance obligations in certain contracts with customers. Fluence paid guarantee fees to its affiliates under contractual arrangements and the fees are based on parent costs with a reasonable markup. The guarantee fees are included in costs of goods and services on Fluence’s consolidated statements of operations and comprehensive loss.</w:t>
      </w:r>
    </w:p>
    <w:p>
      <w:pPr>
        <w:spacing w:after="0" w:line="12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The following table presents the components of receivables from related parties and payable to related parties on the Company’s consolidated balance sheets (in thousands):</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87"/>
              </w:rPr>
              <w:t>As of September 30,</w:t>
            </w:r>
          </w:p>
        </w:tc>
      </w:tr>
      <w:tr>
        <w:trPr>
          <w:trHeight w:val="25"/>
        </w:trPr>
        <w:tc>
          <w:tcPr>
            <w:tcW w:w="5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r>
      <w:tr>
        <w:trPr>
          <w:trHeight w:val="25"/>
        </w:trPr>
        <w:tc>
          <w:tcPr>
            <w:tcW w:w="5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38,236</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0"/>
        </w:trPr>
        <w:tc>
          <w:tcPr>
            <w:tcW w:w="5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57"/>
        </w:trPr>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receivables from related parties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52,452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r>
      <w:tr>
        <w:trPr>
          <w:trHeight w:val="365"/>
        </w:trPr>
        <w:tc>
          <w:tcPr>
            <w:tcW w:w="534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9,461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56"/>
        </w:trPr>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11,425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60,968</w:t>
            </w: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0"/>
        </w:trPr>
        <w:tc>
          <w:tcPr>
            <w:tcW w:w="5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90"/>
        </w:trPr>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payables and deferred revenue with related parties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22,464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63,612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-213995</wp:posOffset>
            </wp:positionV>
            <wp:extent cx="391731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917315"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-950595</wp:posOffset>
            </wp:positionV>
            <wp:extent cx="391731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-1293495</wp:posOffset>
            </wp:positionV>
            <wp:extent cx="390906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209"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Unbilled receivables represent the excess of revenues recognized over billings to date on sales or service contracts with related parties.</w:t>
      </w:r>
    </w:p>
    <w:p>
      <w:pPr>
        <w:spacing w:after="0" w:line="8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Deferred revenue represents the excess billings to date over the amount of revenue recognized to date on sales or service contracts with related parties.</w:t>
      </w:r>
    </w:p>
    <w:p>
      <w:pPr>
        <w:spacing w:after="0" w:line="103"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Receivables from related parties and payables and deferred revenue with related parties are unsecured and settlement of these balances occurs in cash. No provision has been made related to the receivables from related parties.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firstLine="360"/>
        <w:spacing w:after="0" w:line="324" w:lineRule="auto"/>
        <w:rPr>
          <w:sz w:val="20"/>
          <w:szCs w:val="20"/>
          <w:color w:val="auto"/>
        </w:rPr>
      </w:pPr>
      <w:r>
        <w:rPr>
          <w:rFonts w:ascii="Arial" w:cs="Arial" w:eastAsia="Arial" w:hAnsi="Arial"/>
          <w:sz w:val="16"/>
          <w:szCs w:val="16"/>
          <w:color w:val="auto"/>
        </w:rPr>
        <w:t>The following table presents the related party transactions that are included the Company’s consolidated statements of operations and comprehensive loss for the periods indicated (in thousands):</w:t>
      </w:r>
    </w:p>
    <w:p>
      <w:pPr>
        <w:spacing w:after="0" w:line="75"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580" w:type="dxa"/>
            <w:vAlign w:val="bottom"/>
            <w:gridSpan w:val="4"/>
          </w:tcPr>
          <w:p>
            <w:pPr>
              <w:ind w:left="200"/>
              <w:spacing w:after="0"/>
              <w:rPr>
                <w:sz w:val="20"/>
                <w:szCs w:val="20"/>
                <w:color w:val="auto"/>
              </w:rPr>
            </w:pPr>
            <w:r>
              <w:rPr>
                <w:rFonts w:ascii="Arial" w:cs="Arial" w:eastAsia="Arial" w:hAnsi="Arial"/>
                <w:sz w:val="14"/>
                <w:szCs w:val="14"/>
                <w:b w:val="1"/>
                <w:bCs w:val="1"/>
                <w:color w:val="auto"/>
              </w:rPr>
              <w:t>Fiscal Year Ended</w:t>
            </w:r>
          </w:p>
        </w:tc>
      </w:tr>
      <w:tr>
        <w:trPr>
          <w:trHeight w:val="186"/>
        </w:trPr>
        <w:tc>
          <w:tcPr>
            <w:tcW w:w="5240" w:type="dxa"/>
            <w:vAlign w:val="bottom"/>
          </w:tcPr>
          <w:p>
            <w:pPr>
              <w:spacing w:after="0"/>
              <w:rPr>
                <w:sz w:val="16"/>
                <w:szCs w:val="16"/>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5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24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5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$159,647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$47,169</w:t>
            </w:r>
          </w:p>
        </w:tc>
        <w:tc>
          <w:tcPr>
            <w:tcW w:w="60" w:type="dxa"/>
            <w:vAlign w:val="bottom"/>
          </w:tcPr>
          <w:p>
            <w:pPr>
              <w:spacing w:after="0"/>
              <w:rPr>
                <w:sz w:val="21"/>
                <w:szCs w:val="2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(14,399)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(5,603)</w:t>
            </w:r>
          </w:p>
        </w:tc>
      </w:tr>
      <w:tr>
        <w:trPr>
          <w:trHeight w:val="25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6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(2,105)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(2,529)</w:t>
            </w: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-830580</wp:posOffset>
            </wp:positionV>
            <wp:extent cx="39090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14"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In addition, the Company had purchases from related parties capitalized as assets of $1,900 thousand for the fiscal year ended September 30, 2020 (2019: $1,925 thousand).</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Employee Benefit Plan</w:t>
      </w:r>
    </w:p>
    <w:p>
      <w:pPr>
        <w:spacing w:after="0" w:line="162"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The Company maintains a 401(k) plan covering all eligible U.S. payroll employees. The 401(k) plan provides that eligible employees may make contributions subject to IRS limitations. Under terms of the 401(k) plan, the Company matches an employee’s contributions at a rate of 100% up to 5% of the employee’s annual salary. For the fiscal years ended September 30, 2020 the Company contributed approximately $882 thousand (2019: $622 thousand) to the 401(k) plan.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Customer Concentration Risks</w:t>
      </w:r>
    </w:p>
    <w:p>
      <w:pPr>
        <w:spacing w:after="0" w:line="162" w:lineRule="exact"/>
        <w:rPr>
          <w:sz w:val="20"/>
          <w:szCs w:val="20"/>
          <w:color w:val="auto"/>
        </w:rPr>
      </w:pPr>
    </w:p>
    <w:p>
      <w:pPr>
        <w:ind w:left="1260" w:right="1179" w:firstLine="360"/>
        <w:spacing w:after="0" w:line="261" w:lineRule="auto"/>
        <w:rPr>
          <w:sz w:val="20"/>
          <w:szCs w:val="20"/>
          <w:color w:val="auto"/>
        </w:rPr>
      </w:pPr>
      <w:r>
        <w:rPr>
          <w:rFonts w:ascii="Arial" w:cs="Arial" w:eastAsia="Arial" w:hAnsi="Arial"/>
          <w:sz w:val="18"/>
          <w:szCs w:val="18"/>
          <w:color w:val="auto"/>
        </w:rPr>
        <w:t>For the fiscal years ended September 30, 2020 and 2019, respectively, the Company had three customers that each accounted for 10% or more of total revenue.</w:t>
      </w:r>
    </w:p>
    <w:p>
      <w:pPr>
        <w:spacing w:after="0" w:line="90"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For the fiscal year ended September 30, 2020, our top five customers, in the aggregate, accounted for approximately 90% of our revenue.</w:t>
      </w:r>
    </w:p>
    <w:p>
      <w:pPr>
        <w:spacing w:after="0" w:line="103"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Company has a limited number of suppliers of batteries which is a major component of energy storage products.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Subsequent Events</w:t>
      </w:r>
    </w:p>
    <w:p>
      <w:pPr>
        <w:spacing w:after="0" w:line="148"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The Company has evaluated subsequent events through June 24, 2021, which is the date that these consolidated financial statements were available to be issued.</w:t>
      </w:r>
    </w:p>
    <w:p>
      <w:pPr>
        <w:spacing w:after="0" w:line="10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During FY 2021, the Company spent approximately $18,000 thousand on an acquisition that will offer new capabilities and amplify and extend the Company’s energy storage product line. The acquisition represents a business combination. The valuation of acquired assets and liabilities is not completed as of the date these consolidated financial statements were available to be issued.</w:t>
      </w:r>
    </w:p>
    <w:p>
      <w:pPr>
        <w:spacing w:after="0" w:line="119"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In October 2020, the Board of Directors of the Company approved an equity-based employee deferred compensation plan. On December 29, 2020 the Company amended their limited liability company agreement, the ‘‘Fluence—Amendment No. 2 to the Amended and Restated LLC Agreement’’ to</w:t>
      </w:r>
    </w:p>
    <w:p>
      <w:pPr>
        <w:ind w:left="1260" w:right="579"/>
        <w:spacing w:after="0" w:line="255" w:lineRule="auto"/>
        <w:tabs>
          <w:tab w:leader="none" w:pos="148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authorize a new class of Units designated as Class A-1 Units to be issuable upon the exercise of awards granted pursuant to the Equity Incentive Plans with distribution subject to the terms specified in the Agreement and (ii) effectuate the Unit Split and Reclassification of 1:1,320 per Unit.</w:t>
      </w:r>
    </w:p>
    <w:p>
      <w:pPr>
        <w:spacing w:after="0" w:line="10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On December 23, 2020, the Uncommitted Line of Credit was further amended to increase the aggregate borrowing amount to $50,000 thousand. On June 2, 2021, the expiration date for the Line of Credit was extended to March 31, 2023.</w:t>
      </w:r>
    </w:p>
    <w:p>
      <w:pPr>
        <w:spacing w:after="0" w:line="116"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On December 27, 2020, the Company entered into a subscription agreement with QIA Florence Holdings LLC (‘‘QFH’’) for the issuance of 1,250,000 Class B units for a total value of $125,000 thousand. Following the completion of the transaction on June 9, 2021, AES, Siemens, and QFH hold 3,960,000,</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3,960,000, and 1,250,000 units, and 43.2%, 43.2%, and 13.6% of limited liability interests of the Company, respectively. Pursuant to the subscription agreement, QFH has certain rights that may allow it to cause the Company to repurchase the units at fair value five years from the completion of the transaction under conditions outside of the control of the Company. As of June 9, 2021, the Company has three Classes of Membership Interest units, Class A, Class A-1 and Class B. Additionally, Siemens contributed approximately $6,000 thousand in equity to the Company in exchange for certain amendments to the Company’s limited liability company agreement.</w:t>
      </w:r>
    </w:p>
    <w:p>
      <w:pPr>
        <w:spacing w:after="0" w:line="114"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On April 28, 2021 AES and Siemens agreed to issue an aggregate of up to $120,000 thousand in principal amount under promissory notes to the Company.</w:t>
      </w:r>
    </w:p>
    <w:p>
      <w:pPr>
        <w:spacing w:after="0" w:line="103"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On April 28, 2021 and June 3, 2021, the Company borrowed $25,000 thousand and $25,000 thousand from AES, respectively, in the form of one-year promissory notes, each bearing annual interest at 2.86%. On May 3, 2021, the Company borrowed $25,000 thousand from Siemens, in the form of a one-year promissory note with an annual interest rate of 2.86%. The proceeds were used for general working capital needs. As of June 22, 2021, the total $75,000 thousand in borrowings from AES and Siemens were paid off in full.</w:t>
      </w:r>
    </w:p>
    <w:p>
      <w:pPr>
        <w:spacing w:after="0" w:line="10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On April 28, 2021, the Company was notified of an emergency aboard a vessel carrying Fluence inventory while transiting through the Pacific Ocean. The vessel was reporting smoke coming from a cargo hold during severe weather and heavy seas. Based on an initial analysis of the exterior condition of the shipping containers, Fluence believes that some shipping containers came loose while at sea, and Fluence estimates a partial loss of cargo. The cargo in the damaged shipping containers had a value of approximately $30,000 thousand. Inspections of the cargo have not yet been completed and we cannot yet determine the actual amount of losses, including any potential insurance recoveries. Fluence has notified the marine cargo insurers of the incident and also notified each affected customer of this force majeure event, which under relevant supply contracts, provides Fluence an extension of the relevant schedule. If the incident ultimately was determined not to constitute a force majeure event, the Company estimates potential liquidated damages exposure of approximately $15,000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per unit amounts)</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5"/>
              </w:rPr>
              <w:t>September 30,</w:t>
            </w:r>
          </w:p>
        </w:tc>
      </w:tr>
      <w:tr>
        <w:trPr>
          <w:trHeight w:val="185"/>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r>
      <w:tr>
        <w:trPr>
          <w:trHeight w:val="142"/>
        </w:trPr>
        <w:tc>
          <w:tcPr>
            <w:tcW w:w="6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58,497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93,815</w:t>
            </w: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Trade receivables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61,456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32,097</w:t>
            </w: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122,994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100,037</w:t>
            </w: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Receivables from related parties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24,574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52,452</w:t>
            </w: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Advances to suppliers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2,876</w:t>
            </w: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Inventory, net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333,417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37,310</w:t>
            </w:r>
          </w:p>
        </w:tc>
      </w:tr>
      <w:tr>
        <w:trPr>
          <w:trHeight w:val="229"/>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8,886</w:t>
            </w:r>
          </w:p>
        </w:tc>
      </w:tr>
      <w:tr>
        <w:trPr>
          <w:trHeight w:val="183"/>
        </w:trPr>
        <w:tc>
          <w:tcPr>
            <w:tcW w:w="614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638,865</w:t>
            </w:r>
          </w:p>
        </w:tc>
        <w:tc>
          <w:tcPr>
            <w:tcW w:w="2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5"/>
              </w:rPr>
              <w:t>327,473</w:t>
            </w:r>
          </w:p>
        </w:tc>
        <w:tc>
          <w:tcPr>
            <w:tcW w:w="60" w:type="dxa"/>
            <w:vAlign w:val="bottom"/>
            <w:tcBorders>
              <w:top w:val="single" w:sz="8" w:color="CCEEFF"/>
            </w:tcBorders>
          </w:tcPr>
          <w:p>
            <w:pPr>
              <w:spacing w:after="0"/>
              <w:rPr>
                <w:sz w:val="15"/>
                <w:szCs w:val="15"/>
                <w:color w:val="auto"/>
              </w:rPr>
            </w:pPr>
          </w:p>
        </w:tc>
      </w:tr>
      <w:tr>
        <w:trPr>
          <w:trHeight w:val="297"/>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7,602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5,170</w:t>
            </w: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26,298</w:t>
            </w: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9,201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4,731</w:t>
            </w:r>
          </w:p>
        </w:tc>
      </w:tr>
      <w:tr>
        <w:trPr>
          <w:trHeight w:val="229"/>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r>
      <w:tr>
        <w:trPr>
          <w:trHeight w:val="196"/>
        </w:trPr>
        <w:tc>
          <w:tcPr>
            <w:tcW w:w="6140" w:type="dxa"/>
            <w:vAlign w:val="bottom"/>
            <w:tcBorders>
              <w:top w:val="single" w:sz="8" w:color="CCEEFF"/>
              <w:bottom w:val="single" w:sz="8" w:color="CCEEFF"/>
            </w:tcBorders>
          </w:tcPr>
          <w:p>
            <w:pPr>
              <w:spacing w:after="0" w:line="196" w:lineRule="exact"/>
              <w:rPr>
                <w:sz w:val="20"/>
                <w:szCs w:val="20"/>
                <w:color w:val="auto"/>
              </w:rPr>
            </w:pPr>
            <w:r>
              <w:rPr>
                <w:rFonts w:ascii="Arial" w:cs="Arial" w:eastAsia="Arial" w:hAnsi="Arial"/>
                <w:sz w:val="18"/>
                <w:szCs w:val="18"/>
                <w:color w:val="auto"/>
              </w:rPr>
              <w:t>Total non-current assets</w:t>
            </w: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54,111</w:t>
            </w:r>
          </w:p>
        </w:tc>
        <w:tc>
          <w:tcPr>
            <w:tcW w:w="22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36,552</w:t>
            </w:r>
          </w:p>
        </w:tc>
        <w:tc>
          <w:tcPr>
            <w:tcW w:w="60" w:type="dxa"/>
            <w:vAlign w:val="bottom"/>
            <w:tcBorders>
              <w:top w:val="single" w:sz="8" w:color="CCEEFF"/>
              <w:bottom w:val="single" w:sz="8" w:color="CCEEFF"/>
            </w:tcBorders>
          </w:tcPr>
          <w:p>
            <w:pPr>
              <w:spacing w:after="0"/>
              <w:rPr>
                <w:sz w:val="17"/>
                <w:szCs w:val="17"/>
                <w:color w:val="auto"/>
              </w:rPr>
            </w:pPr>
          </w:p>
        </w:tc>
      </w:tr>
      <w:tr>
        <w:trPr>
          <w:trHeight w:val="196"/>
        </w:trPr>
        <w:tc>
          <w:tcPr>
            <w:tcW w:w="6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692,976</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364,025</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77"/>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Liabilities and members’ (deficit) equity</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68,204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78,132</w:t>
            </w: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140,386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123,841</w:t>
            </w: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Personnel related liabilities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8,304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8,534</w:t>
            </w: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Accruals and provisions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266,823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137,696</w:t>
            </w: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Payables and deferred revenue with related parties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166,502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22,464</w:t>
            </w: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5,937</w:t>
            </w:r>
          </w:p>
        </w:tc>
      </w:tr>
      <w:tr>
        <w:trPr>
          <w:trHeight w:val="230"/>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1,636</w:t>
            </w:r>
          </w:p>
        </w:tc>
      </w:tr>
      <w:tr>
        <w:trPr>
          <w:trHeight w:val="183"/>
        </w:trPr>
        <w:tc>
          <w:tcPr>
            <w:tcW w:w="63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658,041</w:t>
            </w: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378,240</w:t>
            </w:r>
          </w:p>
        </w:tc>
        <w:tc>
          <w:tcPr>
            <w:tcW w:w="60" w:type="dxa"/>
            <w:vAlign w:val="bottom"/>
            <w:tcBorders>
              <w:top w:val="single" w:sz="8" w:color="CCEEFF"/>
            </w:tcBorders>
            <w:shd w:val="clear" w:color="auto" w:fill="CCEEFF"/>
          </w:tcPr>
          <w:p>
            <w:pPr>
              <w:spacing w:after="0"/>
              <w:rPr>
                <w:sz w:val="15"/>
                <w:szCs w:val="15"/>
                <w:color w:val="auto"/>
              </w:rPr>
            </w:pPr>
          </w:p>
        </w:tc>
      </w:tr>
      <w:tr>
        <w:trPr>
          <w:trHeight w:val="297"/>
        </w:trPr>
        <w:tc>
          <w:tcPr>
            <w:tcW w:w="638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Personnel related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1,829</w:t>
            </w: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Accruals and provisions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income tax liability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r>
      <w:tr>
        <w:trPr>
          <w:trHeight w:val="229"/>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r>
      <w:tr>
        <w:trPr>
          <w:trHeight w:val="196"/>
        </w:trPr>
        <w:tc>
          <w:tcPr>
            <w:tcW w:w="6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non-current liabilities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61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662,163</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381,250</w:t>
            </w:r>
          </w:p>
        </w:tc>
        <w:tc>
          <w:tcPr>
            <w:tcW w:w="60" w:type="dxa"/>
            <w:vAlign w:val="bottom"/>
            <w:tcBorders>
              <w:bottom w:val="single" w:sz="8" w:color="CCEEFF"/>
            </w:tcBorders>
          </w:tcPr>
          <w:p>
            <w:pPr>
              <w:spacing w:after="0"/>
              <w:rPr>
                <w:sz w:val="17"/>
                <w:szCs w:val="17"/>
                <w:color w:val="auto"/>
              </w:rPr>
            </w:pPr>
          </w:p>
        </w:tc>
      </w:tr>
      <w:tr>
        <w:trPr>
          <w:trHeight w:val="277"/>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83"/>
        </w:trPr>
        <w:tc>
          <w:tcPr>
            <w:tcW w:w="6380" w:type="dxa"/>
            <w:vAlign w:val="bottom"/>
            <w:gridSpan w:val="3"/>
          </w:tcPr>
          <w:p>
            <w:pPr>
              <w:spacing w:after="0"/>
              <w:rPr>
                <w:sz w:val="20"/>
                <w:szCs w:val="20"/>
                <w:color w:val="auto"/>
              </w:rPr>
            </w:pPr>
            <w:r>
              <w:rPr>
                <w:rFonts w:ascii="Arial" w:cs="Arial" w:eastAsia="Arial" w:hAnsi="Arial"/>
                <w:sz w:val="18"/>
                <w:szCs w:val="18"/>
                <w:color w:val="auto"/>
              </w:rPr>
              <w:t>Mezzanine equity (1,250,000, and 0 Class B units issued and outstanding as of</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June 30, 2021 and September 30, 2020, respectively)</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117,272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83"/>
        </w:trPr>
        <w:tc>
          <w:tcPr>
            <w:tcW w:w="63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mezzanine equity</w:t>
            </w: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117,272</w:t>
            </w: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Members’ deficit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Capital contributions (7,920,000 Class A units issued and outstanding as of</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June 30, 2021 and September 30, 2020, respectively)</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106,152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99,872</w:t>
            </w:r>
          </w:p>
        </w:tc>
      </w:tr>
      <w:tr>
        <w:trPr>
          <w:trHeight w:val="216"/>
        </w:trPr>
        <w:tc>
          <w:tcPr>
            <w:tcW w:w="638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(192,102)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(117,298)</w:t>
            </w:r>
          </w:p>
        </w:tc>
      </w:tr>
      <w:tr>
        <w:trPr>
          <w:trHeight w:val="196"/>
        </w:trPr>
        <w:tc>
          <w:tcPr>
            <w:tcW w:w="6140" w:type="dxa"/>
            <w:vAlign w:val="bottom"/>
            <w:tcBorders>
              <w:top w:val="single" w:sz="8" w:color="CCEEFF"/>
              <w:bottom w:val="single" w:sz="8" w:color="CCEEFF"/>
            </w:tcBorders>
          </w:tcPr>
          <w:p>
            <w:pPr>
              <w:ind w:left="180"/>
              <w:spacing w:after="0" w:line="196" w:lineRule="exact"/>
              <w:rPr>
                <w:sz w:val="20"/>
                <w:szCs w:val="20"/>
                <w:color w:val="auto"/>
              </w:rPr>
            </w:pPr>
            <w:r>
              <w:rPr>
                <w:rFonts w:ascii="Arial" w:cs="Arial" w:eastAsia="Arial" w:hAnsi="Arial"/>
                <w:sz w:val="18"/>
                <w:szCs w:val="18"/>
                <w:color w:val="auto"/>
              </w:rPr>
              <w:t>Total members’ deficit</w:t>
            </w: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(86,459)</w:t>
            </w:r>
          </w:p>
        </w:tc>
        <w:tc>
          <w:tcPr>
            <w:tcW w:w="22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(17,225)</w:t>
            </w:r>
          </w:p>
        </w:tc>
        <w:tc>
          <w:tcPr>
            <w:tcW w:w="60" w:type="dxa"/>
            <w:vAlign w:val="bottom"/>
            <w:tcBorders>
              <w:top w:val="single" w:sz="8" w:color="CCEEFF"/>
              <w:bottom w:val="single" w:sz="8" w:color="CCEEFF"/>
            </w:tcBorders>
          </w:tcPr>
          <w:p>
            <w:pPr>
              <w:spacing w:after="0"/>
              <w:rPr>
                <w:sz w:val="17"/>
                <w:szCs w:val="17"/>
                <w:color w:val="auto"/>
              </w:rPr>
            </w:pPr>
          </w:p>
        </w:tc>
      </w:tr>
      <w:tr>
        <w:trPr>
          <w:trHeight w:val="196"/>
        </w:trPr>
        <w:tc>
          <w:tcPr>
            <w:tcW w:w="6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members’ deficit, and mezzanine equity</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692,976</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364,025</w:t>
            </w:r>
          </w:p>
        </w:tc>
        <w:tc>
          <w:tcPr>
            <w:tcW w:w="6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-144780</wp:posOffset>
            </wp:positionV>
            <wp:extent cx="52120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-1113790</wp:posOffset>
            </wp:positionV>
            <wp:extent cx="52120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-1628140</wp:posOffset>
            </wp:positionV>
            <wp:extent cx="52120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-1902460</wp:posOffset>
            </wp:positionV>
            <wp:extent cx="52120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-2776855</wp:posOffset>
            </wp:positionV>
            <wp:extent cx="52120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-4208145</wp:posOffset>
            </wp:positionV>
            <wp:extent cx="52120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COMPREHENSIVE LOSS (UNAUDITED)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 Dollars in Thousands, except unit and per unit data)</w:t>
      </w:r>
    </w:p>
    <w:p>
      <w:pPr>
        <w:spacing w:after="0" w:line="162"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22225</wp:posOffset>
            </wp:positionV>
            <wp:extent cx="120015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430,397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177,125</w:t>
            </w:r>
          </w:p>
        </w:tc>
        <w:tc>
          <w:tcPr>
            <w:tcW w:w="60" w:type="dxa"/>
            <w:vAlign w:val="bottom"/>
          </w:tcPr>
          <w:p>
            <w:pPr>
              <w:spacing w:after="0"/>
              <w:rPr>
                <w:sz w:val="21"/>
                <w:szCs w:val="21"/>
                <w:color w:val="auto"/>
              </w:rPr>
            </w:pPr>
          </w:p>
        </w:tc>
      </w:tr>
      <w:tr>
        <w:trPr>
          <w:trHeight w:val="264"/>
        </w:trPr>
        <w:tc>
          <w:tcPr>
            <w:tcW w:w="6340" w:type="dxa"/>
            <w:vAlign w:val="bottom"/>
          </w:tcPr>
          <w:p>
            <w:pPr>
              <w:spacing w:after="0"/>
              <w:rPr>
                <w:sz w:val="20"/>
                <w:szCs w:val="20"/>
                <w:color w:val="auto"/>
              </w:rPr>
            </w:pPr>
            <w:r>
              <w:rPr>
                <w:rFonts w:ascii="Arial" w:cs="Arial" w:eastAsia="Arial" w:hAnsi="Arial"/>
                <w:sz w:val="18"/>
                <w:szCs w:val="18"/>
                <w:color w:val="auto"/>
              </w:rPr>
              <w:t>Revenue from related parties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62,164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144,734</w:t>
            </w:r>
          </w:p>
        </w:tc>
      </w:tr>
      <w:tr>
        <w:trPr>
          <w:trHeight w:val="256"/>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492,561</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321,859</w:t>
            </w:r>
          </w:p>
        </w:tc>
        <w:tc>
          <w:tcPr>
            <w:tcW w:w="60" w:type="dxa"/>
            <w:vAlign w:val="bottom"/>
          </w:tcPr>
          <w:p>
            <w:pPr>
              <w:spacing w:after="0"/>
              <w:rPr>
                <w:sz w:val="22"/>
                <w:szCs w:val="22"/>
                <w:color w:val="auto"/>
              </w:rPr>
            </w:pP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502,644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325,944</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loss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(10,083)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60" w:type="dxa"/>
            <w:vAlign w:val="bottom"/>
          </w:tcPr>
          <w:p>
            <w:pPr>
              <w:spacing w:after="0"/>
              <w:rPr>
                <w:sz w:val="22"/>
                <w:szCs w:val="22"/>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60" w:type="dxa"/>
            <w:vAlign w:val="bottom"/>
          </w:tcPr>
          <w:p>
            <w:pPr>
              <w:spacing w:after="0"/>
              <w:rPr>
                <w:sz w:val="22"/>
                <w:szCs w:val="22"/>
                <w:color w:val="auto"/>
              </w:rPr>
            </w:pPr>
          </w:p>
        </w:tc>
      </w:tr>
      <w:tr>
        <w:trPr>
          <w:trHeight w:val="257"/>
        </w:trPr>
        <w:tc>
          <w:tcPr>
            <w:tcW w:w="63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16,882</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12,262</w:t>
            </w:r>
          </w:p>
        </w:tc>
      </w:tr>
      <w:tr>
        <w:trPr>
          <w:trHeight w:val="25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23,159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60" w:type="dxa"/>
            <w:vAlign w:val="bottom"/>
          </w:tcPr>
          <w:p>
            <w:pPr>
              <w:spacing w:after="0"/>
              <w:rPr>
                <w:sz w:val="22"/>
                <w:szCs w:val="22"/>
                <w:color w:val="auto"/>
              </w:rPr>
            </w:pPr>
          </w:p>
        </w:tc>
      </w:tr>
      <w:tr>
        <w:trPr>
          <w:trHeight w:val="257"/>
        </w:trPr>
        <w:tc>
          <w:tcPr>
            <w:tcW w:w="6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2,249</w:t>
            </w:r>
          </w:p>
        </w:tc>
      </w:tr>
      <w:tr>
        <w:trPr>
          <w:trHeight w:val="263"/>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2"/>
                <w:szCs w:val="22"/>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(71,930)</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(39,926)</w:t>
            </w:r>
          </w:p>
        </w:tc>
      </w:tr>
      <w:tr>
        <w:trPr>
          <w:trHeight w:val="263"/>
        </w:trPr>
        <w:tc>
          <w:tcPr>
            <w:tcW w:w="6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60" w:type="dxa"/>
            <w:vAlign w:val="bottom"/>
          </w:tcPr>
          <w:p>
            <w:pPr>
              <w:spacing w:after="0"/>
              <w:rPr>
                <w:sz w:val="22"/>
                <w:szCs w:val="22"/>
                <w:color w:val="auto"/>
              </w:rPr>
            </w:pP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(74,804)</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(45,604)</w:t>
            </w:r>
          </w:p>
        </w:tc>
      </w:tr>
      <w:tr>
        <w:trPr>
          <w:trHeight w:val="256"/>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per unit</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6340" w:type="dxa"/>
            <w:vAlign w:val="bottom"/>
          </w:tcPr>
          <w:p>
            <w:pPr>
              <w:ind w:left="180"/>
              <w:spacing w:after="0"/>
              <w:rPr>
                <w:sz w:val="20"/>
                <w:szCs w:val="20"/>
                <w:color w:val="auto"/>
              </w:rPr>
            </w:pPr>
            <w:r>
              <w:rPr>
                <w:rFonts w:ascii="Arial" w:cs="Arial" w:eastAsia="Arial" w:hAnsi="Arial"/>
                <w:sz w:val="18"/>
                <w:szCs w:val="18"/>
                <w:color w:val="auto"/>
              </w:rPr>
              <w:t>Basic and diluted – Class A units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(5.76)</w:t>
            </w:r>
          </w:p>
        </w:tc>
      </w:tr>
      <w:tr>
        <w:trPr>
          <w:trHeight w:val="256"/>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units</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40" w:type="dxa"/>
            <w:vAlign w:val="bottom"/>
          </w:tcPr>
          <w:p>
            <w:pPr>
              <w:ind w:left="180"/>
              <w:spacing w:after="0"/>
              <w:rPr>
                <w:sz w:val="20"/>
                <w:szCs w:val="20"/>
                <w:color w:val="auto"/>
              </w:rPr>
            </w:pPr>
            <w:r>
              <w:rPr>
                <w:rFonts w:ascii="Arial" w:cs="Arial" w:eastAsia="Arial" w:hAnsi="Arial"/>
                <w:sz w:val="18"/>
                <w:szCs w:val="18"/>
                <w:color w:val="auto"/>
              </w:rPr>
              <w:t>Basic and diluted – Class A units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7,920,000</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7,920,000</w:t>
            </w:r>
          </w:p>
        </w:tc>
      </w:tr>
      <w:tr>
        <w:trPr>
          <w:trHeight w:val="33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Foreign currency translation (loss) gain, net of income tax expense of $0 in each</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63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tcPr>
          <w:p>
            <w:pPr>
              <w:spacing w:after="0"/>
              <w:rPr>
                <w:sz w:val="20"/>
                <w:szCs w:val="20"/>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990</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(44,614)</w:t>
            </w:r>
          </w:p>
        </w:tc>
        <w:tc>
          <w:tcPr>
            <w:tcW w:w="60" w:type="dxa"/>
            <w:vAlign w:val="bottom"/>
          </w:tcPr>
          <w:p>
            <w:pPr>
              <w:spacing w:after="0"/>
              <w:rPr>
                <w:sz w:val="24"/>
                <w:szCs w:val="24"/>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468884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-1088390</wp:posOffset>
            </wp:positionV>
            <wp:extent cx="468884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-1431290</wp:posOffset>
            </wp:positionV>
            <wp:extent cx="468884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-1791335</wp:posOffset>
            </wp:positionV>
            <wp:extent cx="468884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-3128645</wp:posOffset>
            </wp:positionV>
            <wp:extent cx="468884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-3471545</wp:posOffset>
            </wp:positionV>
            <wp:extent cx="468884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-3814445</wp:posOffset>
            </wp:positionV>
            <wp:extent cx="468058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CHANGES IN MEMBERS’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(DEFICIT) AND MEZZANINE EQUITY (UNAUDITED)</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(U.S. Dollars in Thousands except Member Units)</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Mezzanine Equity</w:t>
            </w:r>
          </w:p>
        </w:tc>
        <w:tc>
          <w:tcPr>
            <w:tcW w:w="18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Limited Members’ Capital</w:t>
            </w:r>
          </w:p>
        </w:tc>
        <w:tc>
          <w:tcPr>
            <w:tcW w:w="11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Comprehensive</w:t>
            </w:r>
          </w:p>
        </w:tc>
        <w:tc>
          <w:tcPr>
            <w:tcW w:w="100" w:type="dxa"/>
            <w:vAlign w:val="bottom"/>
          </w:tcPr>
          <w:p>
            <w:pPr>
              <w:spacing w:after="0"/>
              <w:rPr>
                <w:sz w:val="16"/>
                <w:szCs w:val="16"/>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14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Units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1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(Loss) Income</w:t>
            </w:r>
          </w:p>
        </w:tc>
        <w:tc>
          <w:tcPr>
            <w:tcW w:w="1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(Deficit)</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Equity (Deficit)</w:t>
            </w:r>
          </w:p>
        </w:tc>
        <w:tc>
          <w:tcPr>
            <w:tcW w:w="0" w:type="dxa"/>
            <w:vAlign w:val="bottom"/>
          </w:tcPr>
          <w:p>
            <w:pPr>
              <w:spacing w:after="0"/>
              <w:rPr>
                <w:sz w:val="1"/>
                <w:szCs w:val="1"/>
                <w:color w:val="auto"/>
              </w:rPr>
            </w:pPr>
          </w:p>
        </w:tc>
      </w:tr>
      <w:tr>
        <w:trPr>
          <w:trHeight w:val="26"/>
        </w:trPr>
        <w:tc>
          <w:tcPr>
            <w:tcW w:w="3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2019</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7,920,000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97,372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(1,279)</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(70,588)</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$ 25,505</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8"/>
                <w:szCs w:val="18"/>
                <w:color w:val="auto"/>
              </w:rPr>
              <w:t>Capital contribution</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(45,604)</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(45,604)</w:t>
            </w:r>
          </w:p>
        </w:tc>
        <w:tc>
          <w:tcPr>
            <w:tcW w:w="0" w:type="dxa"/>
            <w:vAlign w:val="bottom"/>
          </w:tcPr>
          <w:p>
            <w:pPr>
              <w:spacing w:after="0"/>
              <w:rPr>
                <w:sz w:val="1"/>
                <w:szCs w:val="1"/>
                <w:color w:val="auto"/>
              </w:rPr>
            </w:pPr>
          </w:p>
        </w:tc>
      </w:tr>
      <w:tr>
        <w:trPr>
          <w:trHeight w:val="256"/>
        </w:trPr>
        <w:tc>
          <w:tcPr>
            <w:tcW w:w="3140" w:type="dxa"/>
            <w:vAlign w:val="bottom"/>
          </w:tcPr>
          <w:p>
            <w:pPr>
              <w:ind w:left="180"/>
              <w:spacing w:after="0"/>
              <w:rPr>
                <w:sz w:val="20"/>
                <w:szCs w:val="20"/>
                <w:color w:val="auto"/>
              </w:rPr>
            </w:pPr>
            <w:r>
              <w:rPr>
                <w:rFonts w:ascii="Arial" w:cs="Arial" w:eastAsia="Arial" w:hAnsi="Arial"/>
                <w:sz w:val="18"/>
                <w:szCs w:val="18"/>
                <w:color w:val="auto"/>
              </w:rPr>
              <w:t>Other comprehensive income, net of</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income tax benefit of $0</w:t>
            </w:r>
          </w:p>
        </w:tc>
        <w:tc>
          <w:tcPr>
            <w:tcW w:w="9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7,920,000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99,872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(116,192)</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$(16,609)</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7,920,000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99,872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(117,298)</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$(17,225)</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contribution</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56"/>
        </w:trPr>
        <w:tc>
          <w:tcPr>
            <w:tcW w:w="3140" w:type="dxa"/>
            <w:vAlign w:val="bottom"/>
          </w:tcPr>
          <w:p>
            <w:pPr>
              <w:ind w:left="180"/>
              <w:spacing w:after="0"/>
              <w:rPr>
                <w:sz w:val="20"/>
                <w:szCs w:val="20"/>
                <w:color w:val="auto"/>
              </w:rPr>
            </w:pPr>
            <w:r>
              <w:rPr>
                <w:rFonts w:ascii="Arial" w:cs="Arial" w:eastAsia="Arial" w:hAnsi="Arial"/>
                <w:sz w:val="18"/>
                <w:szCs w:val="18"/>
                <w:color w:val="auto"/>
              </w:rPr>
              <w:t>Issuance of Class B membership</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units, net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1,250,000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117,272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(74,804)</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(74,804)</w:t>
            </w:r>
          </w:p>
        </w:tc>
        <w:tc>
          <w:tcPr>
            <w:tcW w:w="0" w:type="dxa"/>
            <w:vAlign w:val="bottom"/>
          </w:tcPr>
          <w:p>
            <w:pPr>
              <w:spacing w:after="0"/>
              <w:rPr>
                <w:sz w:val="1"/>
                <w:szCs w:val="1"/>
                <w:color w:val="auto"/>
              </w:rPr>
            </w:pPr>
          </w:p>
        </w:tc>
      </w:tr>
      <w:tr>
        <w:trPr>
          <w:trHeight w:val="256"/>
        </w:trPr>
        <w:tc>
          <w:tcPr>
            <w:tcW w:w="3140" w:type="dxa"/>
            <w:vAlign w:val="bottom"/>
          </w:tcPr>
          <w:p>
            <w:pPr>
              <w:ind w:left="180"/>
              <w:spacing w:after="0"/>
              <w:rPr>
                <w:sz w:val="20"/>
                <w:szCs w:val="20"/>
                <w:color w:val="auto"/>
              </w:rPr>
            </w:pPr>
            <w:r>
              <w:rPr>
                <w:rFonts w:ascii="Arial" w:cs="Arial" w:eastAsia="Arial" w:hAnsi="Arial"/>
                <w:sz w:val="18"/>
                <w:szCs w:val="18"/>
                <w:color w:val="auto"/>
              </w:rPr>
              <w:t>Other comprehensive loss, net of</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income tax benefit of $0</w:t>
            </w:r>
          </w:p>
        </w:tc>
        <w:tc>
          <w:tcPr>
            <w:tcW w:w="9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1,250,000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$117,272</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7,920,000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106,152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(192,102)</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$(86,459)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6397625</wp:posOffset>
            </wp:positionH>
            <wp:positionV relativeFrom="paragraph">
              <wp:posOffset>-170815</wp:posOffset>
            </wp:positionV>
            <wp:extent cx="939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-170815</wp:posOffset>
            </wp:positionV>
            <wp:extent cx="21463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-170815</wp:posOffset>
            </wp:positionV>
            <wp:extent cx="2489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-170815</wp:posOffset>
            </wp:positionV>
            <wp:extent cx="22288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-170815</wp:posOffset>
            </wp:positionV>
            <wp:extent cx="12890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-170815</wp:posOffset>
            </wp:positionV>
            <wp:extent cx="11112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-170815</wp:posOffset>
            </wp:positionV>
            <wp:extent cx="258000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6397625</wp:posOffset>
            </wp:positionH>
            <wp:positionV relativeFrom="paragraph">
              <wp:posOffset>-1447800</wp:posOffset>
            </wp:positionV>
            <wp:extent cx="939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-1447800</wp:posOffset>
            </wp:positionV>
            <wp:extent cx="21463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-1447800</wp:posOffset>
            </wp:positionV>
            <wp:extent cx="2489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-1447800</wp:posOffset>
            </wp:positionV>
            <wp:extent cx="22288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-1447800</wp:posOffset>
            </wp:positionV>
            <wp:extent cx="12890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-1447800</wp:posOffset>
            </wp:positionV>
            <wp:extent cx="1111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-1447800</wp:posOffset>
            </wp:positionV>
            <wp:extent cx="258000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-2253615</wp:posOffset>
            </wp:positionV>
            <wp:extent cx="12001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-2253615</wp:posOffset>
            </wp:positionV>
            <wp:extent cx="1200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-2253615</wp:posOffset>
            </wp:positionV>
            <wp:extent cx="1117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-2253615</wp:posOffset>
            </wp:positionV>
            <wp:extent cx="12001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-2253615</wp:posOffset>
            </wp:positionV>
            <wp:extent cx="1028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-2253615</wp:posOffset>
            </wp:positionV>
            <wp:extent cx="257175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222" w:name="page223"/>
    <w:bookmarkEnd w:id="222"/>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12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65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26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(74,804)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w w:val="92"/>
              </w:rPr>
              <w:t>(45,604)</w:t>
            </w:r>
          </w:p>
        </w:tc>
      </w:tr>
      <w:tr>
        <w:trPr>
          <w:trHeight w:val="202"/>
        </w:trPr>
        <w:tc>
          <w:tcPr>
            <w:tcW w:w="1260" w:type="dxa"/>
            <w:vAlign w:val="bottom"/>
          </w:tcPr>
          <w:p>
            <w:pPr>
              <w:spacing w:after="0"/>
              <w:rPr>
                <w:sz w:val="17"/>
                <w:szCs w:val="17"/>
                <w:color w:val="auto"/>
              </w:rPr>
            </w:pPr>
          </w:p>
        </w:tc>
        <w:tc>
          <w:tcPr>
            <w:tcW w:w="65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 in) provided by operating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3,494</w:t>
            </w:r>
          </w:p>
        </w:tc>
        <w:tc>
          <w:tcPr>
            <w:tcW w:w="80" w:type="dxa"/>
            <w:vAlign w:val="bottom"/>
          </w:tcPr>
          <w:p>
            <w:pPr>
              <w:spacing w:after="0"/>
              <w:rPr>
                <w:sz w:val="18"/>
                <w:szCs w:val="18"/>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2,249</w:t>
            </w: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provision</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1,630</w:t>
            </w:r>
          </w:p>
        </w:tc>
      </w:tr>
      <w:tr>
        <w:trPr>
          <w:trHeight w:val="216"/>
        </w:trPr>
        <w:tc>
          <w:tcPr>
            <w:tcW w:w="126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(29,359)</w:t>
            </w:r>
          </w:p>
        </w:tc>
        <w:tc>
          <w:tcPr>
            <w:tcW w:w="80" w:type="dxa"/>
            <w:vAlign w:val="bottom"/>
          </w:tcPr>
          <w:p>
            <w:pPr>
              <w:spacing w:after="0"/>
              <w:rPr>
                <w:sz w:val="18"/>
                <w:szCs w:val="18"/>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w w:val="92"/>
              </w:rPr>
              <w:t>(37,538)</w:t>
            </w: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(17,108)</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Receivables from related parties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24,689</w:t>
            </w:r>
          </w:p>
        </w:tc>
        <w:tc>
          <w:tcPr>
            <w:tcW w:w="80" w:type="dxa"/>
            <w:vAlign w:val="bottom"/>
          </w:tcPr>
          <w:p>
            <w:pPr>
              <w:spacing w:after="0"/>
              <w:rPr>
                <w:sz w:val="19"/>
                <w:szCs w:val="19"/>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w w:val="92"/>
              </w:rPr>
              <w:t>(68,816)</w:t>
            </w:r>
          </w:p>
        </w:tc>
      </w:tr>
      <w:tr>
        <w:trPr>
          <w:trHeight w:val="229"/>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Advances to suppliers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(11,259)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(26,052)</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(319,946)</w:t>
            </w:r>
          </w:p>
        </w:tc>
        <w:tc>
          <w:tcPr>
            <w:tcW w:w="80" w:type="dxa"/>
            <w:vAlign w:val="bottom"/>
          </w:tcPr>
          <w:p>
            <w:pPr>
              <w:spacing w:after="0"/>
              <w:rPr>
                <w:sz w:val="19"/>
                <w:szCs w:val="19"/>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w w:val="92"/>
              </w:rPr>
              <w:t>(40,510)</w:t>
            </w:r>
          </w:p>
        </w:tc>
      </w:tr>
      <w:tr>
        <w:trPr>
          <w:trHeight w:val="229"/>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(13,885)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(2,046)</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1,147</w:t>
            </w: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46,557</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Payables and deferred revenue with related parties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144,038</w:t>
            </w:r>
          </w:p>
        </w:tc>
        <w:tc>
          <w:tcPr>
            <w:tcW w:w="80" w:type="dxa"/>
            <w:vAlign w:val="bottom"/>
          </w:tcPr>
          <w:p>
            <w:pPr>
              <w:spacing w:after="0"/>
              <w:rPr>
                <w:sz w:val="19"/>
                <w:szCs w:val="19"/>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w w:val="92"/>
              </w:rPr>
              <w:t>(39,720)</w:t>
            </w: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16,545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30,144</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Current accruals and provisions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129,127</w:t>
            </w:r>
          </w:p>
        </w:tc>
        <w:tc>
          <w:tcPr>
            <w:tcW w:w="8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w w:val="86"/>
              </w:rPr>
              <w:t>115,629</w:t>
            </w: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Taxes payable</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2,054</w:t>
            </w:r>
          </w:p>
        </w:tc>
      </w:tr>
      <w:tr>
        <w:trPr>
          <w:trHeight w:val="257"/>
        </w:trPr>
        <w:tc>
          <w:tcPr>
            <w:tcW w:w="1260" w:type="dxa"/>
            <w:vAlign w:val="bottom"/>
          </w:tcPr>
          <w:p>
            <w:pPr>
              <w:spacing w:after="0"/>
              <w:rPr>
                <w:sz w:val="22"/>
                <w:szCs w:val="22"/>
                <w:color w:val="auto"/>
              </w:rPr>
            </w:pPr>
          </w:p>
        </w:tc>
        <w:tc>
          <w:tcPr>
            <w:tcW w:w="6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(139,277)</w:t>
            </w:r>
          </w:p>
        </w:tc>
        <w:tc>
          <w:tcPr>
            <w:tcW w:w="80" w:type="dxa"/>
            <w:vAlign w:val="bottom"/>
          </w:tcPr>
          <w:p>
            <w:pPr>
              <w:spacing w:after="0"/>
              <w:rPr>
                <w:sz w:val="19"/>
                <w:szCs w:val="19"/>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w w:val="92"/>
              </w:rPr>
              <w:t>(75,865)</w:t>
            </w:r>
          </w:p>
        </w:tc>
      </w:tr>
      <w:tr>
        <w:trPr>
          <w:trHeight w:val="297"/>
        </w:trPr>
        <w:tc>
          <w:tcPr>
            <w:tcW w:w="1260" w:type="dxa"/>
            <w:vAlign w:val="bottom"/>
          </w:tcPr>
          <w:p>
            <w:pPr>
              <w:spacing w:after="0"/>
              <w:rPr>
                <w:sz w:val="24"/>
                <w:szCs w:val="24"/>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Proceeds from short-term investments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19,306</w:t>
            </w:r>
          </w:p>
        </w:tc>
      </w:tr>
      <w:tr>
        <w:trPr>
          <w:trHeight w:val="229"/>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business acquisition</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(2,999)</w:t>
            </w:r>
          </w:p>
        </w:tc>
        <w:tc>
          <w:tcPr>
            <w:tcW w:w="80" w:type="dxa"/>
            <w:vAlign w:val="bottom"/>
          </w:tcPr>
          <w:p>
            <w:pPr>
              <w:spacing w:after="0"/>
              <w:rPr>
                <w:sz w:val="22"/>
                <w:szCs w:val="22"/>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rPr>
              <w:t>(1,013)</w:t>
            </w: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(20,999)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18,293</w:t>
            </w:r>
          </w:p>
        </w:tc>
        <w:tc>
          <w:tcPr>
            <w:tcW w:w="1260" w:type="dxa"/>
            <w:vAlign w:val="bottom"/>
          </w:tcPr>
          <w:p>
            <w:pPr>
              <w:spacing w:after="0"/>
              <w:rPr>
                <w:sz w:val="19"/>
                <w:szCs w:val="19"/>
                <w:color w:val="auto"/>
              </w:rPr>
            </w:pPr>
          </w:p>
        </w:tc>
      </w:tr>
      <w:tr>
        <w:trPr>
          <w:trHeight w:val="297"/>
        </w:trPr>
        <w:tc>
          <w:tcPr>
            <w:tcW w:w="126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contribution from Members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Proceeds from issuance of Class B membership units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125,000</w:t>
            </w:r>
          </w:p>
        </w:tc>
        <w:tc>
          <w:tcPr>
            <w:tcW w:w="8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transaction cost related to issuance of Class B membership units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(7,728)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Borrowing from promissory notes – related parties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promissory notes – related parties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Borrowing from line of credit</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8,000</w:t>
            </w:r>
          </w:p>
        </w:tc>
      </w:tr>
      <w:tr>
        <w:trPr>
          <w:trHeight w:val="230"/>
        </w:trPr>
        <w:tc>
          <w:tcPr>
            <w:tcW w:w="1260" w:type="dxa"/>
            <w:vAlign w:val="bottom"/>
          </w:tcPr>
          <w:p>
            <w:pPr>
              <w:spacing w:after="0"/>
              <w:rPr>
                <w:sz w:val="19"/>
                <w:szCs w:val="19"/>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to line of credit</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Payments of deferred equity issuance costs</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9"/>
                <w:szCs w:val="19"/>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r>
      <w:tr>
        <w:trPr>
          <w:trHeight w:val="256"/>
        </w:trPr>
        <w:tc>
          <w:tcPr>
            <w:tcW w:w="1260" w:type="dxa"/>
            <w:vAlign w:val="bottom"/>
          </w:tcPr>
          <w:p>
            <w:pPr>
              <w:spacing w:after="0"/>
              <w:rPr>
                <w:sz w:val="22"/>
                <w:szCs w:val="22"/>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3,189</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125,729</w:t>
            </w:r>
          </w:p>
        </w:tc>
        <w:tc>
          <w:tcPr>
            <w:tcW w:w="80" w:type="dxa"/>
            <w:vAlign w:val="bottom"/>
          </w:tcPr>
          <w:p>
            <w:pPr>
              <w:spacing w:after="0"/>
              <w:rPr>
                <w:sz w:val="21"/>
                <w:szCs w:val="21"/>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10,500</w:t>
            </w: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(35,310)</w:t>
            </w:r>
          </w:p>
        </w:tc>
        <w:tc>
          <w:tcPr>
            <w:tcW w:w="80" w:type="dxa"/>
            <w:vAlign w:val="bottom"/>
          </w:tcPr>
          <w:p>
            <w:pPr>
              <w:spacing w:after="0"/>
              <w:rPr>
                <w:sz w:val="19"/>
                <w:szCs w:val="19"/>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w w:val="92"/>
              </w:rPr>
              <w:t>(46,123)</w:t>
            </w:r>
          </w:p>
        </w:tc>
      </w:tr>
      <w:tr>
        <w:trPr>
          <w:trHeight w:val="256"/>
        </w:trPr>
        <w:tc>
          <w:tcPr>
            <w:tcW w:w="1260" w:type="dxa"/>
            <w:vAlign w:val="bottom"/>
          </w:tcPr>
          <w:p>
            <w:pPr>
              <w:spacing w:after="0"/>
              <w:rPr>
                <w:sz w:val="22"/>
                <w:szCs w:val="22"/>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as of the beginning of the period</w:t>
            </w:r>
          </w:p>
        </w:tc>
        <w:tc>
          <w:tcPr>
            <w:tcW w:w="10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95,051</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87,020</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cash equivalents, and restricted cash as of the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59,741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40,897</w:t>
            </w:r>
          </w:p>
        </w:tc>
      </w:tr>
      <w:tr>
        <w:trPr>
          <w:trHeight w:val="304"/>
        </w:trPr>
        <w:tc>
          <w:tcPr>
            <w:tcW w:w="1260" w:type="dxa"/>
            <w:vAlign w:val="bottom"/>
          </w:tcPr>
          <w:p>
            <w:pPr>
              <w:spacing w:after="0"/>
              <w:rPr>
                <w:sz w:val="24"/>
                <w:szCs w:val="24"/>
                <w:color w:val="auto"/>
              </w:rPr>
            </w:pPr>
          </w:p>
        </w:tc>
        <w:tc>
          <w:tcPr>
            <w:tcW w:w="6560" w:type="dxa"/>
            <w:vAlign w:val="bottom"/>
          </w:tcPr>
          <w:p>
            <w:pPr>
              <w:ind w:left="166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6560" w:type="dxa"/>
            <w:vAlign w:val="bottom"/>
          </w:tcPr>
          <w:p>
            <w:pPr>
              <w:ind w:left="3900"/>
              <w:spacing w:after="0"/>
              <w:rPr>
                <w:sz w:val="20"/>
                <w:szCs w:val="20"/>
                <w:color w:val="auto"/>
              </w:rPr>
            </w:pPr>
            <w:r>
              <w:rPr>
                <w:rFonts w:ascii="Arial" w:cs="Arial" w:eastAsia="Arial" w:hAnsi="Arial"/>
                <w:sz w:val="18"/>
                <w:szCs w:val="18"/>
                <w:color w:val="auto"/>
              </w:rPr>
              <w:t>F-27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-1319530</wp:posOffset>
            </wp:positionV>
            <wp:extent cx="478345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7834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-3162300</wp:posOffset>
            </wp:positionV>
            <wp:extent cx="47834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-7114540</wp:posOffset>
            </wp:positionV>
            <wp:extent cx="477456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3" w:name="page224"/>
    <w:bookmarkEnd w:id="223"/>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FLUENCE ENERGY, LLC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 and Operations</w:t>
      </w:r>
    </w:p>
    <w:p>
      <w:pPr>
        <w:spacing w:after="0" w:line="148"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Fluence Energy, LLC (Fluence), a Delaware limited liability company, was formed on June 30, 2017, and commenced operations on January 1, 2018 (Effective Date). Fluence, with its wholly owned subsidiaries including Fluence Energy GmbH in Germany, Fluence Energy Pty Ltd. in Australia, and Fluence Energy Inc. in the Philippines, is primarily engaged in the construction and sale of battery-based energy storage products and provides related operational services. As of June 30, 2021, AES Grid Stability (“AES”) holds 3,960,000 Class A units, or 43.2% of our limited liability interest, Siemens Industry (“Siemens”) holds 3,960,000 Class A units, or 43.2% of our limited liability interest and Qatar Investment Authority (“QIA”) holds 1,250,000 Class B units, or 13.6% of our limited liability interests. Except where the content clearly indicates otherwise, “Fluence,” “we,” “us,” “our” or the “Company” refers to Fluence Energy, LLC and its wholly owned subsidiaries.</w:t>
      </w:r>
    </w:p>
    <w:p>
      <w:pPr>
        <w:spacing w:after="0" w:line="121"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The Company’s chief operating decision maker (“CODM”) is its Chief Executive Officer. The Company’s CODM reviews financial information on a condensed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 and Estimates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Principles of Accounting and Consolidation</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accompanying condensed consolidated financial statements are prepared in accordance with U.S. generally accepted accounting principles (U.S. GAAP) and under the rules of the Securities and Exchange Commission (SEC). The accompanying condensed consolidated financial statements include the accounts of Fluence and its subsidiaries. All intercompany balances and transactions have been eliminated in consolidation.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4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The accompanying condensed financial statements as of June 30, 2021, and for the nine months ended June 30, 2021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2021 and the results of its operations and its cash flows for the nine months ended June 30, 2021 and 2020. The financial data and other information disclosed in these notes related to the nine months ended June 30, 2021 and 2020 are also unaudited. The results for the nine months ended June 30, 2021 and 2020 are not necessarily indicative of results for the full year ending September 30, 2021 and 2020, any other interim periods, or any future year or period. The balance sheet as of September 30, 2020 included herein was derived from the audited financial statements as of that date. Certain disclosures have been condensed or omitted from the interim financial statements. These financial statements should be read in conjunction with the Company’s audited financial statements.</w:t>
      </w:r>
    </w:p>
    <w:p>
      <w:pPr>
        <w:spacing w:after="0" w:line="116" w:lineRule="exact"/>
        <w:rPr>
          <w:sz w:val="20"/>
          <w:szCs w:val="20"/>
          <w:color w:val="auto"/>
        </w:rPr>
      </w:pPr>
    </w:p>
    <w:p>
      <w:pPr>
        <w:jc w:val="both"/>
        <w:ind w:left="1260" w:right="1079" w:firstLine="360"/>
        <w:spacing w:after="0" w:line="248" w:lineRule="auto"/>
        <w:rPr>
          <w:sz w:val="20"/>
          <w:szCs w:val="20"/>
          <w:color w:val="auto"/>
        </w:rPr>
      </w:pPr>
      <w:r>
        <w:rPr>
          <w:rFonts w:ascii="Arial" w:cs="Arial" w:eastAsia="Arial" w:hAnsi="Arial"/>
          <w:sz w:val="18"/>
          <w:szCs w:val="18"/>
          <w:color w:val="auto"/>
        </w:rPr>
        <w:t>For a complete description of our significant accounting policies, refer to Note 2—</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and Estimates </w:t>
      </w:r>
      <w:r>
        <w:rPr>
          <w:rFonts w:ascii="Arial" w:cs="Arial" w:eastAsia="Arial" w:hAnsi="Arial"/>
          <w:sz w:val="18"/>
          <w:szCs w:val="18"/>
          <w:color w:val="auto"/>
        </w:rPr>
        <w:t>on our annual financial statements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2020. We include herein certain updates to those policies.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We allocate acquisition price to the assets acquired and liabilities assumed based on their estimated fair values. The excess of acquisition price over fair value of the acquired assets and liabilities assumed is recorded as goodwill. Such valuations require management to make estimates and assumptions that affect the amounts reported in our unaudited condensed consolidated financial statements and accompanying notes. Actual results could differ from those estimates.</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35" w:lineRule="exact"/>
        <w:rPr>
          <w:sz w:val="20"/>
          <w:szCs w:val="20"/>
          <w:color w:val="auto"/>
        </w:rPr>
      </w:pPr>
    </w:p>
    <w:p>
      <w:pPr>
        <w:ind w:left="1260" w:right="679" w:firstLine="360"/>
        <w:spacing w:after="0" w:line="246" w:lineRule="auto"/>
        <w:rPr>
          <w:sz w:val="20"/>
          <w:szCs w:val="20"/>
          <w:color w:val="auto"/>
        </w:rPr>
      </w:pPr>
      <w:r>
        <w:rPr>
          <w:rFonts w:ascii="Arial" w:cs="Arial" w:eastAsia="Arial" w:hAnsi="Arial"/>
          <w:sz w:val="18"/>
          <w:szCs w:val="18"/>
          <w:color w:val="auto"/>
        </w:rPr>
        <w:t>Cash and cash equivalents include cash on-hand and highly liquid investments readily convertible to cash, with an original maturity of 90 days or less when purchased.</w:t>
      </w:r>
    </w:p>
    <w:p>
      <w:pPr>
        <w:spacing w:after="0" w:line="102"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Cash restricted for use as a result of financing or other obligations is classified separately as restricted cash in other current assets.</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The following table provides the components of cash, cash equivalents, and restricted cash as shown on the condensed consolidated statements of cash flows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2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As of June 30,</w:t>
            </w:r>
          </w:p>
        </w:tc>
      </w:tr>
      <w:tr>
        <w:trPr>
          <w:trHeight w:val="26"/>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26"/>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$58,497</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$38,972</w:t>
            </w:r>
          </w:p>
        </w:tc>
      </w:tr>
      <w:tr>
        <w:trPr>
          <w:trHeight w:val="263"/>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included in other 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r>
      <w:tr>
        <w:trPr>
          <w:trHeight w:val="295"/>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$59,741</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$40,897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36308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95" w:lineRule="exact"/>
        <w:rPr>
          <w:sz w:val="20"/>
          <w:szCs w:val="20"/>
          <w:color w:val="auto"/>
        </w:rPr>
      </w:pPr>
    </w:p>
    <w:p>
      <w:pPr>
        <w:jc w:val="both"/>
        <w:ind w:left="1260" w:right="599" w:firstLine="360"/>
        <w:spacing w:after="0" w:line="294" w:lineRule="auto"/>
        <w:rPr>
          <w:sz w:val="20"/>
          <w:szCs w:val="20"/>
          <w:color w:val="auto"/>
        </w:rPr>
      </w:pPr>
      <w:r>
        <w:rPr>
          <w:rFonts w:ascii="Arial" w:cs="Arial" w:eastAsia="Arial" w:hAnsi="Arial"/>
          <w:sz w:val="16"/>
          <w:szCs w:val="16"/>
          <w:color w:val="auto"/>
        </w:rPr>
        <w:t>Restricted cash included in “Other current assets” on the condensed consolidated balance sheets as of June 30, 2021 consists of $923 thousand of collateral for credit card program (June 2020: $910 thousand) and $321 thousand of collateral for outstanding bank guarantees (June 2020: $1,015 thousand).</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and Cost Recognition</w:t>
      </w:r>
    </w:p>
    <w:p>
      <w:pPr>
        <w:spacing w:after="0" w:line="14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b w:val="1"/>
          <w:bCs w:val="1"/>
          <w:i w:val="1"/>
          <w:iCs w:val="1"/>
          <w:color w:val="auto"/>
        </w:rPr>
        <w:t xml:space="preserve">Revenue from Digital Applications and Solutions: </w:t>
      </w:r>
      <w:r>
        <w:rPr>
          <w:rFonts w:ascii="Arial" w:cs="Arial" w:eastAsia="Arial" w:hAnsi="Arial"/>
          <w:sz w:val="18"/>
          <w:szCs w:val="18"/>
          <w:color w:val="auto"/>
        </w:rPr>
        <w:t>In October 2020, Fluence acquired the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Microgrid Solutions (“AMS”) software and digital intelligence platform, which became the Fluence Trading Platform. Contracts involving the Fluence Trading Platform are generally entered into with commercial entities that control utility -scale storage and renewable generation assets. Fluence Trading Platform arrangements consist of a promise to provide access to proprietary cloud-based Software-as-a-Service (“SaaS”) to promote enhanced financial returns on the utility-scale storage and renewable generation assets. The Fluence Trading Platform is a hosted service that delivers automated, market -compliant bids to local electricity market operators. Customers do not receive legal title or ownership of the software as a result of these arrangements. The term for Fluence’s contracts with Trading Platform customers is generally 5 years, which may include certain renewal options to extend the initial contract term or certain termination options to reduce the initial contract term.</w:t>
      </w:r>
    </w:p>
    <w:p>
      <w:pPr>
        <w:spacing w:after="0" w:line="12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Fluence Trading Platform is technology- and vendor-agnostic (i.e. it can be utilized for wind and solar assets as well as non-Fluence systems). The Fluence Trading Platform is separately identifiable from other promises that Fluence offers to its customers (i.e. it is not highly interrelated or integrated with other solutions). As such, Fluence determined that the Fluence Trading Platform is accounted for as a separate performance obligation. Revenue from the Fluence Trading Platform includes an integration fee and a monthly subscription fee. We consider the access to the Fluence Trading Platform and related support services in a customer contract to be a series of distinct services which comprise a single performance obligation because they are substantially the same and have the same pattern of transfer. We record amounts that have been invoiced in accounts receivable and in deferred revenue or revenues, depending on whether the revenue recognition criteria have been met.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is used to classify assets and liabilities based on the observable inputs and unobservable inputs used to value the assets and liabilities:</w:t>
      </w:r>
    </w:p>
    <w:p>
      <w:pPr>
        <w:spacing w:after="0" w:line="99"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5" w:name="page226"/>
    <w:bookmarkEnd w:id="225"/>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1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any recurring Level 3 fair value measurements.</w:t>
      </w:r>
    </w:p>
    <w:p>
      <w:pPr>
        <w:spacing w:after="0" w:line="11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Company’s cash equivalents include term deposits with original maturity of less than three months and are recorded at amortized cost. Fair value of cash equivalents approximates the carrying amount using Level 2 inputs. The carrying amounts of trade receivables, accounts payable and short-term debt obligations approximate fair values due to their short maturities using Level 2 inputs.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Unit-Based Compensation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Employees, directors, consultants and other independent contractors are eligible to receive equity awards and other forms of compensation under the 2020 Unit Option Plan (“the Option Plan”) and the Phantom Equity Incentive Plan (“the Incentive Plan”). Units awarded under the Option Plan are subject to a service condition and a performance condition (i.e. a liquidity event), as defined within the plan, both of which are required for vesting. Units awarded under the Incentive Plan vest subject to a liquidity event, as defined within the plan. As a liquidity event has not occurred, no compensation costs have been recorded under either plan in the periods presented.</w:t>
      </w:r>
    </w:p>
    <w:p>
      <w:pPr>
        <w:spacing w:after="0" w:line="114" w:lineRule="exact"/>
        <w:rPr>
          <w:sz w:val="20"/>
          <w:szCs w:val="20"/>
          <w:color w:val="auto"/>
        </w:rPr>
      </w:pPr>
    </w:p>
    <w:p>
      <w:pPr>
        <w:ind w:left="1260" w:right="459" w:firstLine="360"/>
        <w:spacing w:after="0" w:line="293" w:lineRule="auto"/>
        <w:rPr>
          <w:sz w:val="20"/>
          <w:szCs w:val="20"/>
          <w:color w:val="auto"/>
        </w:rPr>
      </w:pPr>
      <w:r>
        <w:rPr>
          <w:rFonts w:ascii="Arial" w:cs="Arial" w:eastAsia="Arial" w:hAnsi="Arial"/>
          <w:sz w:val="16"/>
          <w:szCs w:val="16"/>
          <w:color w:val="auto"/>
        </w:rPr>
        <w:t xml:space="preserve">The Company recognizes the costs associated with granting unit-based awards using a fair value-based measure in accordance with the requirements of Accounting Standards Codification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(ASC 718). The Company estimates the fair value of the unit-based awards,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unit options and phantom awards, using the Black-Scholes option-pricing model. Determining the fair value of unit-based awards requires the use of highly subjective assumptions, including the fair value of the unit underlying the award, the expected term of the award and expected unit price volatility.</w:t>
      </w:r>
    </w:p>
    <w:p>
      <w:pPr>
        <w:spacing w:after="0" w:line="97"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assumptions used in determining the fair value of unit-based awards represent management’s estimates, which involve inherent uncertainties and the application of management judgment. As a result, if factors change, and different assumptions are employed, unit-based compensation could be materially different in the future. The risk-free interest rates are based on the U.S. Treasury yield curve in effect at the time of grant, with maturities approximating the expected life of the unit options. The Company uses historical volatility of a selected group of guideline publicly traded entities as the expected volatility assumption.</w:t>
      </w:r>
    </w:p>
    <w:p>
      <w:pPr>
        <w:spacing w:after="0" w:line="127"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The Company has made a policy election to account for forfeitures as they occur. If there are any modifications of the underlying invested securities or the terms of the unit option or phantom unit, it may be necessary to accelerate or increase any remaining unamortized unit-based compensation expense.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Earnings (Loss) per Unit</w:t>
      </w:r>
    </w:p>
    <w:p>
      <w:pPr>
        <w:spacing w:after="0" w:line="148"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As of June 30, 2021, the Company has three Classes of Membership Interest units, Class A, Class A-1 and Class B. Earnings (loss) per unit is calculated and reported under the “two-class” method. The “two-class” method is an earnings allocation method under which earnings (loss) per unit is calculated for each class of common LLC member units considering both distributions declared or accumulated and participation rights in undistributed earnings as if all such earnings (loss) had been distributed during the period. Class B unit holders have a liquidation preference equal to their initial investment and do not have an obligation to fund losses of the business. When calculating the earnings (loss) per unit in the current period, the Class B units are not allocated any losses.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6" w:name="page227"/>
    <w:bookmarkEnd w:id="226"/>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Company calculates basic earnings (loss) per common LLC member unit by dividing net income (loss) by the average number of common LLC member unit outstanding during the period, excluding Class B units because of their liquidation preference. Diluted earnings per unit is calculated after consideration of the potential dilutive effect of common LLC member unit equivalents on the average number of common LLC member units outstanding during the period. Dilution is not considered when a net loss is reported. Common LLC member unit equivalents that have an antidilutive effect are excluded from the computation of diluted earnings per common LLC member unit. As of June 30, 2021, the Company had common LLC member unit equivalents in the form of unit options and phantom units, as further discussed in Note 16—</w:t>
      </w:r>
      <w:r>
        <w:rPr>
          <w:rFonts w:ascii="Arial" w:cs="Arial" w:eastAsia="Arial" w:hAnsi="Arial"/>
          <w:sz w:val="18"/>
          <w:szCs w:val="18"/>
          <w:i w:val="1"/>
          <w:iCs w:val="1"/>
          <w:color w:val="auto"/>
        </w:rPr>
        <w:t>Unit-Based Compensation.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 Split</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December 2020, the Company approved an amendment to its Limited Liability Company Agreement to effect a 1:1,320 unit split of the Company’s Class A units, which was effected on December 29, 2020. The par value of the common unit was not adjusted as a result of the unit split. All common LLC member units and per unit data have been retrospectively revised to reflect the unit split.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1260" w:right="639" w:firstLine="360"/>
        <w:spacing w:after="0" w:line="294" w:lineRule="auto"/>
        <w:rPr>
          <w:sz w:val="20"/>
          <w:szCs w:val="20"/>
          <w:color w:val="auto"/>
        </w:rPr>
      </w:pPr>
      <w:r>
        <w:rPr>
          <w:rFonts w:ascii="Arial" w:cs="Arial" w:eastAsia="Arial" w:hAnsi="Arial"/>
          <w:sz w:val="16"/>
          <w:szCs w:val="16"/>
          <w:color w:val="auto"/>
        </w:rPr>
        <w:t>The Company is treated as a partnership for U.S. federal income tax purposes. As such, the members are individually liable for their own distributable share of taxable income or loss. No provision has been made in the accompanying consolidated financial statements for U.S. federal, state or local income taxes.</w:t>
      </w:r>
    </w:p>
    <w:p>
      <w:pPr>
        <w:spacing w:after="0" w:line="80"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 xml:space="preserve">Foreign subsidiaries of the Company account for income taxes and the related accounts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Under ASC 740, 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91"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The Company recognizes the tax benefits from uncertain tax positions if it is more likely than not that the position will be sustained on examination by the taxing authorities. The Company recognizes interest and penalties related to unrecognized tax benefits as a component of income tax expense. For the</w:t>
      </w:r>
    </w:p>
    <w:p>
      <w:pPr>
        <w:ind w:left="1260" w:right="479"/>
        <w:spacing w:after="0" w:line="243" w:lineRule="auto"/>
        <w:rPr>
          <w:sz w:val="20"/>
          <w:szCs w:val="20"/>
          <w:color w:val="auto"/>
        </w:rPr>
      </w:pPr>
      <w:r>
        <w:rPr>
          <w:rFonts w:ascii="Arial" w:cs="Arial" w:eastAsia="Arial" w:hAnsi="Arial"/>
          <w:sz w:val="18"/>
          <w:szCs w:val="18"/>
          <w:color w:val="auto"/>
        </w:rPr>
        <w:t>nine months ended June 30, 2021 and June 30, 2020, the Company did not recognize tax benefits relating to uncertain tax positions.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which removes step 2 of the quantitative goodwill impairment test. Under the amended guidance, a goodwill impairment charge is recognized for the amount by which the carrying value of a reporting unit exceeds its fair value, not to exceed the carrying amount of goodwill. We adopted this standard on October 1, 2020. The adoption of the standard did not have a material impact on our financial statements.</w:t>
      </w:r>
    </w:p>
    <w:p>
      <w:pPr>
        <w:spacing w:after="0" w:line="106"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In June 2018, the FASB issued ASU 2018-07</w:t>
      </w:r>
      <w:r>
        <w:rPr>
          <w:rFonts w:ascii="Arial" w:cs="Arial" w:eastAsia="Arial" w:hAnsi="Arial"/>
          <w:sz w:val="18"/>
          <w:szCs w:val="18"/>
          <w:i w:val="1"/>
          <w:iCs w:val="1"/>
          <w:color w:val="auto"/>
        </w:rPr>
        <w:t>, Compensation—Stock Compensation (Topic 718)</w:t>
      </w:r>
      <w:r>
        <w:rPr>
          <w:rFonts w:ascii="Arial" w:cs="Arial" w:eastAsia="Arial" w:hAnsi="Arial"/>
          <w:sz w:val="18"/>
          <w:szCs w:val="18"/>
          <w:color w:val="auto"/>
        </w:rPr>
        <w:t>— Improvements to Nonemployee Share-Based Payment Accounting. This update expands the scope of Topic 718, “Compensation—Stock Compensation,” to include equity-based awards granted to non-employees in exchange for goods or services. The accounting for employees and non-employees will be substantially aligned. We adopted this standard on October 1, 2020. The adoption of the standard did not have a material impact on our financial statements.</w:t>
      </w:r>
    </w:p>
    <w:p>
      <w:pPr>
        <w:spacing w:after="0" w:line="10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—Disclosure Framework—Changes to the Disclosure Requirements for Fair Value Measurement, which amends ASC 820 to add, remove, and modify fair value measurement disclosure requirements. New disclosures required for public companies under ASU 2018- 13 include Level 3 changes in unrealized gains or losses and Level 3 range and weighted average used to develop significant unobservable inputs. We adopted this standard on October 1, 2020. The adoption of the standard did not have a material impact on our financial statements.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58" w:lineRule="exact"/>
        <w:rPr>
          <w:sz w:val="20"/>
          <w:szCs w:val="20"/>
          <w:color w:val="auto"/>
        </w:rPr>
      </w:pPr>
    </w:p>
    <w:p>
      <w:pPr>
        <w:ind w:left="1260" w:right="479" w:firstLine="360"/>
        <w:spacing w:after="0" w:line="324"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existing guidance on accounting for leases in ASC 840, </w:t>
      </w:r>
      <w:r>
        <w:rPr>
          <w:rFonts w:ascii="Arial" w:cs="Arial" w:eastAsia="Arial" w:hAnsi="Arial"/>
          <w:sz w:val="16"/>
          <w:szCs w:val="16"/>
          <w:i w:val="1"/>
          <w:iCs w:val="1"/>
          <w:color w:val="auto"/>
        </w:rPr>
        <w:t>Leases</w:t>
      </w:r>
      <w:r>
        <w:rPr>
          <w:rFonts w:ascii="Arial" w:cs="Arial" w:eastAsia="Arial" w:hAnsi="Arial"/>
          <w:sz w:val="16"/>
          <w:szCs w:val="16"/>
          <w:color w:val="auto"/>
        </w:rPr>
        <w:t>. This standard requires all leases to be recognized on</w:t>
      </w: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8" w:lineRule="auto"/>
        <w:rPr>
          <w:sz w:val="20"/>
          <w:szCs w:val="20"/>
          <w:color w:val="auto"/>
        </w:rPr>
      </w:pPr>
      <w:r>
        <w:rPr>
          <w:rFonts w:ascii="Arial" w:cs="Arial" w:eastAsia="Arial" w:hAnsi="Arial"/>
          <w:sz w:val="17"/>
          <w:szCs w:val="17"/>
          <w:color w:val="auto"/>
        </w:rPr>
        <w:t xml:space="preserve">the condensed consolidated balance sheet. ASU 2016-02 was effective for public companies for fiscal quarter beginning after December 15, 2018. As an EGC, Fluence is permitted to defer adoption until the non-public company adoption date, i.e., annual periods starting after December 15, 2021. Early adoption is permitted for all entities. The FASB has issued several amendments to ASU 2016-02, including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—Targeted Improvements that introduced an additional transition method permitting an entity to initially apply the new lease standard at the adoption date and recognize a cumulative-effect adjustment to the opening balance of retained earnings in the period of adoption. ASU 2016-02 includes optional practical expedients intended to reduce the cost and complexity to implement the new lease standard, such as an option to maintain the current lease classification for all existing lease arrangements and the option to use hindsight in evaluating lessee options to extend or terminate a lease. The Company’s existing lease population is mainly comprised of operating leases for office space. The Company is currently evaluating the impact of adoption on its condensed consolidated financial statements, as well as the use of the practical expedients allowed under the standard.</w:t>
      </w:r>
    </w:p>
    <w:p>
      <w:pPr>
        <w:spacing w:after="0" w:line="105"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 xml:space="preserve">In February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This standard updates the impairment model for financial assets measured at amortized cost, known as the Current Expected Credit Loss (“CECL”) model. For trade and other receivables, held-to-maturity debt securities, loans and other instruments, entities will be required to use a new forward-looking “expected loss” model that generally will result in the earlier recognition of allowance for losses. ASU 2016-13 was effective for public companies for annual periods starting after December 15, 2019. As an EGC, Fluence is permitted to defer adoption until the non-public company adoption date, i.e., annual periods starting after December 15, 2022. Early adoption is permitted. There are various transition methods available upon adoption. The Company is currently evaluating the impact of adoption on its condensed consolidated financial statements.</w:t>
      </w:r>
    </w:p>
    <w:p>
      <w:pPr>
        <w:spacing w:after="0" w:line="12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Simplifying the Accounting for Income Taxes. This guidance removes certain exceptions related to the approach for intraperiod tax allocations, the methodology for calculating income taxes in an interim period, and the recognition of deferred tax liabilities for outside basis differences. The guidance also clarifies and simplifies other areas of ASC 740. ASU 2019-12 was effective for public companies for fiscal years beginning after December 15, 2020, including interim periods therein. As an EGC, Fluence is permitted to defer adoption until the non-public company adoption date, i.e., annual periods starting December 15, 2021, and for interim periods beginning after December 15, 2022. Early adoption is permitted for all entities. Certain amendments must be applied on a prospective basis, certain amendments must be applied on a retrospective basis, and certain amendments must be applied on a modified retrospective basis through a cumulative-effect adjustment to retained earnings/(deficit) in the period of adoption. The Company is currently evaluating the impact of adoption on its condensed consolidated financial statements.</w:t>
      </w:r>
    </w:p>
    <w:p>
      <w:pPr>
        <w:spacing w:after="0" w:line="111"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(Topic 848). </w:t>
      </w:r>
      <w:r>
        <w:rPr>
          <w:rFonts w:ascii="Arial" w:cs="Arial" w:eastAsia="Arial" w:hAnsi="Arial"/>
          <w:sz w:val="17"/>
          <w:szCs w:val="17"/>
          <w:color w:val="auto"/>
        </w:rPr>
        <w:t>The ASU provides optional expedients and exceptions for applying U.S.</w:t>
      </w:r>
      <w:r>
        <w:rPr>
          <w:rFonts w:ascii="Arial" w:cs="Arial" w:eastAsia="Arial" w:hAnsi="Arial"/>
          <w:sz w:val="17"/>
          <w:szCs w:val="17"/>
          <w:i w:val="1"/>
          <w:iCs w:val="1"/>
          <w:color w:val="auto"/>
        </w:rPr>
        <w:t xml:space="preserve"> </w:t>
      </w:r>
      <w:r>
        <w:rPr>
          <w:rFonts w:ascii="Arial" w:cs="Arial" w:eastAsia="Arial" w:hAnsi="Arial"/>
          <w:sz w:val="17"/>
          <w:szCs w:val="17"/>
          <w:color w:val="auto"/>
        </w:rPr>
        <w:t>GAAP to transactions affected by reference rate (e.g., LIBOR) reform if certain criteria are met, for a limited period of time to ease the potential burden in accounting for (or recognizing the effects of) reference rate reform on financial reporting. The ASU is effective as of March 12, 2020 through December 31, 2022. The Company will evaluate transactions or contract modifications occurring as a result of reference rate reform and determine whether to apply the optional guidance on an ongoing basis. The ASU is currently not expected to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Company’s revenues disaggregated by contract type (in thousands):</w:t>
      </w:r>
    </w:p>
    <w:p>
      <w:pPr>
        <w:spacing w:after="0" w:line="190"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22225</wp:posOffset>
            </wp:positionV>
            <wp:extent cx="10287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r>
      <w:tr>
        <w:trPr>
          <w:trHeight w:val="26"/>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 from sale of battery-based energy storage products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$487,953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$319,199</w:t>
            </w:r>
          </w:p>
        </w:tc>
      </w:tr>
      <w:tr>
        <w:trPr>
          <w:trHeight w:val="257"/>
        </w:trPr>
        <w:tc>
          <w:tcPr>
            <w:tcW w:w="5880" w:type="dxa"/>
            <w:vAlign w:val="bottom"/>
            <w:gridSpan w:val="2"/>
          </w:tcPr>
          <w:p>
            <w:pPr>
              <w:ind w:left="180"/>
              <w:spacing w:after="0"/>
              <w:rPr>
                <w:sz w:val="20"/>
                <w:szCs w:val="20"/>
                <w:color w:val="auto"/>
              </w:rPr>
            </w:pPr>
            <w:r>
              <w:rPr>
                <w:rFonts w:ascii="Arial" w:cs="Arial" w:eastAsia="Arial" w:hAnsi="Arial"/>
                <w:sz w:val="18"/>
                <w:szCs w:val="18"/>
                <w:color w:val="auto"/>
              </w:rPr>
              <w:t>Revenue from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3,704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57"/>
        </w:trPr>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 from digital applications and solutions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88"/>
        </w:trPr>
        <w:tc>
          <w:tcPr>
            <w:tcW w:w="58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$492,561</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$321,859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1165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-882650</wp:posOffset>
            </wp:positionV>
            <wp:extent cx="430339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22" w:lineRule="exact"/>
        <w:rPr>
          <w:sz w:val="20"/>
          <w:szCs w:val="20"/>
          <w:color w:val="auto"/>
        </w:rPr>
      </w:pPr>
    </w:p>
    <w:p>
      <w:pPr>
        <w:ind w:left="1260" w:right="1420" w:firstLine="360"/>
        <w:spacing w:after="0" w:line="277" w:lineRule="auto"/>
        <w:rPr>
          <w:sz w:val="20"/>
          <w:szCs w:val="20"/>
          <w:color w:val="auto"/>
        </w:rPr>
      </w:pPr>
      <w:r>
        <w:rPr>
          <w:rFonts w:ascii="Arial" w:cs="Arial" w:eastAsia="Arial" w:hAnsi="Arial"/>
          <w:sz w:val="18"/>
          <w:szCs w:val="18"/>
          <w:color w:val="auto"/>
        </w:rPr>
        <w:t>The following table presents the Company’s revenue disaggregated by geographical region. Revenues are attributed to countries based on location of customers (in thousands):</w:t>
      </w:r>
    </w:p>
    <w:p>
      <w:pPr>
        <w:spacing w:after="0" w:line="121"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22225</wp:posOffset>
            </wp:positionV>
            <wp:extent cx="10287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r>
      <w:tr>
        <w:trPr>
          <w:trHeight w:val="26"/>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$357,058</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$230,552</w:t>
            </w: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680" w:type="dxa"/>
            <w:vAlign w:val="bottom"/>
          </w:tcPr>
          <w:p>
            <w:pPr>
              <w:jc w:val="right"/>
              <w:spacing w:after="0"/>
              <w:rPr>
                <w:sz w:val="20"/>
                <w:szCs w:val="20"/>
                <w:color w:val="auto"/>
              </w:rPr>
            </w:pPr>
            <w:r>
              <w:rPr>
                <w:rFonts w:ascii="Arial" w:cs="Arial" w:eastAsia="Arial" w:hAnsi="Arial"/>
                <w:sz w:val="18"/>
                <w:szCs w:val="18"/>
                <w:color w:val="auto"/>
              </w:rPr>
              <w:t>102,742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55,210</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680" w:type="dxa"/>
            <w:vAlign w:val="bottom"/>
          </w:tcPr>
          <w:p>
            <w:pPr>
              <w:jc w:val="right"/>
              <w:spacing w:after="0"/>
              <w:rPr>
                <w:sz w:val="20"/>
                <w:szCs w:val="20"/>
                <w:color w:val="auto"/>
              </w:rPr>
            </w:pPr>
            <w:r>
              <w:rPr>
                <w:rFonts w:ascii="Arial" w:cs="Arial" w:eastAsia="Arial" w:hAnsi="Arial"/>
                <w:sz w:val="18"/>
                <w:szCs w:val="18"/>
                <w:color w:val="auto"/>
              </w:rPr>
              <w:t>8,394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4,593</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Finland</w:t>
            </w:r>
          </w:p>
        </w:tc>
        <w:tc>
          <w:tcPr>
            <w:tcW w:w="680" w:type="dxa"/>
            <w:vAlign w:val="bottom"/>
          </w:tcPr>
          <w:p>
            <w:pPr>
              <w:jc w:val="right"/>
              <w:spacing w:after="0"/>
              <w:rPr>
                <w:sz w:val="20"/>
                <w:szCs w:val="20"/>
                <w:color w:val="auto"/>
              </w:rPr>
            </w:pPr>
            <w:r>
              <w:rPr>
                <w:rFonts w:ascii="Arial" w:cs="Arial" w:eastAsia="Arial" w:hAnsi="Arial"/>
                <w:sz w:val="18"/>
                <w:szCs w:val="18"/>
                <w:color w:val="auto"/>
              </w:rPr>
              <w:t>1,935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12,235</w:t>
            </w: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68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4,217</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9,143</w:t>
            </w:r>
          </w:p>
        </w:tc>
      </w:tr>
      <w:tr>
        <w:trPr>
          <w:trHeight w:val="27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77"/>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$492,561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$321,859</w:t>
            </w:r>
          </w:p>
        </w:tc>
      </w:tr>
      <w:tr>
        <w:trPr>
          <w:trHeight w:val="27"/>
        </w:trPr>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-2039620</wp:posOffset>
            </wp:positionV>
            <wp:extent cx="430339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Revenue</w:t>
      </w:r>
    </w:p>
    <w:p>
      <w:pPr>
        <w:spacing w:after="0" w:line="162" w:lineRule="exact"/>
        <w:rPr>
          <w:sz w:val="20"/>
          <w:szCs w:val="20"/>
          <w:color w:val="auto"/>
        </w:rPr>
      </w:pPr>
    </w:p>
    <w:p>
      <w:pPr>
        <w:ind w:left="1260" w:right="1480" w:firstLine="360"/>
        <w:spacing w:after="0" w:line="259" w:lineRule="auto"/>
        <w:rPr>
          <w:sz w:val="20"/>
          <w:szCs w:val="20"/>
          <w:color w:val="auto"/>
        </w:rPr>
      </w:pPr>
      <w:r>
        <w:rPr>
          <w:rFonts w:ascii="Arial" w:cs="Arial" w:eastAsia="Arial" w:hAnsi="Arial"/>
          <w:sz w:val="18"/>
          <w:szCs w:val="18"/>
          <w:color w:val="auto"/>
        </w:rPr>
        <w:t>Deferred revenue represents the excess billings over the amount of revenue recognized to date. Deferred revenue from related parties is included in payables and deferred revenue with related parties on the Company’s condensed consolidated balance sheets. The following table provides information about deferred revenue from contracts with customers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7"/>
          </w:tcPr>
          <w:p>
            <w:pPr>
              <w:ind w:left="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beginning of period</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$ 123,841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$ 52,980</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100" w:type="dxa"/>
            <w:vAlign w:val="bottom"/>
            <w:gridSpan w:val="2"/>
          </w:tcPr>
          <w:p>
            <w:pPr>
              <w:ind w:left="1620"/>
              <w:spacing w:after="0"/>
              <w:rPr>
                <w:sz w:val="20"/>
                <w:szCs w:val="20"/>
                <w:color w:val="auto"/>
              </w:rPr>
            </w:pPr>
            <w:r>
              <w:rPr>
                <w:rFonts w:ascii="Arial" w:cs="Arial" w:eastAsia="Arial" w:hAnsi="Arial"/>
                <w:sz w:val="18"/>
                <w:szCs w:val="18"/>
                <w:color w:val="auto"/>
              </w:rPr>
              <w:t>Additions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128,963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66,450</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5"/>
              </w:rPr>
              <w:t>Revenue recognized related to amounts that were included in beginning</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6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of deferred revenue</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(112,418)</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(36,306)</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revenue end of period</w:t>
            </w:r>
          </w:p>
        </w:tc>
        <w:tc>
          <w:tcPr>
            <w:tcW w:w="260" w:type="dxa"/>
            <w:vAlign w:val="bottom"/>
            <w:tcBorders>
              <w:top w:val="single" w:sz="8" w:color="CCEEFF"/>
            </w:tcBorders>
            <w:gridSpan w:val="2"/>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$ 140,386</w:t>
            </w: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$ 83,124</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80" w:type="dxa"/>
            <w:vAlign w:val="bottom"/>
            <w:vMerge w:val="restart"/>
          </w:tcPr>
          <w:p>
            <w:pPr>
              <w:ind w:left="3540"/>
              <w:spacing w:after="0"/>
              <w:rPr>
                <w:sz w:val="20"/>
                <w:szCs w:val="20"/>
                <w:color w:val="auto"/>
              </w:rPr>
            </w:pPr>
            <w:r>
              <w:rPr>
                <w:rFonts w:ascii="Arial" w:cs="Arial" w:eastAsia="Arial" w:hAnsi="Arial"/>
                <w:sz w:val="18"/>
                <w:szCs w:val="18"/>
                <w:color w:val="auto"/>
              </w:rPr>
              <w:t>F-33</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6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-873760</wp:posOffset>
            </wp:positionV>
            <wp:extent cx="2603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-1516380</wp:posOffset>
            </wp:positionV>
            <wp:extent cx="427736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9" w:name="page230"/>
    <w:bookmarkEnd w:id="229"/>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5"/>
          </w:tcPr>
          <w:p>
            <w:pPr>
              <w:spacing w:after="0"/>
              <w:rPr>
                <w:sz w:val="20"/>
                <w:szCs w:val="20"/>
                <w:color w:val="auto"/>
              </w:rPr>
            </w:pPr>
            <w:r>
              <w:rPr>
                <w:rFonts w:ascii="Arial" w:cs="Arial" w:eastAsia="Arial" w:hAnsi="Arial"/>
                <w:sz w:val="14"/>
                <w:szCs w:val="14"/>
                <w:b w:val="1"/>
                <w:bCs w:val="1"/>
                <w:color w:val="auto"/>
                <w:w w:val="89"/>
              </w:rPr>
              <w:t>Nine Months Ended June 30,</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7"/>
        </w:trPr>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6"/>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from related parties beginning of period</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26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$ 60,968</w:t>
            </w:r>
          </w:p>
        </w:tc>
        <w:tc>
          <w:tcPr>
            <w:tcW w:w="60" w:type="dxa"/>
            <w:vAlign w:val="bottom"/>
            <w:shd w:val="clear" w:color="auto" w:fill="CCEEFF"/>
          </w:tcPr>
          <w:p>
            <w:pPr>
              <w:spacing w:after="0"/>
              <w:rPr>
                <w:sz w:val="21"/>
                <w:szCs w:val="2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150,758</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15,170</w:t>
            </w:r>
          </w:p>
        </w:tc>
        <w:tc>
          <w:tcPr>
            <w:tcW w:w="60" w:type="dxa"/>
            <w:vAlign w:val="bottom"/>
          </w:tcPr>
          <w:p>
            <w:pPr>
              <w:spacing w:after="0"/>
              <w:rPr>
                <w:sz w:val="22"/>
                <w:szCs w:val="22"/>
                <w:color w:val="auto"/>
              </w:rPr>
            </w:pPr>
          </w:p>
        </w:tc>
      </w:tr>
      <w:tr>
        <w:trPr>
          <w:trHeight w:val="22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5"/>
              </w:rPr>
              <w:t>Revenue recognized related to amounts that were included in beginning</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of deferred revenue</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(3,239)</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(59,636)</w:t>
            </w:r>
          </w:p>
        </w:tc>
      </w:tr>
      <w:tr>
        <w:trPr>
          <w:trHeight w:val="20"/>
        </w:trPr>
        <w:tc>
          <w:tcPr>
            <w:tcW w:w="54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480" w:type="dxa"/>
            <w:vAlign w:val="bottom"/>
          </w:tcPr>
          <w:p>
            <w:pPr>
              <w:spacing w:after="0"/>
              <w:rPr>
                <w:sz w:val="20"/>
                <w:szCs w:val="20"/>
                <w:color w:val="auto"/>
              </w:rPr>
            </w:pPr>
            <w:r>
              <w:rPr>
                <w:rFonts w:ascii="Arial" w:cs="Arial" w:eastAsia="Arial" w:hAnsi="Arial"/>
                <w:sz w:val="18"/>
                <w:szCs w:val="18"/>
                <w:color w:val="auto"/>
              </w:rPr>
              <w:t>Deferred revenue from related parties end of period</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158,944</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$ 16,502</w:t>
            </w:r>
          </w:p>
        </w:tc>
        <w:tc>
          <w:tcPr>
            <w:tcW w:w="60" w:type="dxa"/>
            <w:vAlign w:val="bottom"/>
          </w:tcPr>
          <w:p>
            <w:pPr>
              <w:spacing w:after="0"/>
              <w:rPr>
                <w:sz w:val="22"/>
                <w:szCs w:val="22"/>
                <w:color w:val="auto"/>
              </w:rPr>
            </w:pPr>
          </w:p>
        </w:tc>
      </w:tr>
      <w:tr>
        <w:trPr>
          <w:trHeight w:val="21"/>
        </w:trPr>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-213995</wp:posOffset>
            </wp:positionV>
            <wp:extent cx="342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-856615</wp:posOffset>
            </wp:positionV>
            <wp:extent cx="426021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Remaining Performance Obligations</w:t>
      </w:r>
    </w:p>
    <w:p>
      <w:pPr>
        <w:spacing w:after="0" w:line="162"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terminate contracts or defer the timing of our services and their payments to the Company.</w:t>
      </w:r>
    </w:p>
    <w:p>
      <w:pPr>
        <w:spacing w:after="0" w:line="97"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As of June 30, 2021, we had $884,592 thousand of remaining performance obligations related to our battery storage product contracts, with respect to which we expect to recognize a majority of the revenue in the next 12 months. The Company also had $185,815 thousand performance obligations related to operational service contracts including maintenance, monitoring, and other minor services of which we expect to recognize 40% in revenue within the next five years and the remainder after five years, and $58,339 thousand remaining performance obligations related to capacity guarantees, 34% of which is expected to be recognized within the next five years and the remainder after five years. Our performance obligation related to digital application and solution contracts after we acquired the AMS software and digital intelligence platform is $2,540 thousand as of June 30, 2021, which we expect to recognize within the next five years.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Costs to Obtain or Fulfill a Contract</w:t>
      </w:r>
    </w:p>
    <w:p>
      <w:pPr>
        <w:spacing w:after="0" w:line="162"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The Company recognizes the incremental costs incurred to obtain a contract with a customer as an asset when these costs are recoverable. These costs consist primarily of sales commissions.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of June 30, 2021, the Company recorded costs to obtain a contract of $173 thousand</w:t>
      </w:r>
    </w:p>
    <w:p>
      <w:pPr>
        <w:spacing w:after="0" w:line="23" w:lineRule="exact"/>
        <w:rPr>
          <w:sz w:val="20"/>
          <w:szCs w:val="20"/>
          <w:color w:val="auto"/>
        </w:rPr>
      </w:pPr>
    </w:p>
    <w:p>
      <w:pPr>
        <w:ind w:left="1260" w:right="419"/>
        <w:spacing w:after="0" w:line="260" w:lineRule="auto"/>
        <w:rPr>
          <w:sz w:val="20"/>
          <w:szCs w:val="20"/>
          <w:color w:val="auto"/>
        </w:rPr>
      </w:pPr>
      <w:r>
        <w:rPr>
          <w:rFonts w:ascii="Arial" w:cs="Arial" w:eastAsia="Arial" w:hAnsi="Arial"/>
          <w:sz w:val="18"/>
          <w:szCs w:val="18"/>
          <w:color w:val="auto"/>
        </w:rPr>
        <w:t>(September 2020: $2,083 thousand) within “Other current assets” on the Company’s condensed consolidated balance sheets.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Amortization related to costs to obtain a contract was $1,392 thousand and $768 thousand for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nine months ended June 30, 2021 and 2020, respectively, which was recorded within sales and marketing 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Company’s condensed consolidated statements of operations and comprehensive loss.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Business Combinations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During October 2020, the Company acquired the assets and assumed the liabilities of a US based software and digital intelligence platform. The Company expects the acquisition will offer new capabilities, amplify and extend the Company’s energy storage product line, enabling customers to maximize the value of energy storage and renewables while accelerating grid decarbonization. The acquisition price of $18,000 thousand, all of which was fully paid with cash, which amount was adjusted for an immaterial amount to account for changes in net working capital adjustments. The acquisition represents a business combination. Fluence included the financial results of the acquisition in its condensed consolidated financial statements from the date of acquisition. Transaction costs associated with the acquisition were not significant and were expensed as incurred.</w:t>
      </w:r>
    </w:p>
    <w:p>
      <w:pPr>
        <w:spacing w:after="0" w:line="129"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following table summarizes the aggregate fair values and estimated useful lives of the assets acquired and liabilities assumed, as of the date of the acquisition (in thousands):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88"/>
              </w:rPr>
              <w:t>Estimated Useful Life</w:t>
            </w:r>
          </w:p>
        </w:tc>
      </w:tr>
      <w:tr>
        <w:trPr>
          <w:trHeight w:val="26"/>
        </w:trPr>
        <w:tc>
          <w:tcPr>
            <w:tcW w:w="53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Developed technology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56"/>
        </w:trPr>
        <w:tc>
          <w:tcPr>
            <w:tcW w:w="5300" w:type="dxa"/>
            <w:vAlign w:val="bottom"/>
          </w:tcPr>
          <w:p>
            <w:pPr>
              <w:spacing w:after="0"/>
              <w:rPr>
                <w:sz w:val="20"/>
                <w:szCs w:val="20"/>
                <w:color w:val="auto"/>
              </w:rPr>
            </w:pPr>
            <w:r>
              <w:rPr>
                <w:rFonts w:ascii="Arial" w:cs="Arial" w:eastAsia="Arial" w:hAnsi="Arial"/>
                <w:sz w:val="18"/>
                <w:szCs w:val="18"/>
                <w:color w:val="auto"/>
              </w:rPr>
              <w:t>Intangible assets – Customer relationships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r>
      <w:tr>
        <w:trPr>
          <w:trHeight w:val="26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r>
      <w:tr>
        <w:trPr>
          <w:trHeight w:val="29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acquisition</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$18,000</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391731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9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fair value of developed technology was determined using the multi-period excess earnings method as developed technology is considered to be the primary revenue-generating identifiable intangible asset acquired in the acquisition. The fair value assigned to assets acquired and liabilities assumed are based on management’s estimates and assumptions.</w:t>
      </w:r>
    </w:p>
    <w:p>
      <w:pPr>
        <w:spacing w:after="0" w:line="119" w:lineRule="exact"/>
        <w:rPr>
          <w:sz w:val="20"/>
          <w:szCs w:val="20"/>
          <w:color w:val="auto"/>
        </w:rPr>
      </w:pPr>
    </w:p>
    <w:p>
      <w:pPr>
        <w:jc w:val="both"/>
        <w:ind w:left="1260" w:right="1019" w:firstLine="360"/>
        <w:spacing w:after="0" w:line="263" w:lineRule="auto"/>
        <w:rPr>
          <w:sz w:val="20"/>
          <w:szCs w:val="20"/>
          <w:color w:val="auto"/>
        </w:rPr>
      </w:pPr>
      <w:r>
        <w:rPr>
          <w:rFonts w:ascii="Arial" w:cs="Arial" w:eastAsia="Arial" w:hAnsi="Arial"/>
          <w:sz w:val="18"/>
          <w:szCs w:val="18"/>
          <w:color w:val="auto"/>
        </w:rPr>
        <w:t>The goodwill is primarily attributed to the expanded market opportunities when integrating the acquired entity’s technology with the Company’s technology and the assembled workforce. Purchase accounting adjustments related to the acquisition have been completed.</w:t>
      </w:r>
    </w:p>
    <w:p>
      <w:pPr>
        <w:spacing w:after="0" w:line="103" w:lineRule="exact"/>
        <w:rPr>
          <w:sz w:val="20"/>
          <w:szCs w:val="20"/>
          <w:color w:val="auto"/>
        </w:rPr>
      </w:pPr>
    </w:p>
    <w:p>
      <w:pPr>
        <w:jc w:val="both"/>
        <w:ind w:left="1260" w:right="719" w:firstLine="360"/>
        <w:spacing w:after="0" w:line="308" w:lineRule="auto"/>
        <w:rPr>
          <w:sz w:val="20"/>
          <w:szCs w:val="20"/>
          <w:color w:val="auto"/>
        </w:rPr>
      </w:pPr>
      <w:r>
        <w:rPr>
          <w:rFonts w:ascii="Arial" w:cs="Arial" w:eastAsia="Arial" w:hAnsi="Arial"/>
          <w:sz w:val="17"/>
          <w:szCs w:val="17"/>
          <w:color w:val="auto"/>
        </w:rPr>
        <w:t>The excess of the acquisition price over the fair value of assets acquired and liabilities assumed was recorded to goodwill. The Company expects such goodwill to be deductible for income tax purposes.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Inventory, Net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Inventory consisted of the following (in thousands):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rPr>
              <w:t>Provision</w:t>
            </w:r>
          </w:p>
        </w:tc>
        <w:tc>
          <w:tcPr>
            <w:tcW w:w="80" w:type="dxa"/>
            <w:vAlign w:val="bottom"/>
          </w:tcPr>
          <w:p>
            <w:pPr>
              <w:spacing w:after="0"/>
              <w:rPr>
                <w:sz w:val="16"/>
                <w:szCs w:val="16"/>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Net</w:t>
            </w:r>
          </w:p>
        </w:tc>
      </w:tr>
      <w:tr>
        <w:trPr>
          <w:trHeight w:val="26"/>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Batteries and equipment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$356,447</w:t>
            </w:r>
          </w:p>
        </w:tc>
        <w:tc>
          <w:tcPr>
            <w:tcW w:w="220" w:type="dxa"/>
            <w:vAlign w:val="bottom"/>
          </w:tcPr>
          <w:p>
            <w:pPr>
              <w:spacing w:after="0"/>
              <w:rPr>
                <w:sz w:val="22"/>
                <w:szCs w:val="22"/>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$(23,838)</w:t>
            </w:r>
          </w:p>
        </w:tc>
        <w:tc>
          <w:tcPr>
            <w:tcW w:w="1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$332,609</w:t>
            </w:r>
          </w:p>
        </w:tc>
      </w:tr>
      <w:tr>
        <w:trPr>
          <w:trHeight w:val="25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Cases, inverters and other major equipment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56"/>
        </w:trPr>
        <w:tc>
          <w:tcPr>
            <w:tcW w:w="4980" w:type="dxa"/>
            <w:vAlign w:val="bottom"/>
          </w:tcPr>
          <w:p>
            <w:pPr>
              <w:spacing w:after="0"/>
              <w:rPr>
                <w:sz w:val="20"/>
                <w:szCs w:val="20"/>
                <w:color w:val="auto"/>
              </w:rPr>
            </w:pPr>
            <w:r>
              <w:rPr>
                <w:rFonts w:ascii="Arial" w:cs="Arial" w:eastAsia="Arial" w:hAnsi="Arial"/>
                <w:sz w:val="18"/>
                <w:szCs w:val="18"/>
                <w:color w:val="auto"/>
              </w:rPr>
              <w:t>Non-projected related raw material and supplies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419</w:t>
            </w:r>
          </w:p>
        </w:tc>
      </w:tr>
      <w:tr>
        <w:trPr>
          <w:trHeight w:val="26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$357,286</w:t>
            </w:r>
          </w:p>
        </w:tc>
        <w:tc>
          <w:tcPr>
            <w:tcW w:w="220" w:type="dxa"/>
            <w:vAlign w:val="bottom"/>
          </w:tcPr>
          <w:p>
            <w:pPr>
              <w:spacing w:after="0"/>
              <w:rPr>
                <w:sz w:val="23"/>
                <w:szCs w:val="23"/>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(23,869)</w:t>
            </w: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333,417</w:t>
            </w:r>
          </w:p>
        </w:tc>
      </w:tr>
      <w:tr>
        <w:trPr>
          <w:trHeight w:val="21"/>
        </w:trPr>
        <w:tc>
          <w:tcPr>
            <w:tcW w:w="4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Provision</w:t>
            </w:r>
          </w:p>
        </w:tc>
        <w:tc>
          <w:tcPr>
            <w:tcW w:w="80" w:type="dxa"/>
            <w:vAlign w:val="bottom"/>
          </w:tcPr>
          <w:p>
            <w:pPr>
              <w:spacing w:after="0"/>
              <w:rPr>
                <w:sz w:val="24"/>
                <w:szCs w:val="24"/>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Net</w:t>
            </w:r>
          </w:p>
        </w:tc>
      </w:tr>
      <w:tr>
        <w:trPr>
          <w:trHeight w:val="25"/>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Batteries and equipment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$36,112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$36,112</w:t>
            </w:r>
          </w:p>
        </w:tc>
      </w:tr>
      <w:tr>
        <w:trPr>
          <w:trHeight w:val="25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Cases, inverters and other major equipment</w:t>
            </w:r>
          </w:p>
        </w:tc>
        <w:tc>
          <w:tcPr>
            <w:tcW w:w="9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63"/>
        </w:trPr>
        <w:tc>
          <w:tcPr>
            <w:tcW w:w="4980" w:type="dxa"/>
            <w:vAlign w:val="bottom"/>
          </w:tcPr>
          <w:p>
            <w:pPr>
              <w:spacing w:after="0"/>
              <w:rPr>
                <w:sz w:val="20"/>
                <w:szCs w:val="20"/>
                <w:color w:val="auto"/>
              </w:rPr>
            </w:pPr>
            <w:r>
              <w:rPr>
                <w:rFonts w:ascii="Arial" w:cs="Arial" w:eastAsia="Arial" w:hAnsi="Arial"/>
                <w:sz w:val="18"/>
                <w:szCs w:val="18"/>
                <w:color w:val="auto"/>
              </w:rPr>
              <w:t>Spare parts</w:t>
            </w:r>
          </w:p>
        </w:tc>
        <w:tc>
          <w:tcPr>
            <w:tcW w:w="2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300" w:type="dxa"/>
            <w:vAlign w:val="bottom"/>
            <w:gridSpan w:val="2"/>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4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9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24"/>
                <w:szCs w:val="24"/>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$37,340</w:t>
            </w:r>
          </w:p>
        </w:tc>
        <w:tc>
          <w:tcPr>
            <w:tcW w:w="300" w:type="dxa"/>
            <w:vAlign w:val="bottom"/>
            <w:gridSpan w:val="2"/>
            <w:shd w:val="clear" w:color="auto" w:fill="CCEEFF"/>
          </w:tcPr>
          <w:p>
            <w:pPr>
              <w:spacing w:after="0"/>
              <w:rPr>
                <w:sz w:val="24"/>
                <w:szCs w:val="2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$(30)</w:t>
            </w:r>
          </w:p>
        </w:tc>
        <w:tc>
          <w:tcPr>
            <w:tcW w:w="140" w:type="dxa"/>
            <w:vAlign w:val="bottom"/>
            <w:tcBorders>
              <w:right w:val="single" w:sz="8" w:color="CCEEFF"/>
            </w:tcBorders>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-2211070</wp:posOffset>
            </wp:positionV>
            <wp:extent cx="430339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36308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9"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color w:val="auto"/>
        </w:rPr>
        <w:t>Provision as of June 30, 2021 included $19,800 thousand loss recognized for containers damaged in transit related to the 2021 cargo loss incident. Refer to Note 12—</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 detail discussion of the 2021 cargo loss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Other Current Assets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current assets consisted of the following amounts (in thousands):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w w:val="89"/>
              </w:rPr>
              <w:t>September 30,</w:t>
            </w:r>
          </w:p>
        </w:tc>
      </w:tr>
      <w:tr>
        <w:trPr>
          <w:trHeight w:val="186"/>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r>
      <w:tr>
        <w:trPr>
          <w:trHeight w:val="26"/>
        </w:trPr>
        <w:tc>
          <w:tcPr>
            <w:tcW w:w="5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insurance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Deferred equity issuance costs</w:t>
            </w:r>
          </w:p>
        </w:tc>
        <w:tc>
          <w:tcPr>
            <w:tcW w:w="580" w:type="dxa"/>
            <w:vAlign w:val="bottom"/>
          </w:tcPr>
          <w:p>
            <w:pPr>
              <w:jc w:val="right"/>
              <w:spacing w:after="0"/>
              <w:rPr>
                <w:sz w:val="20"/>
                <w:szCs w:val="20"/>
                <w:color w:val="auto"/>
              </w:rPr>
            </w:pPr>
            <w:r>
              <w:rPr>
                <w:rFonts w:ascii="Arial" w:cs="Arial" w:eastAsia="Arial" w:hAnsi="Arial"/>
                <w:sz w:val="18"/>
                <w:szCs w:val="18"/>
                <w:color w:val="auto"/>
              </w:rPr>
              <w:t>3,421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22"/>
                <w:szCs w:val="22"/>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recoverable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2,167</w:t>
            </w:r>
          </w:p>
        </w:tc>
        <w:tc>
          <w:tcPr>
            <w:tcW w:w="180" w:type="dxa"/>
            <w:vAlign w:val="bottom"/>
            <w:shd w:val="clear" w:color="auto" w:fill="CCEEFF"/>
          </w:tcPr>
          <w:p>
            <w:pPr>
              <w:spacing w:after="0"/>
              <w:rPr>
                <w:sz w:val="22"/>
                <w:szCs w:val="22"/>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1,670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1,261</w:t>
            </w:r>
          </w:p>
        </w:tc>
        <w:tc>
          <w:tcPr>
            <w:tcW w:w="180" w:type="dxa"/>
            <w:vAlign w:val="bottom"/>
          </w:tcPr>
          <w:p>
            <w:pPr>
              <w:spacing w:after="0"/>
              <w:rPr>
                <w:sz w:val="22"/>
                <w:szCs w:val="22"/>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1,236</w:t>
            </w:r>
          </w:p>
        </w:tc>
        <w:tc>
          <w:tcPr>
            <w:tcW w:w="180" w:type="dxa"/>
            <w:vAlign w:val="bottom"/>
            <w:shd w:val="clear" w:color="auto" w:fill="CCEEFF"/>
          </w:tcPr>
          <w:p>
            <w:pPr>
              <w:spacing w:after="0"/>
              <w:rPr>
                <w:sz w:val="22"/>
                <w:szCs w:val="22"/>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color w:val="auto"/>
              </w:rPr>
              <w:t>Land held for resale</w:t>
            </w:r>
          </w:p>
        </w:tc>
        <w:tc>
          <w:tcPr>
            <w:tcW w:w="580" w:type="dxa"/>
            <w:vAlign w:val="bottom"/>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22"/>
                <w:szCs w:val="22"/>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acquisition cost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2,083</w:t>
            </w:r>
          </w:p>
        </w:tc>
        <w:tc>
          <w:tcPr>
            <w:tcW w:w="180" w:type="dxa"/>
            <w:vAlign w:val="bottom"/>
            <w:shd w:val="clear" w:color="auto" w:fill="CCEEFF"/>
          </w:tcPr>
          <w:p>
            <w:pPr>
              <w:spacing w:after="0"/>
              <w:rPr>
                <w:sz w:val="22"/>
                <w:szCs w:val="22"/>
                <w:color w:val="auto"/>
              </w:rPr>
            </w:pPr>
          </w:p>
        </w:tc>
      </w:tr>
      <w:tr>
        <w:trPr>
          <w:trHeight w:val="263"/>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Borders>
              <w:bottom w:val="single" w:sz="8" w:color="CCEEFF"/>
            </w:tcBorders>
          </w:tcPr>
          <w:p>
            <w:pPr>
              <w:spacing w:after="0"/>
              <w:rPr>
                <w:sz w:val="22"/>
                <w:szCs w:val="22"/>
                <w:color w:val="auto"/>
              </w:rPr>
            </w:pPr>
          </w:p>
        </w:tc>
      </w:tr>
      <w:tr>
        <w:trPr>
          <w:trHeight w:val="29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$23,792</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8,886</w:t>
            </w:r>
          </w:p>
        </w:tc>
        <w:tc>
          <w:tcPr>
            <w:tcW w:w="180" w:type="dxa"/>
            <w:vAlign w:val="bottom"/>
            <w:shd w:val="clear" w:color="auto" w:fill="CCEEFF"/>
          </w:tcPr>
          <w:p>
            <w:pPr>
              <w:spacing w:after="0"/>
              <w:rPr>
                <w:sz w:val="24"/>
                <w:szCs w:val="24"/>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-1534160</wp:posOffset>
            </wp:positionV>
            <wp:extent cx="419163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182"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Receivable from insurance of $10,000 thousand as of June 30, 2021 represents insurance recoveries that are probable of collection related to the 2021 cargo loss incident. Refer to Note 12—</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a detail discussion of the 2021 cargo loss incident.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Intangible Assets, Net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Intangible assets are stated at amortized cost and consist of the following (in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 30,</w:t>
            </w: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 30,</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4"/>
                <w:szCs w:val="14"/>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b w:val="1"/>
                <w:bCs w:val="1"/>
                <w:color w:val="auto"/>
                <w:w w:val="93"/>
              </w:rPr>
              <w:t>Sep 30,</w:t>
            </w:r>
          </w:p>
        </w:tc>
      </w:tr>
      <w:tr>
        <w:trPr>
          <w:trHeight w:val="186"/>
        </w:trPr>
        <w:tc>
          <w:tcPr>
            <w:tcW w:w="3280" w:type="dxa"/>
            <w:vAlign w:val="bottom"/>
          </w:tcPr>
          <w:p>
            <w:pPr>
              <w:spacing w:after="0"/>
              <w:rPr>
                <w:sz w:val="16"/>
                <w:szCs w:val="16"/>
                <w:color w:val="auto"/>
              </w:rPr>
            </w:pPr>
          </w:p>
        </w:tc>
        <w:tc>
          <w:tcPr>
            <w:tcW w:w="600" w:type="dxa"/>
            <w:vAlign w:val="bottom"/>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2020</w:t>
            </w:r>
          </w:p>
        </w:tc>
      </w:tr>
      <w:tr>
        <w:trPr>
          <w:trHeight w:val="25"/>
        </w:trPr>
        <w:tc>
          <w:tcPr>
            <w:tcW w:w="328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198"/>
        </w:trPr>
        <w:tc>
          <w:tcPr>
            <w:tcW w:w="3280" w:type="dxa"/>
            <w:vAlign w:val="bottom"/>
          </w:tcPr>
          <w:p>
            <w:pPr>
              <w:spacing w:after="0"/>
              <w:rPr>
                <w:sz w:val="17"/>
                <w:szCs w:val="17"/>
                <w:color w:val="auto"/>
              </w:rPr>
            </w:pPr>
          </w:p>
        </w:tc>
        <w:tc>
          <w:tcPr>
            <w:tcW w:w="1640" w:type="dxa"/>
            <w:vAlign w:val="bottom"/>
            <w:gridSpan w:val="4"/>
          </w:tcPr>
          <w:p>
            <w:pPr>
              <w:ind w:left="560"/>
              <w:spacing w:after="0"/>
              <w:rPr>
                <w:sz w:val="20"/>
                <w:szCs w:val="20"/>
                <w:color w:val="auto"/>
              </w:rPr>
            </w:pPr>
            <w:r>
              <w:rPr>
                <w:rFonts w:ascii="Arial" w:cs="Arial" w:eastAsia="Arial" w:hAnsi="Arial"/>
                <w:sz w:val="14"/>
                <w:szCs w:val="14"/>
                <w:b w:val="1"/>
                <w:bCs w:val="1"/>
                <w:color w:val="auto"/>
              </w:rPr>
              <w:t>Cost</w:t>
            </w: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Accumulated Amortization</w:t>
            </w:r>
          </w:p>
        </w:tc>
        <w:tc>
          <w:tcPr>
            <w:tcW w:w="580" w:type="dxa"/>
            <w:vAlign w:val="bottom"/>
          </w:tcPr>
          <w:p>
            <w:pPr>
              <w:spacing w:after="0"/>
              <w:rPr>
                <w:sz w:val="17"/>
                <w:szCs w:val="17"/>
                <w:color w:val="auto"/>
              </w:rPr>
            </w:pPr>
          </w:p>
        </w:tc>
        <w:tc>
          <w:tcPr>
            <w:tcW w:w="820" w:type="dxa"/>
            <w:vAlign w:val="bottom"/>
            <w:gridSpan w:val="2"/>
          </w:tcPr>
          <w:p>
            <w:pPr>
              <w:jc w:val="right"/>
              <w:ind w:right="519"/>
              <w:spacing w:after="0"/>
              <w:rPr>
                <w:sz w:val="20"/>
                <w:szCs w:val="20"/>
                <w:color w:val="auto"/>
              </w:rPr>
            </w:pPr>
            <w:r>
              <w:rPr>
                <w:rFonts w:ascii="Arial" w:cs="Arial" w:eastAsia="Arial" w:hAnsi="Arial"/>
                <w:sz w:val="14"/>
                <w:szCs w:val="14"/>
                <w:b w:val="1"/>
                <w:bCs w:val="1"/>
                <w:color w:val="auto"/>
                <w:w w:val="88"/>
              </w:rPr>
              <w:t>Net</w:t>
            </w:r>
          </w:p>
        </w:tc>
      </w:tr>
      <w:tr>
        <w:trPr>
          <w:trHeight w:val="25"/>
        </w:trPr>
        <w:tc>
          <w:tcPr>
            <w:tcW w:w="32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and licenses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$32,981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$33,100</w:t>
            </w: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$8,588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$6,851</w:t>
            </w:r>
          </w:p>
        </w:tc>
        <w:tc>
          <w:tcPr>
            <w:tcW w:w="24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$26,249</w:t>
            </w:r>
          </w:p>
        </w:tc>
      </w:t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Developed technology</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12,600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787</w:t>
            </w: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11,813</w:t>
            </w: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4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$46,457</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$33,165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$9,504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$6,867</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$36,953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$26,298</w:t>
            </w:r>
          </w:p>
        </w:tc>
      </w:tr>
      <w:tr>
        <w:trPr>
          <w:trHeight w:val="20"/>
        </w:trPr>
        <w:tc>
          <w:tcPr>
            <w:tcW w:w="3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-719455</wp:posOffset>
            </wp:positionV>
            <wp:extent cx="13716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-719455</wp:posOffset>
            </wp:positionV>
            <wp:extent cx="13716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207454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074545"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-873760</wp:posOffset>
            </wp:positionV>
            <wp:extent cx="1371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-873760</wp:posOffset>
            </wp:positionV>
            <wp:extent cx="13716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-873760</wp:posOffset>
            </wp:positionV>
            <wp:extent cx="13716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559" w:firstLine="360"/>
        <w:spacing w:after="0" w:line="324" w:lineRule="auto"/>
        <w:rPr>
          <w:sz w:val="20"/>
          <w:szCs w:val="20"/>
          <w:color w:val="auto"/>
        </w:rPr>
      </w:pPr>
      <w:r>
        <w:rPr>
          <w:rFonts w:ascii="Arial" w:cs="Arial" w:eastAsia="Arial" w:hAnsi="Arial"/>
          <w:sz w:val="16"/>
          <w:szCs w:val="16"/>
          <w:color w:val="auto"/>
        </w:rPr>
        <w:t>Included in the developed technology intangible asset and other intangible asset are $12,600 thousand and $780 thousand, respectively, related to the acquisition discussed in Note 4—</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43" w:lineRule="exact"/>
        <w:rPr>
          <w:sz w:val="20"/>
          <w:szCs w:val="20"/>
          <w:color w:val="auto"/>
        </w:rPr>
      </w:pPr>
    </w:p>
    <w:p>
      <w:pPr>
        <w:ind w:left="1260" w:right="1219" w:firstLine="360"/>
        <w:spacing w:after="0" w:line="248" w:lineRule="auto"/>
        <w:rPr>
          <w:sz w:val="20"/>
          <w:szCs w:val="20"/>
          <w:color w:val="auto"/>
        </w:rPr>
      </w:pPr>
      <w:r>
        <w:rPr>
          <w:rFonts w:ascii="Arial" w:cs="Arial" w:eastAsia="Arial" w:hAnsi="Arial"/>
          <w:sz w:val="18"/>
          <w:szCs w:val="18"/>
          <w:color w:val="auto"/>
        </w:rPr>
        <w:t>Intangible assets are amortized over their estimated useful lives on a straight-line basis. Total amortization expenses for the nine months ended June 30, 2021 were $2,637 thousand (2020: $1,860 thousand).</w:t>
      </w:r>
    </w:p>
    <w:p>
      <w:pPr>
        <w:spacing w:after="0" w:line="114"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Total future amortization expense by fiscal years for finite-lived intangible assets was estimated as follows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3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57"/>
        </w:trPr>
        <w:tc>
          <w:tcPr>
            <w:tcW w:w="68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3,676</w:t>
            </w:r>
          </w:p>
        </w:tc>
      </w:tr>
      <w:tr>
        <w:trPr>
          <w:trHeight w:val="25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r>
      <w:tr>
        <w:trPr>
          <w:trHeight w:val="257"/>
        </w:trPr>
        <w:tc>
          <w:tcPr>
            <w:tcW w:w="68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3,659</w:t>
            </w:r>
          </w:p>
        </w:tc>
      </w:tr>
      <w:tr>
        <w:trPr>
          <w:trHeight w:val="25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r>
      <w:tr>
        <w:trPr>
          <w:trHeight w:val="263"/>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21,372</w:t>
            </w:r>
          </w:p>
        </w:tc>
      </w:tr>
      <w:tr>
        <w:trPr>
          <w:trHeight w:val="295"/>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36,953</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Goodwill</w:t>
      </w:r>
    </w:p>
    <w:p>
      <w:pPr>
        <w:spacing w:after="0" w:line="14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Goodwill is assessed for impairment annually each year during the Company’s fourth quarter, or when impairment indicators exist. No impairment was recognized for the nine months ended June 30, 2021 or 2020.</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2" w:name="page233"/>
    <w:bookmarkEnd w:id="232"/>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The following table presents the goodwill activity (in thousands):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Goodwill, September 30, 2019</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$4,698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currency adjustment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September 30, 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Foreign currency adjustment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related goodwill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70"/>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Goodwill, June 30, 2021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-719455</wp:posOffset>
            </wp:positionV>
            <wp:extent cx="443166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 xml:space="preserve">Refer to Note 4 —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 a further discussion of acquisition related to goodwill.</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Accruals and Provisions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Accruals and provisions consisted of the following amounts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June 30, 2021</w:t>
            </w:r>
          </w:p>
        </w:tc>
        <w:tc>
          <w:tcPr>
            <w:tcW w:w="10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$260,429</w:t>
            </w:r>
          </w:p>
        </w:tc>
        <w:tc>
          <w:tcPr>
            <w:tcW w:w="8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$133,899</w:t>
            </w:r>
          </w:p>
        </w:tc>
        <w:tc>
          <w:tcPr>
            <w:tcW w:w="100" w:type="dxa"/>
            <w:vAlign w:val="bottom"/>
            <w:shd w:val="clear" w:color="auto" w:fill="CCEEFF"/>
          </w:tcPr>
          <w:p>
            <w:pPr>
              <w:spacing w:after="0"/>
              <w:rPr>
                <w:sz w:val="21"/>
                <w:szCs w:val="2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Provisions for expected projects losses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6,023</w:t>
            </w:r>
          </w:p>
        </w:tc>
        <w:tc>
          <w:tcPr>
            <w:tcW w:w="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2"/>
                <w:szCs w:val="22"/>
                <w:color w:val="auto"/>
              </w:rPr>
            </w:pPr>
          </w:p>
        </w:tc>
      </w:tr>
      <w:tr>
        <w:trPr>
          <w:trHeight w:val="26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projects related provisions</w:t>
            </w: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267,080</w:t>
            </w:r>
          </w:p>
        </w:tc>
        <w:tc>
          <w:tcPr>
            <w:tcW w:w="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137,953</w:t>
            </w:r>
          </w:p>
        </w:tc>
        <w:tc>
          <w:tcPr>
            <w:tcW w:w="100" w:type="dxa"/>
            <w:vAlign w:val="bottom"/>
          </w:tcPr>
          <w:p>
            <w:pPr>
              <w:spacing w:after="0"/>
              <w:rPr>
                <w:sz w:val="22"/>
                <w:szCs w:val="22"/>
                <w:color w:val="auto"/>
              </w:rPr>
            </w:pPr>
          </w:p>
        </w:tc>
      </w:tr>
      <w:tr>
        <w:trPr>
          <w:trHeight w:val="26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30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r>
      <w:tr>
        <w:trPr>
          <w:trHeight w:val="270"/>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Current portion</w:t>
            </w:r>
          </w:p>
        </w:tc>
        <w:tc>
          <w:tcPr>
            <w:tcW w:w="300" w:type="dxa"/>
            <w:vAlign w:val="bottom"/>
            <w:tcBorders>
              <w:top w:val="single" w:sz="8" w:color="CCEEFF"/>
            </w:tcBorders>
            <w:gridSpan w:val="2"/>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$266,823</w:t>
            </w: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gridSpan w:val="2"/>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$137,696</w:t>
            </w:r>
          </w:p>
        </w:tc>
        <w:tc>
          <w:tcPr>
            <w:tcW w:w="100" w:type="dxa"/>
            <w:vAlign w:val="bottom"/>
            <w:tcBorders>
              <w:top w:val="single" w:sz="8" w:color="CCEEFF"/>
            </w:tcBorders>
          </w:tcPr>
          <w:p>
            <w:pPr>
              <w:spacing w:after="0"/>
              <w:rPr>
                <w:sz w:val="23"/>
                <w:szCs w:val="23"/>
                <w:color w:val="auto"/>
              </w:rPr>
            </w:pPr>
          </w:p>
        </w:tc>
      </w:tr>
      <w:tr>
        <w:trPr>
          <w:trHeight w:val="21"/>
        </w:trPr>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-1062355</wp:posOffset>
            </wp:positionV>
            <wp:extent cx="41916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209"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Accruals mainly represent not yet invoiced milestones for deliveries of major equipment for battery-based energy storage projects such as batteries, enclosures, and inverters. According to master supply agreements between the Company and suppliers of the major equipment, vendor bills are issued according to contracted billing schedules with some milestones invoiced after delivery, upon full installation and commissioning of the equipment at substantial completion and final completion project stages.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Short-term Borrowing and Line of Credit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had an Uncommitted Line of Credit Agreement with Citibank originally signed 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January 29, 2019, which allows the Company to borrow an amount in aggregate not to exceed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$2,000 thousand, from time to time, until January 29, 2021. The Line of Credit was further amended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increase the aggregate borrowing amount to $10,000 thousand, $30,000 thousand and $50,000 thousand 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13, 2020, August 7, 2020 and December 23, 2020, respectively. The expiration date for the Line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was extended to March 31, 2023 on June 2, 2021.</w:t>
      </w:r>
    </w:p>
    <w:p>
      <w:pPr>
        <w:spacing w:after="0" w:line="130"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No amounts were outstanding under the Uncommitted Line of Credit as of June 30, 2021 and September 30, 2020.</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Refer to Note 13—</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for borrowing from related parties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Income Taxes</w:t>
      </w:r>
    </w:p>
    <w:p>
      <w:pPr>
        <w:spacing w:after="0" w:line="162"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Company recorded $2,874 thousand of income tax expense and $5,678 thousand of income tax expense for the nine months ended June 30, 2021 and 2020, respectively. The Company’s estimated effective tax rate for the nine months ended June 30, 2021 and 2020 was (4.0)% and (14.2)%, respectively. For the nine months ended June 30, 2021 the Company’s effective tax rate differs from the statutory tax rate of 21% primarily due to foreign tax rate differentials, losses incurred by the partnership that flow through to the members, and valuation allowances recorded on foreign deferred tax assets. For the nine months ended June 30, 2020 the Company’s effective tax rate differs from the statutory rate of 21% primarily due to foreign tax rate differentials, losses incurred by the partnership that flow through to the members, valuation allowances recorded on foreign deferred tax assets and foreign withholding taxes on royalties.</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3" w:name="page234"/>
    <w:bookmarkEnd w:id="233"/>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June 30, 2021 and September 30, 2020, that if recognized, would affect the annual effective tax rate.</w:t>
      </w:r>
    </w:p>
    <w:p>
      <w:pPr>
        <w:spacing w:after="0" w:line="10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As of June 30, 2021 and September 30, 2020, the Company had recorded a full valuation allowance against deferred tax assets of the Company’s German and Australian subsidiaries. The Company determined that based on the weight of available evidence, including cumulative losses, it is more-likely-than-not that the net deferred tax assets at its German and Australian entities will not be realized and recorded a valuation allowance against such deferred tax assets.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Commitments and Contingencies</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Company has certain contractual obligations incurred in the normal course of business that require fixed and determinable payments in the future. These commitments include lease obligations and purchase commitments under a master supply agreement.</w:t>
      </w:r>
    </w:p>
    <w:p>
      <w:pPr>
        <w:spacing w:after="0" w:line="116"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The Company did not have significant changes in lease contracts during the nine months ended June 30, 2021.</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jc w:val="both"/>
        <w:ind w:left="1260" w:right="539" w:firstLine="360"/>
        <w:spacing w:after="0" w:line="311" w:lineRule="auto"/>
        <w:rPr>
          <w:sz w:val="20"/>
          <w:szCs w:val="20"/>
          <w:color w:val="auto"/>
        </w:rPr>
      </w:pPr>
      <w:r>
        <w:rPr>
          <w:rFonts w:ascii="Arial" w:cs="Arial" w:eastAsia="Arial" w:hAnsi="Arial"/>
          <w:sz w:val="16"/>
          <w:szCs w:val="16"/>
          <w:color w:val="auto"/>
        </w:rPr>
        <w:t>As of June 30, 2021 and September 30, 2020, the Company had outstanding bank guarantees issued as performance security arrangements for several projects. Performance security is a pre-condition to receive any payment from the customer and is reduced in stages according to the project completion status.</w:t>
      </w:r>
    </w:p>
    <w:p>
      <w:pPr>
        <w:spacing w:after="0" w:line="81" w:lineRule="exact"/>
        <w:rPr>
          <w:sz w:val="20"/>
          <w:szCs w:val="20"/>
          <w:color w:val="auto"/>
        </w:rPr>
      </w:pPr>
    </w:p>
    <w:p>
      <w:pPr>
        <w:ind w:left="1260" w:right="979" w:firstLine="360"/>
        <w:spacing w:after="0" w:line="286" w:lineRule="auto"/>
        <w:rPr>
          <w:sz w:val="20"/>
          <w:szCs w:val="20"/>
          <w:color w:val="auto"/>
        </w:rPr>
      </w:pPr>
      <w:r>
        <w:rPr>
          <w:rFonts w:ascii="Arial" w:cs="Arial" w:eastAsia="Arial" w:hAnsi="Arial"/>
          <w:sz w:val="17"/>
          <w:szCs w:val="17"/>
          <w:color w:val="auto"/>
        </w:rPr>
        <w:t>Typical turn-key contracts and long-term service agreements contain provisions for performance liquidated damages payments if the solution fails to meet the guaranteed performance thresholds at completion of the project or throughout the service agreement period.</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Purchase Commitments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Company has commitments for minimum volumes of purchases of batteries under a master supply agreement. Liquidated damages apply if the minimum purchase volumes are not met. The Company expects to meet the minimum committed volumes of purchases. The following presents our future minimum purchase commitments by fiscal year, primarily for batteries, and liquidated damages if the minimum purchase volumes are not met as of June 30, 2021(in thousands).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5"/>
              </w:rPr>
              <w:t>Liquidated</w:t>
            </w:r>
          </w:p>
        </w:tc>
      </w:t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Damages</w:t>
            </w:r>
          </w:p>
        </w:tc>
      </w:tr>
      <w:tr>
        <w:trPr>
          <w:trHeight w:val="25"/>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3 months)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141,202</w:t>
            </w:r>
          </w:p>
        </w:tc>
        <w:tc>
          <w:tcPr>
            <w:tcW w:w="2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730,291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173,112</w:t>
            </w:r>
          </w:p>
        </w:tc>
      </w:tr>
      <w:tr>
        <w:trPr>
          <w:trHeight w:val="25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1,131,140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135,695</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762,318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118,339</w:t>
            </w: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112,492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22,498</w:t>
            </w:r>
          </w:p>
        </w:tc>
      </w:tr>
      <w:tr>
        <w:trPr>
          <w:trHeight w:val="263"/>
        </w:trPr>
        <w:tc>
          <w:tcPr>
            <w:tcW w:w="5500" w:type="dxa"/>
            <w:vAlign w:val="bottom"/>
          </w:tcPr>
          <w:p>
            <w:pPr>
              <w:spacing w:after="0"/>
              <w:rPr>
                <w:sz w:val="22"/>
                <w:szCs w:val="22"/>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2,877,443</w:t>
            </w:r>
          </w:p>
        </w:tc>
        <w:tc>
          <w:tcPr>
            <w:tcW w:w="220" w:type="dxa"/>
            <w:vAlign w:val="bottom"/>
          </w:tcPr>
          <w:p>
            <w:pPr>
              <w:spacing w:after="0"/>
              <w:rPr>
                <w:sz w:val="22"/>
                <w:szCs w:val="22"/>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449,644</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30339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Contingencies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be decided unfavorably to the Company and could require the Company to pay damages or make expenditures in amounts that could be material. The following discussion covers the Company’s potential loss contingencies as of June 30, 2021:</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2019 Safety Incident</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April 2019, one of the Company’s customers experienced a safety incident at one of its energy storage facilities which resulted in damage to the facility and injury to several first responders. The customer owned facility was delivered by and under warranty of AES Energy Storage and the Company was under contract to provide Operations and Maintenance (O&amp;M) services to the facility. The Company, its customer, and the battery manufacturer, among others, have investigated the cause of the incident. As of June 24, 2021, this safety incident has been fully resolved with all claims being settled. The Company did not incur any significant legal liabilities associated with the incident.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2021 Cargo Loss Incident</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6"/>
          <w:szCs w:val="16"/>
          <w:color w:val="auto"/>
        </w:rPr>
        <w:t>On April 28, 2021, the Company was notified of an emergency aboard a vessel carrying Fluence inventory while transiting through the Pacific Ocean. The vessel was reporting smoke coming from a cargo hold during severe weather and heavy seas. Based on an initial analysis of the exterior condition of the shipping containers, Fluence believes that some shipping containers came loose while at sea, and Fluence estimates a partial loss of cargo. The cargo in the damaged shipping containers had a carrying value of approximately $30,000 thousand. Inspections of the cargo are in process. Based on the extent of the damage to the cargo in the containers holding Fluence inventory, we believe that the cargo in the moderately or severely damaged containers will not be usable. As of June 30, 2021, Fluence estimated a gross loss of $19,800 thousand based on our best estimate of the net realizable value of the cargo and has recorded an insurance receivable of $10,000 thousand related to non-disputed insurance claims that are probable of collection. The net loss of $9,800 thousand is recognized in “Cost of goods and service” in the consolidated statements of operations for the nine months ended June 30, 2021. However, our estimate of loss is subject to change upon new information that we expect to determine upon fully inspecting the inventory.</w:t>
      </w:r>
    </w:p>
    <w:p>
      <w:pPr>
        <w:spacing w:after="0" w:line="10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Fluence has notified the marine cargo insurers of the incident and also notified each affected customer of this event, which under relevant supply contracts, provides Fluence an extension of the relevant schedule due to the resulting battery supply delays. We believe this event qualifies as force majeure under our BESS contracts with our customers. However, if the incident ultimately was determined not to constitute a force majeure event, the Company estimates potential liquidated damages exposure of approximately</w:t>
      </w:r>
    </w:p>
    <w:p>
      <w:pPr>
        <w:spacing w:after="0" w:line="2" w:lineRule="exact"/>
        <w:rPr>
          <w:sz w:val="20"/>
          <w:szCs w:val="20"/>
          <w:color w:val="auto"/>
        </w:rPr>
      </w:pPr>
    </w:p>
    <w:p>
      <w:pPr>
        <w:ind w:left="1260" w:right="799"/>
        <w:spacing w:after="0" w:line="271" w:lineRule="auto"/>
        <w:rPr>
          <w:sz w:val="20"/>
          <w:szCs w:val="20"/>
          <w:color w:val="auto"/>
        </w:rPr>
      </w:pPr>
      <w:r>
        <w:rPr>
          <w:rFonts w:ascii="Arial" w:cs="Arial" w:eastAsia="Arial" w:hAnsi="Arial"/>
          <w:sz w:val="17"/>
          <w:szCs w:val="17"/>
          <w:color w:val="auto"/>
        </w:rPr>
        <w:t>$15,000 thousand. As of June 30, 2021, we have not adjusted the transaction price of our contracts with affected customers to include liquidated damages as a result of the cargo loss as none are expected.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Related-Party Transactions</w:t>
      </w:r>
    </w:p>
    <w:p>
      <w:pPr>
        <w:spacing w:after="0" w:line="14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Related parties are represented by AES, Siemens and QIA (collectively, “Members”), their respective subsidiaries and other entities under common control with Members.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Contributions from Members</w:t>
      </w:r>
    </w:p>
    <w:p>
      <w:pPr>
        <w:spacing w:after="0" w:line="158"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In June 2021, Siemens made $6,280 thousand capital contribution in cash to the Company in exchange for certain amendments to the Company’s limited liability company agreement. In January 2020, AES made a $2,500 thousand capital contribution in cash.</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Borrowings from Related Parties</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On April 28, 2021, and June 3, 2021, the Company borrowed $25,000 thousand and $25,000 thousand from AES, respectively, in the form of one-year subordinated promissory notes, each bearing an annual interest at 2.86 %. On May 3, 2021, the Company borrowed $25,000 thousand from Siemens in the form of a one-year subordinated promissory note with an annual interest rate of 2.86%. The proceeds were used for general working capital needs. As of June 30, 2021, the total $75,000 borrowing from AES and Siemens were paid off in full.</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Contracts with Related Parties</w:t>
      </w:r>
    </w:p>
    <w:p>
      <w:pPr>
        <w:spacing w:after="0" w:line="144"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Fluence signs back-to-back battery-based energy storage product and related service contracts with AES, Siemens and their subsidiaries (collectively refer to as affiliates) in relation to execution of the affiliates’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5" w:name="page236"/>
    <w:bookmarkEnd w:id="235"/>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contracts with external customers and also direct contracts signed with affiliates of the Members. The contract price is similar to the price charged to third-party customers. Revenue from contracts with affiliates is included in “Revenue from related parties” on the Company’s condensed consolidated statements of operations and comprehensive loss.</w:t>
      </w:r>
    </w:p>
    <w:p>
      <w:pPr>
        <w:spacing w:after="0" w:line="106"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In addition, Fluence purchases material and supplies from its affiliates and records the costs in cost of goods and services on the Company’s condensed consolidated statements of operations and comprehensive loss.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Service Agreements with Affiliates</w:t>
      </w:r>
    </w:p>
    <w:p>
      <w:pPr>
        <w:spacing w:after="0" w:line="158" w:lineRule="exact"/>
        <w:rPr>
          <w:sz w:val="20"/>
          <w:szCs w:val="20"/>
          <w:color w:val="auto"/>
        </w:rPr>
      </w:pPr>
    </w:p>
    <w:p>
      <w:pPr>
        <w:ind w:left="1260" w:right="479" w:firstLine="360"/>
        <w:spacing w:after="0" w:line="293" w:lineRule="auto"/>
        <w:rPr>
          <w:sz w:val="20"/>
          <w:szCs w:val="20"/>
          <w:color w:val="auto"/>
        </w:rPr>
      </w:pPr>
      <w:r>
        <w:rPr>
          <w:rFonts w:ascii="Arial" w:cs="Arial" w:eastAsia="Arial" w:hAnsi="Arial"/>
          <w:sz w:val="16"/>
          <w:szCs w:val="16"/>
          <w:color w:val="auto"/>
        </w:rPr>
        <w:t>Fluence and its affiliates have signed service agreements under which the affiliates provide certain management and administrative services to Fluence. The services include but are not limited to, treasury, information technology services, payroll and human resources services, sales and marketing services, research and development. Cost of services are accrued monthly and included in payables to related parties, and general and administrative, sales and marketing, or research and development on the Company’s condensed consolidated balance sheets and statements of operations and comprehensive loss,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Contract Performance Guarantees</w:t>
      </w:r>
    </w:p>
    <w:p>
      <w:pPr>
        <w:spacing w:after="0" w:line="158"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Fluence paid performance guarantee fees to its affiliates in exchange for guaranteeing Fluence’s performance obligations in certain contracts with customers. Fluence paid guarantee fees to its affiliates under contractual arrangements and the fees are based on parent costs with a reasonable markup. The guarantee fees are included in “Costs of goods and services” on Fluence’s condensed consolidated statements of operations and comprehensive loss.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Payables and Receivables from Related Parties</w:t>
      </w:r>
    </w:p>
    <w:p>
      <w:pPr>
        <w:spacing w:after="0" w:line="14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The following table presents the components of receivables from related parties and payable to related parties on the Company’s condensed consolidated balance sheets (in thousands):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June 30,</w:t>
            </w: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w w:val="89"/>
              </w:rPr>
              <w:t>September 30,</w:t>
            </w:r>
          </w:p>
        </w:tc>
      </w:tr>
      <w:tr>
        <w:trPr>
          <w:trHeight w:val="186"/>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r>
      <w:tr>
        <w:trPr>
          <w:trHeight w:val="25"/>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14,216</w:t>
            </w:r>
          </w:p>
        </w:tc>
        <w:tc>
          <w:tcPr>
            <w:tcW w:w="140" w:type="dxa"/>
            <w:vAlign w:val="bottom"/>
            <w:shd w:val="clear" w:color="auto" w:fill="CCEEFF"/>
          </w:tcPr>
          <w:p>
            <w:pPr>
              <w:spacing w:after="0"/>
              <w:rPr>
                <w:sz w:val="21"/>
                <w:szCs w:val="21"/>
                <w:color w:val="auto"/>
              </w:rPr>
            </w:pPr>
          </w:p>
        </w:tc>
      </w:tr>
      <w:tr>
        <w:trPr>
          <w:trHeight w:val="264"/>
        </w:trPr>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Unbilled receivables</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38,236</w:t>
            </w:r>
          </w:p>
        </w:tc>
        <w:tc>
          <w:tcPr>
            <w:tcW w:w="140" w:type="dxa"/>
            <w:vAlign w:val="bottom"/>
            <w:tcBorders>
              <w:bottom w:val="single" w:sz="8" w:color="CCEEFF"/>
            </w:tcBorders>
          </w:tcPr>
          <w:p>
            <w:pPr>
              <w:spacing w:after="0"/>
              <w:rPr>
                <w:sz w:val="22"/>
                <w:szCs w:val="22"/>
                <w:color w:val="auto"/>
              </w:rPr>
            </w:pPr>
          </w:p>
        </w:tc>
      </w:tr>
      <w:tr>
        <w:trPr>
          <w:trHeight w:val="290"/>
        </w:trPr>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receivables from related parties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24,574</w:t>
            </w:r>
          </w:p>
        </w:tc>
        <w:tc>
          <w:tcPr>
            <w:tcW w:w="36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52,452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57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4,804</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9,461</w:t>
            </w:r>
          </w:p>
        </w:tc>
        <w:tc>
          <w:tcPr>
            <w:tcW w:w="140" w:type="dxa"/>
            <w:vAlign w:val="bottom"/>
          </w:tcPr>
          <w:p>
            <w:pPr>
              <w:spacing w:after="0"/>
              <w:rPr>
                <w:sz w:val="18"/>
                <w:szCs w:val="18"/>
                <w:color w:val="auto"/>
              </w:rPr>
            </w:pPr>
          </w:p>
        </w:tc>
      </w:tr>
      <w:tr>
        <w:trPr>
          <w:trHeight w:val="25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158,944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11,425</w:t>
            </w:r>
          </w:p>
        </w:tc>
        <w:tc>
          <w:tcPr>
            <w:tcW w:w="140" w:type="dxa"/>
            <w:vAlign w:val="bottom"/>
            <w:shd w:val="clear" w:color="auto" w:fill="CCEEFF"/>
          </w:tcPr>
          <w:p>
            <w:pPr>
              <w:spacing w:after="0"/>
              <w:rPr>
                <w:sz w:val="22"/>
                <w:szCs w:val="22"/>
                <w:color w:val="auto"/>
              </w:rPr>
            </w:pPr>
          </w:p>
        </w:tc>
      </w:tr>
      <w:tr>
        <w:trPr>
          <w:trHeight w:val="263"/>
        </w:trPr>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Borders>
              <w:bottom w:val="single" w:sz="8" w:color="CCEEFF"/>
            </w:tcBorders>
          </w:tcPr>
          <w:p>
            <w:pPr>
              <w:spacing w:after="0"/>
              <w:rPr>
                <w:sz w:val="22"/>
                <w:szCs w:val="22"/>
                <w:color w:val="auto"/>
              </w:rPr>
            </w:pPr>
          </w:p>
        </w:tc>
      </w:tr>
      <w:tr>
        <w:trPr>
          <w:trHeight w:val="29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payables and deferred revenue with related parties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166,502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22,464</w:t>
            </w:r>
          </w:p>
        </w:tc>
        <w:tc>
          <w:tcPr>
            <w:tcW w:w="140" w:type="dxa"/>
            <w:vAlign w:val="bottom"/>
            <w:shd w:val="clear" w:color="auto" w:fill="CCEEFF"/>
          </w:tcPr>
          <w:p>
            <w:pPr>
              <w:spacing w:after="0"/>
              <w:rPr>
                <w:sz w:val="24"/>
                <w:szCs w:val="24"/>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-916940</wp:posOffset>
            </wp:positionV>
            <wp:extent cx="474916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-1259205</wp:posOffset>
            </wp:positionV>
            <wp:extent cx="41916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95" w:lineRule="exact"/>
        <w:rPr>
          <w:sz w:val="20"/>
          <w:szCs w:val="20"/>
          <w:color w:val="auto"/>
        </w:rPr>
      </w:pPr>
    </w:p>
    <w:p>
      <w:pPr>
        <w:jc w:val="both"/>
        <w:ind w:left="1260" w:right="939" w:firstLine="360"/>
        <w:spacing w:after="0" w:line="277" w:lineRule="auto"/>
        <w:rPr>
          <w:sz w:val="20"/>
          <w:szCs w:val="20"/>
          <w:color w:val="auto"/>
        </w:rPr>
      </w:pPr>
      <w:r>
        <w:rPr>
          <w:rFonts w:ascii="Arial" w:cs="Arial" w:eastAsia="Arial" w:hAnsi="Arial"/>
          <w:sz w:val="18"/>
          <w:szCs w:val="18"/>
          <w:color w:val="auto"/>
        </w:rPr>
        <w:t>Unbilled receivables represent the excess of revenues recognized over billings to date on sales or service contracts with related parties.</w:t>
      </w:r>
    </w:p>
    <w:p>
      <w:pPr>
        <w:spacing w:after="0" w:line="10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Deferred revenue represents the excess billings to date over the amount of revenue recognized to date on sales or service contracts with related parties.</w:t>
      </w:r>
    </w:p>
    <w:p>
      <w:pPr>
        <w:spacing w:after="0" w:line="89"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Receivables from related parties and payables and deferred revenue with related parties are unsecured and settlement of these balances occurs in cash. No provision has been made related to the receivables from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Revenues and Expenses from Related Parties</w:t>
      </w:r>
    </w:p>
    <w:p>
      <w:pPr>
        <w:spacing w:after="0" w:line="144"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following table presents the related party transactions that are included the Company’s condensed consolidated statements of operations and comprehensive loss for the periods indicated:</w:t>
      </w:r>
    </w:p>
    <w:p>
      <w:pPr>
        <w:spacing w:after="0" w:line="135"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22225</wp:posOffset>
            </wp:positionV>
            <wp:extent cx="10115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5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$ 62,164</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$144,734</w:t>
            </w:r>
          </w:p>
        </w:tc>
        <w:tc>
          <w:tcPr>
            <w:tcW w:w="60" w:type="dxa"/>
            <w:vAlign w:val="bottom"/>
          </w:tcPr>
          <w:p>
            <w:pPr>
              <w:spacing w:after="0"/>
              <w:rPr>
                <w:sz w:val="21"/>
                <w:szCs w:val="21"/>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(15,755)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(6,596)</w:t>
            </w:r>
          </w:p>
        </w:tc>
      </w:tr>
      <w:tr>
        <w:trPr>
          <w:trHeight w:val="25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22"/>
                <w:szCs w:val="22"/>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(2,570)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(1,608)</w:t>
            </w:r>
          </w:p>
        </w:tc>
      </w:tr>
      <w:tr>
        <w:trPr>
          <w:trHeight w:val="27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-831215</wp:posOffset>
            </wp:positionV>
            <wp:extent cx="430339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14"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In addition, the Company had purchases from related parties capitalized as assets of $684 thousand in “Property and equipment, net” on the Company’s condensed consolidated balance sheets for the</w:t>
      </w:r>
    </w:p>
    <w:p>
      <w:pPr>
        <w:ind w:left="1260" w:right="1179"/>
        <w:spacing w:after="0" w:line="260" w:lineRule="auto"/>
        <w:rPr>
          <w:sz w:val="20"/>
          <w:szCs w:val="20"/>
          <w:color w:val="auto"/>
        </w:rPr>
      </w:pPr>
      <w:r>
        <w:rPr>
          <w:rFonts w:ascii="Arial" w:cs="Arial" w:eastAsia="Arial" w:hAnsi="Arial"/>
          <w:sz w:val="18"/>
          <w:szCs w:val="18"/>
          <w:color w:val="auto"/>
        </w:rPr>
        <w:t>nine months ended June 2020. The amount purchased from related parties that was capitalized was insignificant for the nine months ended June 2021.</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Employee Benefit Plan</w:t>
      </w:r>
    </w:p>
    <w:p>
      <w:pPr>
        <w:spacing w:after="0" w:line="162"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Company maintains a 401(k) plan covering all eligible U.S. payroll employees. The 401(k) plan provides that eligible employees may make contributions subject to IRS limitations. Under terms of the 401(k) plan, the Company matches an employee’s contributions at a rate of 100% up to 5% of the employee’s annual salary. For the nine months ended June 30, 2021, the Company contributed approximately $1,296 thousand (2020: $777 thousand) to the 401(k) plan.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Unit-Based Compensation</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In October 2020, the Board of the Company approved an equity-based employee deferred compensation scheme. The plan authorizes the Company to issue unit options and phantom units. The Compensation Committee of the Company’s Board of Directors determines the types of awards to be granted to individual participants as well as the terms and conditions of the awards. A summary of the unit-based awards granted during the nine months ended June 30, 2021 is presented below:</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 Options</w:t>
      </w:r>
    </w:p>
    <w:p>
      <w:pPr>
        <w:spacing w:after="0" w:line="162"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Unit options are granted with an exercise price equal to the fair value of the Company’s units at the date of grant. Unit option awards vest with the satisfaction of the following two criteria: (1) a service requirement of three years and (2) the occurrence of a liquidity event, such as a change in control or an initial public offering.</w:t>
      </w:r>
    </w:p>
    <w:p>
      <w:pPr>
        <w:spacing w:after="0" w:line="11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fair value of each option is estimated on the date of grant using a Black-Scholes option valuation model that uses the assumptions noted in the following table:</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Unit Price (reflects 10% discount for lack of marketability)</w:t>
            </w:r>
          </w:p>
        </w:tc>
        <w:tc>
          <w:tcPr>
            <w:tcW w:w="232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4"/>
              </w:rPr>
              <w:t>$32.56</w:t>
            </w:r>
          </w:p>
        </w:tc>
      </w:tr>
      <w:tr>
        <w:trPr>
          <w:trHeight w:val="256"/>
        </w:trPr>
        <w:tc>
          <w:tcPr>
            <w:tcW w:w="5880" w:type="dxa"/>
            <w:vAlign w:val="bottom"/>
          </w:tcPr>
          <w:p>
            <w:pPr>
              <w:spacing w:after="0"/>
              <w:rPr>
                <w:sz w:val="20"/>
                <w:szCs w:val="20"/>
                <w:color w:val="auto"/>
              </w:rPr>
            </w:pPr>
            <w:r>
              <w:rPr>
                <w:rFonts w:ascii="Arial" w:cs="Arial" w:eastAsia="Arial" w:hAnsi="Arial"/>
                <w:sz w:val="18"/>
                <w:szCs w:val="18"/>
                <w:color w:val="auto"/>
              </w:rPr>
              <w:t>Volatility</w:t>
            </w:r>
          </w:p>
        </w:tc>
        <w:tc>
          <w:tcPr>
            <w:tcW w:w="2320" w:type="dxa"/>
            <w:vAlign w:val="bottom"/>
          </w:tcPr>
          <w:p>
            <w:pPr>
              <w:jc w:val="center"/>
              <w:ind w:left="950"/>
              <w:spacing w:after="0"/>
              <w:rPr>
                <w:sz w:val="20"/>
                <w:szCs w:val="20"/>
                <w:color w:val="auto"/>
              </w:rPr>
            </w:pPr>
            <w:r>
              <w:rPr>
                <w:rFonts w:ascii="Arial" w:cs="Arial" w:eastAsia="Arial" w:hAnsi="Arial"/>
                <w:sz w:val="18"/>
                <w:szCs w:val="18"/>
                <w:color w:val="auto"/>
                <w:w w:val="88"/>
              </w:rPr>
              <w:t>30%</w:t>
            </w:r>
          </w:p>
        </w:tc>
      </w:tr>
      <w:tr>
        <w:trPr>
          <w:trHeight w:val="27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3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6 years</w:t>
            </w:r>
          </w:p>
        </w:tc>
      </w:tr>
      <w:tr>
        <w:trPr>
          <w:trHeight w:val="270"/>
        </w:trPr>
        <w:tc>
          <w:tcPr>
            <w:tcW w:w="5880" w:type="dxa"/>
            <w:vAlign w:val="bottom"/>
          </w:tcPr>
          <w:p>
            <w:pPr>
              <w:spacing w:after="0"/>
              <w:rPr>
                <w:sz w:val="20"/>
                <w:szCs w:val="20"/>
                <w:color w:val="auto"/>
              </w:rPr>
            </w:pPr>
            <w:r>
              <w:rPr>
                <w:rFonts w:ascii="Arial" w:cs="Arial" w:eastAsia="Arial" w:hAnsi="Arial"/>
                <w:sz w:val="18"/>
                <w:szCs w:val="18"/>
                <w:color w:val="auto"/>
              </w:rPr>
              <w:t>Risk-free Rate</w:t>
            </w:r>
          </w:p>
        </w:tc>
        <w:tc>
          <w:tcPr>
            <w:tcW w:w="2320" w:type="dxa"/>
            <w:vAlign w:val="bottom"/>
          </w:tcPr>
          <w:p>
            <w:pPr>
              <w:jc w:val="center"/>
              <w:ind w:left="950"/>
              <w:spacing w:after="0"/>
              <w:rPr>
                <w:sz w:val="20"/>
                <w:szCs w:val="20"/>
                <w:color w:val="auto"/>
              </w:rPr>
            </w:pPr>
            <w:r>
              <w:rPr>
                <w:rFonts w:ascii="Arial" w:cs="Arial" w:eastAsia="Arial" w:hAnsi="Arial"/>
                <w:sz w:val="18"/>
                <w:szCs w:val="18"/>
                <w:color w:val="auto"/>
                <w:w w:val="93"/>
              </w:rPr>
              <w:t>1.14%</w:t>
            </w:r>
          </w:p>
        </w:tc>
      </w:tr>
      <w:tr>
        <w:trPr>
          <w:trHeight w:val="27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32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4"/>
              </w:rPr>
              <w:t>$36.17</w:t>
            </w:r>
          </w:p>
        </w:tc>
      </w:tr>
    </w:tbl>
    <w:p>
      <w:pPr>
        <w:spacing w:after="0" w:line="13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expected volatility is based on the historical volatility of a selected group of guideline publicly traded entities over the most recent period corresponding to the expected life as of the grant date. The risk-free interest rate for periods during the contractual life of the option is based on the U.S. Treasury yield curve in effect at the time of valuation.</w:t>
      </w: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During the nine months ended June 2021, we granted 873,490 class A-1 unit options to certain employees and non-employees which contain both service and performance vesting conditions. All options granted vest upon the satisfaction of both a service and a performance condition, if both conditions are met within 10 years. The grant date fair value of these options was $8.91 per option. Unit option awards granted to foreign employees and non-employee directors in certain countries will require cash settlement. The awards which require cash settlement are considered liability awards. The remainder of the options include a contingent cash settlement option outside the control of the holder and as such are considered equity awards.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presents information concerning the outstanding options granted by the Company:</w:t>
      </w: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Weighted-Average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 Intrinsic</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r>
      <w:tr>
        <w:trPr>
          <w:trHeight w:val="162"/>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Estimated Useful Life</w:t>
            </w:r>
          </w:p>
        </w:tc>
      </w:tr>
      <w:tr>
        <w:trPr>
          <w:trHeight w:val="186"/>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 Dollars)</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(000s)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6"/>
        </w:trPr>
        <w:tc>
          <w:tcPr>
            <w:tcW w:w="3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 As of the inception of the</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4"/>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 Option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78"/>
              <w:spacing w:after="0"/>
              <w:rPr>
                <w:sz w:val="20"/>
                <w:szCs w:val="20"/>
                <w:color w:val="auto"/>
              </w:rPr>
            </w:pPr>
            <w:r>
              <w:rPr>
                <w:rFonts w:ascii="Arial" w:cs="Arial" w:eastAsia="Arial" w:hAnsi="Arial"/>
                <w:sz w:val="18"/>
                <w:szCs w:val="18"/>
                <w:color w:val="auto"/>
              </w:rPr>
              <w:t>—</w:t>
            </w:r>
          </w:p>
        </w:tc>
      </w:tr>
      <w:tr>
        <w:trPr>
          <w:trHeight w:val="263"/>
        </w:trPr>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Options granted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873,490</w:t>
            </w:r>
          </w:p>
        </w:tc>
        <w:tc>
          <w:tcPr>
            <w:tcW w:w="1320" w:type="dxa"/>
            <w:vAlign w:val="bottom"/>
            <w:tcBorders>
              <w:bottom w:val="single" w:sz="8" w:color="CCEEFF"/>
            </w:tcBorders>
            <w:gridSpan w:val="2"/>
          </w:tcPr>
          <w:p>
            <w:pPr>
              <w:jc w:val="right"/>
              <w:ind w:right="241"/>
              <w:spacing w:after="0"/>
              <w:rPr>
                <w:sz w:val="20"/>
                <w:szCs w:val="20"/>
                <w:color w:val="auto"/>
              </w:rPr>
            </w:pPr>
            <w:r>
              <w:rPr>
                <w:rFonts w:ascii="Arial" w:cs="Arial" w:eastAsia="Arial" w:hAnsi="Arial"/>
                <w:sz w:val="18"/>
                <w:szCs w:val="18"/>
                <w:color w:val="auto"/>
              </w:rPr>
              <w:t>$36.17</w:t>
            </w: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478"/>
              <w:spacing w:after="0"/>
              <w:rPr>
                <w:sz w:val="20"/>
                <w:szCs w:val="20"/>
                <w:color w:val="auto"/>
              </w:rPr>
            </w:pPr>
            <w:r>
              <w:rPr>
                <w:rFonts w:ascii="Arial" w:cs="Arial" w:eastAsia="Arial" w:hAnsi="Arial"/>
                <w:sz w:val="18"/>
                <w:szCs w:val="18"/>
                <w:color w:val="auto"/>
              </w:rPr>
              <w:t>6</w:t>
            </w: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As of June 30, 2021</w:t>
            </w: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873,490</w:t>
            </w:r>
          </w:p>
        </w:tc>
        <w:tc>
          <w:tcPr>
            <w:tcW w:w="1320" w:type="dxa"/>
            <w:vAlign w:val="bottom"/>
            <w:tcBorders>
              <w:bottom w:val="single" w:sz="8" w:color="CCEEFF"/>
            </w:tcBorders>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$36.17</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78"/>
              <w:spacing w:after="0"/>
              <w:rPr>
                <w:sz w:val="20"/>
                <w:szCs w:val="20"/>
                <w:color w:val="auto"/>
              </w:rPr>
            </w:pPr>
            <w:r>
              <w:rPr>
                <w:rFonts w:ascii="Arial" w:cs="Arial" w:eastAsia="Arial" w:hAnsi="Arial"/>
                <w:sz w:val="18"/>
                <w:szCs w:val="18"/>
                <w:color w:val="auto"/>
              </w:rPr>
              <w:t>6</w:t>
            </w: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Exercisable as of June 30,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8"/>
              <w:spacing w:after="0"/>
              <w:rPr>
                <w:sz w:val="20"/>
                <w:szCs w:val="20"/>
                <w:color w:val="auto"/>
              </w:rPr>
            </w:pPr>
            <w:r>
              <w:rPr>
                <w:rFonts w:ascii="Arial" w:cs="Arial" w:eastAsia="Arial" w:hAnsi="Arial"/>
                <w:sz w:val="18"/>
                <w:szCs w:val="18"/>
                <w:color w:val="auto"/>
              </w:rPr>
              <w:t>—</w:t>
            </w:r>
          </w:p>
        </w:tc>
      </w:tr>
      <w:tr>
        <w:trPr>
          <w:trHeight w:val="21"/>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-393700</wp:posOffset>
            </wp:positionV>
            <wp:extent cx="52120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-873760</wp:posOffset>
            </wp:positionV>
            <wp:extent cx="1371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-873760</wp:posOffset>
            </wp:positionV>
            <wp:extent cx="137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264033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95"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As of June 30, 2021, the Company has approximately $7,783 thousand unrecognized compensation expense related to unit options, which would be recognized commencing with the period in which the performance condition is deemed probable of achievement.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Phantom Units</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During the nine months ended June 30, 2021, we granted 177,150 class A-1 phantom units, respectively, to certain employees and non-employees. All units granted vest upon the satisfaction of a performance condition, if the condition is met before the awards’ expiration date. The performance condition is satisfied upon the occurrence of a liquidity event, which is the earlier of either six months after the effective date of a registration statement for our IPO or a change in control. The grant date fair value of the phantom units was $32.56 per unit. Phantom units granted to foreign employees and non- employee directors in certain countries will require cash settlement. As such, the awards which require cash settlement are classified as liability awards. The remainder of the phantom units include a contingent cash settlement option outside the control of the holder and as such are classified as equity.</w:t>
      </w:r>
    </w:p>
    <w:p>
      <w:pPr>
        <w:spacing w:after="0" w:line="15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Weighted-Average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 Intrinsic</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r>
      <w:tr>
        <w:trPr>
          <w:trHeight w:val="162"/>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Useful Life</w:t>
            </w:r>
          </w:p>
        </w:tc>
      </w:tr>
      <w:tr>
        <w:trPr>
          <w:trHeight w:val="186"/>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U.S. Dollars)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(000s)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 Years)</w:t>
            </w:r>
          </w:p>
        </w:tc>
      </w:tr>
      <w:tr>
        <w:trPr>
          <w:trHeight w:val="25"/>
        </w:trPr>
        <w:tc>
          <w:tcPr>
            <w:tcW w:w="3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 As of the inception of the</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4"/>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Phantom Unit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w:t>
            </w:r>
          </w:p>
        </w:tc>
      </w:tr>
      <w:tr>
        <w:trPr>
          <w:trHeight w:val="263"/>
        </w:trPr>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Units granted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177,150</w:t>
            </w:r>
          </w:p>
        </w:tc>
        <w:tc>
          <w:tcPr>
            <w:tcW w:w="2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458"/>
              <w:spacing w:after="0"/>
              <w:rPr>
                <w:sz w:val="20"/>
                <w:szCs w:val="20"/>
                <w:color w:val="auto"/>
              </w:rPr>
            </w:pPr>
            <w:r>
              <w:rPr>
                <w:rFonts w:ascii="Arial" w:cs="Arial" w:eastAsia="Arial" w:hAnsi="Arial"/>
                <w:sz w:val="18"/>
                <w:szCs w:val="18"/>
                <w:color w:val="auto"/>
              </w:rPr>
              <w:t>2</w:t>
            </w: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As of June 30, 2021</w:t>
            </w: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177,150</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5,768</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2</w:t>
            </w: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Exercisable as of June 30,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458"/>
              <w:spacing w:after="0"/>
              <w:rPr>
                <w:sz w:val="20"/>
                <w:szCs w:val="20"/>
                <w:color w:val="auto"/>
              </w:rPr>
            </w:pPr>
            <w:r>
              <w:rPr>
                <w:rFonts w:ascii="Arial" w:cs="Arial" w:eastAsia="Arial" w:hAnsi="Arial"/>
                <w:sz w:val="18"/>
                <w:szCs w:val="18"/>
                <w:color w:val="auto"/>
              </w:rPr>
              <w:t>—</w:t>
            </w: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-393700</wp:posOffset>
            </wp:positionV>
            <wp:extent cx="52120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-873760</wp:posOffset>
            </wp:positionV>
            <wp:extent cx="137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-873760</wp:posOffset>
            </wp:positionV>
            <wp:extent cx="1371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264033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95" w:lineRule="exact"/>
        <w:rPr>
          <w:sz w:val="20"/>
          <w:szCs w:val="20"/>
          <w:color w:val="auto"/>
        </w:rPr>
      </w:pPr>
    </w:p>
    <w:p>
      <w:pPr>
        <w:jc w:val="both"/>
        <w:ind w:left="1260" w:right="779" w:firstLine="360"/>
        <w:spacing w:after="0" w:line="248" w:lineRule="auto"/>
        <w:rPr>
          <w:sz w:val="20"/>
          <w:szCs w:val="20"/>
          <w:color w:val="auto"/>
        </w:rPr>
      </w:pPr>
      <w:r>
        <w:rPr>
          <w:rFonts w:ascii="Arial" w:cs="Arial" w:eastAsia="Arial" w:hAnsi="Arial"/>
          <w:sz w:val="18"/>
          <w:szCs w:val="18"/>
          <w:color w:val="auto"/>
        </w:rPr>
        <w:t>As of June 30, 2021, the Company has approximately $5,768 thousand unrecognized compensation expense related to phantom units, which would be recognized commencing with the period in which the performance condition is deemed probable of achievement.</w:t>
      </w:r>
    </w:p>
    <w:p>
      <w:pPr>
        <w:spacing w:after="0" w:line="101"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As of June 30, 2021, the Company determined that the achievement of the performance condition was not probable and therefore, there was no expense recognized for these unit options or phantom units for the period ended June 30, 2021.</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Mezzanine Equity</w:t>
      </w:r>
    </w:p>
    <w:p>
      <w:pPr>
        <w:spacing w:after="0" w:line="162" w:lineRule="exact"/>
        <w:rPr>
          <w:sz w:val="20"/>
          <w:szCs w:val="20"/>
          <w:color w:val="auto"/>
        </w:rPr>
      </w:pPr>
    </w:p>
    <w:p>
      <w:pPr>
        <w:jc w:val="both"/>
        <w:ind w:left="1260" w:right="519" w:firstLine="360"/>
        <w:spacing w:after="0" w:line="291" w:lineRule="auto"/>
        <w:rPr>
          <w:sz w:val="20"/>
          <w:szCs w:val="20"/>
          <w:color w:val="auto"/>
        </w:rPr>
      </w:pPr>
      <w:r>
        <w:rPr>
          <w:rFonts w:ascii="Arial" w:cs="Arial" w:eastAsia="Arial" w:hAnsi="Arial"/>
          <w:sz w:val="17"/>
          <w:szCs w:val="17"/>
          <w:color w:val="auto"/>
        </w:rPr>
        <w:t>On December 27, 2020, the Company entered into a subscription agreement with Qatar Investment Authority for the issuance of 1,250,000 Class B units for a total value of $125,000 thousand. Following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completion of the transaction on June 9, 2021, AES, Siemens, and QIA hold 3,960,000, 3,960,000, and 1,250,000 units, and 43.2%, 43.2%, and 13.6% of limited liability interests of the Company, respectively. Pursuant to the subscription agreement, QIA has certain rights that may allow it to cause the Company to repurchase the units at fair value for five years from the completion of the transaction under conditions outside of the control of the Company. QIA’s redemption rights are contingent upon the Company not completing a qualified IPO within a specified time period. The Company does not consider QIA’s investment probable of becoming redeemable as it is not probable that the company will not complete a qualified IPO by the end of the IPO notice period, which is defined as nine months after QIA provides notice. QIA cannot provide notice until after five years after the effective date of the subscription agreement. This investment was initially recognized at fair value, which approximated the amount of proceeds received, net of issuance costs. At June 30, 2021 the investment is recognized at the carrying value, rather than the redemption value.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Collaborative Arrangement</w:t>
      </w:r>
    </w:p>
    <w:p>
      <w:pPr>
        <w:spacing w:after="0" w:line="148"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In 2021, the Company executed a development agreement with a service provider to design integrated energy storage systems. Under the agreement, the Company makes periodic payments for development activities that will be performed over a three-year period. After development completion, the parties will each hold a license to commercialize certain products developed under the arrangement in exchange for annual royalty payments to the other party. We recorded $3,597 thousand of expense related to this agreement within research and development expense for the nine months ended June 30, 2021.</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Subsequent Events</w:t>
      </w:r>
    </w:p>
    <w:p>
      <w:pPr>
        <w:spacing w:after="0" w:line="162"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Company has evaluated subsequent events through September 3, 2021, which is the date that these condensed consolidated financial statements were available to be issued.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Borrowing from Line of Credit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July 23, August 4, August 11 and August 26, 2021, the Company borrowed $6,000 thousand,</w:t>
      </w:r>
    </w:p>
    <w:p>
      <w:pPr>
        <w:spacing w:after="0" w:line="23" w:lineRule="exact"/>
        <w:rPr>
          <w:sz w:val="20"/>
          <w:szCs w:val="20"/>
          <w:color w:val="auto"/>
        </w:rPr>
      </w:pPr>
    </w:p>
    <w:p>
      <w:pPr>
        <w:ind w:left="1260" w:right="619"/>
        <w:spacing w:after="0" w:line="260" w:lineRule="auto"/>
        <w:rPr>
          <w:sz w:val="20"/>
          <w:szCs w:val="20"/>
          <w:color w:val="auto"/>
        </w:rPr>
      </w:pPr>
      <w:r>
        <w:rPr>
          <w:rFonts w:ascii="Arial" w:cs="Arial" w:eastAsia="Arial" w:hAnsi="Arial"/>
          <w:sz w:val="18"/>
          <w:szCs w:val="18"/>
          <w:color w:val="auto"/>
        </w:rPr>
        <w:t>$22,000 thousand, $20,000 thousand, and $2,000 thousand, respectively, from its line of credit, to fund its working capital needs.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Borrowings from Related Parties</w:t>
      </w:r>
    </w:p>
    <w:p>
      <w:pPr>
        <w:spacing w:after="0" w:line="144"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On August 11, 2021, the Company borrowed $25,000 thousand and $25,000 thousand from AES and Siemens, respectively, in the form of subordinated promissory notes, each bearing an annual interest at 2.86%. Each note has a maturity date within a year of its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35406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31965" cy="835406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19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60"/>
        <w:spacing w:after="0"/>
        <w:rPr>
          <w:sz w:val="20"/>
          <w:szCs w:val="20"/>
          <w:color w:val="auto"/>
        </w:rPr>
      </w:pPr>
      <w:r>
        <w:rPr>
          <w:rFonts w:ascii="Arial" w:cs="Arial" w:eastAsia="Arial" w:hAnsi="Arial"/>
          <w:sz w:val="29"/>
          <w:szCs w:val="29"/>
          <w:b w:val="1"/>
          <w:bCs w:val="1"/>
          <w:color w:val="auto"/>
        </w:rPr>
        <w:t>31,000,000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588645</wp:posOffset>
            </wp:positionV>
            <wp:extent cx="1971675" cy="4972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0"/>
        <w:spacing w:after="0"/>
        <w:rPr>
          <w:sz w:val="20"/>
          <w:szCs w:val="20"/>
          <w:color w:val="auto"/>
        </w:rPr>
      </w:pPr>
      <w:r>
        <w:rPr>
          <w:rFonts w:ascii="Arial" w:cs="Arial" w:eastAsia="Arial" w:hAnsi="Arial"/>
          <w:sz w:val="32"/>
          <w:szCs w:val="32"/>
          <w:b w:val="1"/>
          <w:bCs w:val="1"/>
          <w:color w:val="auto"/>
        </w:rPr>
        <w:t>Fluence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586105</wp:posOffset>
            </wp:positionV>
            <wp:extent cx="123444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173990</wp:posOffset>
            </wp:positionV>
            <wp:extent cx="123444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(Lead bookrunners listed in alphabetical order by row)</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375"/>
        </w:trPr>
        <w:tc>
          <w:tcPr>
            <w:tcW w:w="2640" w:type="dxa"/>
            <w:vAlign w:val="bottom"/>
          </w:tcPr>
          <w:p>
            <w:pPr>
              <w:spacing w:after="0"/>
              <w:rPr>
                <w:sz w:val="20"/>
                <w:szCs w:val="20"/>
                <w:color w:val="auto"/>
              </w:rPr>
            </w:pPr>
            <w:r>
              <w:rPr>
                <w:rFonts w:ascii="Arial" w:cs="Arial" w:eastAsia="Arial" w:hAnsi="Arial"/>
                <w:sz w:val="29"/>
                <w:szCs w:val="29"/>
                <w:b w:val="1"/>
                <w:bCs w:val="1"/>
                <w:color w:val="auto"/>
              </w:rPr>
              <w:t>J.P. Morgan</w:t>
            </w:r>
          </w:p>
        </w:tc>
        <w:tc>
          <w:tcPr>
            <w:tcW w:w="292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29"/>
                <w:szCs w:val="29"/>
                <w:b w:val="1"/>
                <w:bCs w:val="1"/>
                <w:color w:val="auto"/>
              </w:rPr>
              <w:t>Morgan Stanley</w:t>
            </w:r>
          </w:p>
        </w:tc>
      </w:tr>
      <w:tr>
        <w:trPr>
          <w:trHeight w:val="405"/>
        </w:trPr>
        <w:tc>
          <w:tcPr>
            <w:tcW w:w="2640" w:type="dxa"/>
            <w:vAlign w:val="bottom"/>
          </w:tcPr>
          <w:p>
            <w:pPr>
              <w:spacing w:after="0"/>
              <w:rPr>
                <w:sz w:val="20"/>
                <w:szCs w:val="20"/>
                <w:color w:val="auto"/>
              </w:rPr>
            </w:pPr>
            <w:r>
              <w:rPr>
                <w:rFonts w:ascii="Arial" w:cs="Arial" w:eastAsia="Arial" w:hAnsi="Arial"/>
                <w:sz w:val="29"/>
                <w:szCs w:val="29"/>
                <w:b w:val="1"/>
                <w:bCs w:val="1"/>
                <w:color w:val="auto"/>
              </w:rPr>
              <w:t>Barclays</w:t>
            </w:r>
          </w:p>
        </w:tc>
        <w:tc>
          <w:tcPr>
            <w:tcW w:w="292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29"/>
                <w:szCs w:val="29"/>
                <w:b w:val="1"/>
                <w:bCs w:val="1"/>
                <w:color w:val="auto"/>
              </w:rPr>
              <w:t>BofA Securities</w:t>
            </w:r>
          </w:p>
        </w:tc>
      </w:tr>
      <w:tr>
        <w:trPr>
          <w:trHeight w:val="368"/>
        </w:trPr>
        <w:tc>
          <w:tcPr>
            <w:tcW w:w="2640" w:type="dxa"/>
            <w:vAlign w:val="bottom"/>
          </w:tcPr>
          <w:p>
            <w:pPr>
              <w:spacing w:after="0"/>
              <w:rPr>
                <w:sz w:val="20"/>
                <w:szCs w:val="20"/>
                <w:color w:val="auto"/>
              </w:rPr>
            </w:pPr>
            <w:r>
              <w:rPr>
                <w:rFonts w:ascii="Arial" w:cs="Arial" w:eastAsia="Arial" w:hAnsi="Arial"/>
                <w:sz w:val="25"/>
                <w:szCs w:val="25"/>
                <w:b w:val="1"/>
                <w:bCs w:val="1"/>
                <w:color w:val="auto"/>
              </w:rPr>
              <w:t>Citigroup</w:t>
            </w:r>
          </w:p>
        </w:tc>
        <w:tc>
          <w:tcPr>
            <w:tcW w:w="2920" w:type="dxa"/>
            <w:vAlign w:val="bottom"/>
          </w:tcPr>
          <w:p>
            <w:pPr>
              <w:jc w:val="center"/>
              <w:spacing w:after="0"/>
              <w:rPr>
                <w:sz w:val="20"/>
                <w:szCs w:val="20"/>
                <w:color w:val="auto"/>
              </w:rPr>
            </w:pPr>
            <w:r>
              <w:rPr>
                <w:rFonts w:ascii="Arial" w:cs="Arial" w:eastAsia="Arial" w:hAnsi="Arial"/>
                <w:sz w:val="25"/>
                <w:szCs w:val="25"/>
                <w:b w:val="1"/>
                <w:bCs w:val="1"/>
                <w:color w:val="auto"/>
                <w:w w:val="85"/>
              </w:rPr>
              <w:t>Credit Suisse</w:t>
            </w:r>
          </w:p>
        </w:tc>
        <w:tc>
          <w:tcPr>
            <w:tcW w:w="2640" w:type="dxa"/>
            <w:vAlign w:val="bottom"/>
          </w:tcPr>
          <w:p>
            <w:pPr>
              <w:jc w:val="right"/>
              <w:spacing w:after="0"/>
              <w:rPr>
                <w:sz w:val="20"/>
                <w:szCs w:val="20"/>
                <w:color w:val="auto"/>
              </w:rPr>
            </w:pPr>
            <w:r>
              <w:rPr>
                <w:rFonts w:ascii="Arial" w:cs="Arial" w:eastAsia="Arial" w:hAnsi="Arial"/>
                <w:sz w:val="25"/>
                <w:szCs w:val="25"/>
                <w:b w:val="1"/>
                <w:bCs w:val="1"/>
                <w:color w:val="auto"/>
              </w:rPr>
              <w:t>UBS Investment Bank</w:t>
            </w:r>
          </w:p>
        </w:tc>
      </w:tr>
      <w:tr>
        <w:trPr>
          <w:trHeight w:val="365"/>
        </w:trPr>
        <w:tc>
          <w:tcPr>
            <w:tcW w:w="2640" w:type="dxa"/>
            <w:vAlign w:val="bottom"/>
          </w:tcPr>
          <w:p>
            <w:pPr>
              <w:spacing w:after="0"/>
              <w:rPr>
                <w:sz w:val="20"/>
                <w:szCs w:val="20"/>
                <w:color w:val="auto"/>
              </w:rPr>
            </w:pPr>
            <w:r>
              <w:rPr>
                <w:rFonts w:ascii="Arial" w:cs="Arial" w:eastAsia="Arial" w:hAnsi="Arial"/>
                <w:sz w:val="25"/>
                <w:szCs w:val="25"/>
                <w:b w:val="1"/>
                <w:bCs w:val="1"/>
                <w:color w:val="auto"/>
              </w:rPr>
              <w:t>Evercore ISI</w:t>
            </w:r>
          </w:p>
        </w:tc>
        <w:tc>
          <w:tcPr>
            <w:tcW w:w="2920" w:type="dxa"/>
            <w:vAlign w:val="bottom"/>
          </w:tcPr>
          <w:p>
            <w:pPr>
              <w:jc w:val="center"/>
              <w:spacing w:after="0"/>
              <w:rPr>
                <w:sz w:val="20"/>
                <w:szCs w:val="20"/>
                <w:color w:val="auto"/>
              </w:rPr>
            </w:pPr>
            <w:r>
              <w:rPr>
                <w:rFonts w:ascii="Arial" w:cs="Arial" w:eastAsia="Arial" w:hAnsi="Arial"/>
                <w:sz w:val="25"/>
                <w:szCs w:val="25"/>
                <w:b w:val="1"/>
                <w:bCs w:val="1"/>
                <w:color w:val="auto"/>
                <w:w w:val="93"/>
              </w:rPr>
              <w:t>HSBC</w:t>
            </w:r>
          </w:p>
        </w:tc>
        <w:tc>
          <w:tcPr>
            <w:tcW w:w="2640" w:type="dxa"/>
            <w:vAlign w:val="bottom"/>
          </w:tcPr>
          <w:p>
            <w:pPr>
              <w:jc w:val="right"/>
              <w:spacing w:after="0"/>
              <w:rPr>
                <w:sz w:val="20"/>
                <w:szCs w:val="20"/>
                <w:color w:val="auto"/>
              </w:rPr>
            </w:pPr>
            <w:r>
              <w:rPr>
                <w:rFonts w:ascii="Arial" w:cs="Arial" w:eastAsia="Arial" w:hAnsi="Arial"/>
                <w:sz w:val="25"/>
                <w:szCs w:val="25"/>
                <w:b w:val="1"/>
                <w:bCs w:val="1"/>
                <w:color w:val="auto"/>
              </w:rPr>
              <w:t>RBC Capital Markets</w:t>
            </w:r>
          </w:p>
        </w:tc>
      </w:tr>
      <w:tr>
        <w:trPr>
          <w:trHeight w:val="748"/>
        </w:trPr>
        <w:tc>
          <w:tcPr>
            <w:tcW w:w="264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5"/>
              </w:rPr>
              <w:t>Co-Managers</w:t>
            </w:r>
          </w:p>
        </w:tc>
        <w:tc>
          <w:tcPr>
            <w:tcW w:w="2640" w:type="dxa"/>
            <w:vAlign w:val="bottom"/>
          </w:tcPr>
          <w:p>
            <w:pPr>
              <w:spacing w:after="0"/>
              <w:rPr>
                <w:sz w:val="24"/>
                <w:szCs w:val="24"/>
                <w:color w:val="auto"/>
              </w:rPr>
            </w:pPr>
          </w:p>
        </w:tc>
      </w:tr>
      <w:tr>
        <w:trPr>
          <w:trHeight w:val="388"/>
        </w:trPr>
        <w:tc>
          <w:tcPr>
            <w:tcW w:w="2640" w:type="dxa"/>
            <w:vAlign w:val="bottom"/>
          </w:tcPr>
          <w:p>
            <w:pPr>
              <w:spacing w:after="0"/>
              <w:rPr>
                <w:sz w:val="20"/>
                <w:szCs w:val="20"/>
                <w:color w:val="auto"/>
              </w:rPr>
            </w:pPr>
            <w:r>
              <w:rPr>
                <w:rFonts w:ascii="Arial" w:cs="Arial" w:eastAsia="Arial" w:hAnsi="Arial"/>
                <w:sz w:val="22"/>
                <w:szCs w:val="22"/>
                <w:b w:val="1"/>
                <w:bCs w:val="1"/>
                <w:color w:val="auto"/>
              </w:rPr>
              <w:t>Nomura</w:t>
            </w:r>
          </w:p>
        </w:tc>
        <w:tc>
          <w:tcPr>
            <w:tcW w:w="2920" w:type="dxa"/>
            <w:vAlign w:val="bottom"/>
          </w:tcPr>
          <w:p>
            <w:pPr>
              <w:jc w:val="center"/>
              <w:spacing w:after="0"/>
              <w:rPr>
                <w:sz w:val="20"/>
                <w:szCs w:val="20"/>
                <w:color w:val="auto"/>
              </w:rPr>
            </w:pPr>
            <w:r>
              <w:rPr>
                <w:rFonts w:ascii="Arial" w:cs="Arial" w:eastAsia="Arial" w:hAnsi="Arial"/>
                <w:sz w:val="22"/>
                <w:szCs w:val="22"/>
                <w:b w:val="1"/>
                <w:bCs w:val="1"/>
                <w:color w:val="auto"/>
                <w:w w:val="88"/>
              </w:rPr>
              <w:t>Baird</w:t>
            </w:r>
          </w:p>
        </w:tc>
        <w:tc>
          <w:tcPr>
            <w:tcW w:w="2640" w:type="dxa"/>
            <w:vAlign w:val="bottom"/>
          </w:tcPr>
          <w:p>
            <w:pPr>
              <w:jc w:val="right"/>
              <w:spacing w:after="0"/>
              <w:rPr>
                <w:sz w:val="20"/>
                <w:szCs w:val="20"/>
                <w:color w:val="auto"/>
              </w:rPr>
            </w:pPr>
            <w:r>
              <w:rPr>
                <w:rFonts w:ascii="Arial" w:cs="Arial" w:eastAsia="Arial" w:hAnsi="Arial"/>
                <w:sz w:val="22"/>
                <w:szCs w:val="22"/>
                <w:b w:val="1"/>
                <w:bCs w:val="1"/>
                <w:color w:val="auto"/>
              </w:rPr>
              <w:t>Raymond James</w:t>
            </w:r>
          </w:p>
        </w:tc>
      </w:tr>
      <w:tr>
        <w:trPr>
          <w:trHeight w:val="365"/>
        </w:trPr>
        <w:tc>
          <w:tcPr>
            <w:tcW w:w="2640" w:type="dxa"/>
            <w:vAlign w:val="bottom"/>
          </w:tcPr>
          <w:p>
            <w:pPr>
              <w:spacing w:after="0"/>
              <w:rPr>
                <w:sz w:val="20"/>
                <w:szCs w:val="20"/>
                <w:color w:val="auto"/>
              </w:rPr>
            </w:pPr>
            <w:r>
              <w:rPr>
                <w:rFonts w:ascii="Arial" w:cs="Arial" w:eastAsia="Arial" w:hAnsi="Arial"/>
                <w:sz w:val="22"/>
                <w:szCs w:val="22"/>
                <w:b w:val="1"/>
                <w:bCs w:val="1"/>
                <w:color w:val="auto"/>
                <w:w w:val="97"/>
              </w:rPr>
              <w:t>Seaport Global Securities</w:t>
            </w:r>
          </w:p>
        </w:tc>
        <w:tc>
          <w:tcPr>
            <w:tcW w:w="2920" w:type="dxa"/>
            <w:vAlign w:val="bottom"/>
          </w:tcPr>
          <w:p>
            <w:pPr>
              <w:jc w:val="center"/>
              <w:spacing w:after="0"/>
              <w:rPr>
                <w:sz w:val="20"/>
                <w:szCs w:val="20"/>
                <w:color w:val="auto"/>
              </w:rPr>
            </w:pPr>
            <w:r>
              <w:rPr>
                <w:rFonts w:ascii="Arial" w:cs="Arial" w:eastAsia="Arial" w:hAnsi="Arial"/>
                <w:sz w:val="22"/>
                <w:szCs w:val="22"/>
                <w:b w:val="1"/>
                <w:bCs w:val="1"/>
                <w:color w:val="auto"/>
                <w:w w:val="85"/>
              </w:rPr>
              <w:t>Penserra Securities LLC</w:t>
            </w:r>
          </w:p>
        </w:tc>
        <w:tc>
          <w:tcPr>
            <w:tcW w:w="2640" w:type="dxa"/>
            <w:vAlign w:val="bottom"/>
          </w:tcPr>
          <w:p>
            <w:pPr>
              <w:jc w:val="right"/>
              <w:spacing w:after="0"/>
              <w:rPr>
                <w:sz w:val="20"/>
                <w:szCs w:val="20"/>
                <w:color w:val="auto"/>
              </w:rPr>
            </w:pPr>
            <w:r>
              <w:rPr>
                <w:rFonts w:ascii="Arial" w:cs="Arial" w:eastAsia="Arial" w:hAnsi="Arial"/>
                <w:sz w:val="22"/>
                <w:szCs w:val="22"/>
                <w:b w:val="1"/>
                <w:bCs w:val="1"/>
                <w:color w:val="auto"/>
              </w:rPr>
              <w:t>Siebert Williams Shank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559435</wp:posOffset>
            </wp:positionV>
            <wp:extent cx="123444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October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377190</wp:posOffset>
            </wp:positionV>
            <wp:extent cx="52120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420370</wp:posOffset>
            </wp:positionV>
            <wp:extent cx="5212080" cy="260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681990</wp:posOffset>
            </wp:positionV>
            <wp:extent cx="68319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decimal"/>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1)"/>
      <w:numFmt w:val="lowerLetter"/>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1)"/>
      <w:numFmt w:val="decimal"/>
      <w:start w:val="4"/>
    </w:lvl>
  </w:abstractNum>
  <w:abstractNum w:abstractNumId="18">
    <w:nsid w:val="5DC79EA8"/>
    <w:multiLevelType w:val="hybridMultilevel"/>
    <w:lvl w:ilvl="0">
      <w:lvlJc w:val="left"/>
      <w:lvlText w:val="2"/>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1)"/>
      <w:numFmt w:val="decimal"/>
      <w:start w:val="1"/>
    </w:lvl>
  </w:abstractNum>
  <w:abstractNum w:abstractNumId="21">
    <w:nsid w:val="51D9C564"/>
    <w:multiLevelType w:val="hybridMultilevel"/>
    <w:lvl w:ilvl="0">
      <w:lvlJc w:val="left"/>
      <w:lvlText w:val="(%1)"/>
      <w:numFmt w:val="decimal"/>
      <w:start w:val="2"/>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1)"/>
      <w:numFmt w:val="decimal"/>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1)"/>
      <w:numFmt w:val="decimal"/>
      <w:start w:val="3"/>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1"/>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1)"/>
      <w:numFmt w:val="lowerRoman"/>
      <w:start w:val="2"/>
    </w:lvl>
  </w:abstractNum>
  <w:abstractNum w:abstractNumId="47">
    <w:nsid w:val="14E17E33"/>
    <w:multiLevelType w:val="hybridMultilevel"/>
    <w:lvl w:ilvl="0">
      <w:lvlJc w:val="left"/>
      <w:lvlText w:val="(%1)"/>
      <w:numFmt w:val="lowerLetter"/>
      <w:start w:val="1"/>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1)"/>
      <w:numFmt w:val="decimal"/>
      <w:start w:val="4"/>
    </w:lvl>
    <w:lvl w:ilvl="1">
      <w:lvlJc w:val="left"/>
      <w:lvlText w:val="(%2)"/>
      <w:numFmt w:val="lowerLetter"/>
      <w:start w:val="1"/>
    </w:lvl>
  </w:abstractNum>
  <w:abstractNum w:abstractNumId="50">
    <w:nsid w:val="68EBC550"/>
    <w:multiLevelType w:val="hybridMultilevel"/>
    <w:lvl w:ilvl="0">
      <w:lvlJc w:val="left"/>
      <w:lvlText w:val="(%1)"/>
      <w:numFmt w:val="decimal"/>
      <w:start w:val="8"/>
    </w:lvl>
  </w:abstractNum>
  <w:abstractNum w:abstractNumId="51">
    <w:nsid w:val="2DF6D648"/>
    <w:multiLevelType w:val="hybridMultilevel"/>
    <w:lvl w:ilvl="0">
      <w:lvlJc w:val="left"/>
      <w:lvlText w:val="(%1)"/>
      <w:numFmt w:val="decimal"/>
      <w:start w:val="9"/>
    </w:lvl>
  </w:abstractNum>
  <w:abstractNum w:abstractNumId="52">
    <w:nsid w:val="46B7D447"/>
    <w:multiLevelType w:val="hybridMultilevel"/>
    <w:lvl w:ilvl="0">
      <w:lvlJc w:val="left"/>
      <w:lvlText w:val="(%1)"/>
      <w:numFmt w:val="decimal"/>
      <w:start w:val="6"/>
    </w:lvl>
  </w:abstractNum>
  <w:abstractNum w:abstractNumId="53">
    <w:nsid w:val="4A2AC315"/>
    <w:multiLevelType w:val="hybridMultilevel"/>
    <w:lvl w:ilvl="0">
      <w:lvlJc w:val="left"/>
      <w:lvlText w:val="(%1)"/>
      <w:numFmt w:val="decimal"/>
      <w:start w:val="6"/>
    </w:lvl>
  </w:abstractNum>
  <w:abstractNum w:abstractNumId="54">
    <w:nsid w:val="39EE015C"/>
    <w:multiLevelType w:val="hybridMultilevel"/>
    <w:lvl w:ilvl="0">
      <w:lvlJc w:val="left"/>
      <w:lvlText w:val="(%1)"/>
      <w:numFmt w:val="decimal"/>
      <w:start w:val="6"/>
    </w:lvl>
  </w:abstractNum>
  <w:abstractNum w:abstractNumId="55">
    <w:nsid w:val="57FC4FBB"/>
    <w:multiLevelType w:val="hybridMultilevel"/>
    <w:lvl w:ilvl="0">
      <w:lvlJc w:val="left"/>
      <w:lvlText w:val="(%1)"/>
      <w:numFmt w:val="decimal"/>
      <w:start w:val="6"/>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decimal"/>
      <w:start w:val="3"/>
    </w:lvl>
  </w:abstractNum>
  <w:abstractNum w:abstractNumId="58">
    <w:nsid w:val="60EF0119"/>
    <w:multiLevelType w:val="hybridMultilevel"/>
    <w:lvl w:ilvl="0">
      <w:lvlJc w:val="left"/>
      <w:lvlText w:val="(%1)"/>
      <w:numFmt w:val="lowerRoman"/>
      <w:start w:val="4"/>
    </w:lvl>
  </w:abstractNum>
  <w:abstractNum w:abstractNumId="59">
    <w:nsid w:val="26F324BA"/>
    <w:multiLevelType w:val="hybridMultilevel"/>
    <w:lvl w:ilvl="0">
      <w:lvlJc w:val="left"/>
      <w:lvlText w:val="(%1)"/>
      <w:numFmt w:val="lowerRoman"/>
      <w:start w:val="2"/>
    </w:lvl>
  </w:abstractNum>
  <w:abstractNum w:abstractNumId="60">
    <w:nsid w:val="7F01579B"/>
    <w:multiLevelType w:val="hybridMultilevel"/>
    <w:lvl w:ilvl="0">
      <w:lvlJc w:val="left"/>
      <w:lvlText w:val="(%1)"/>
      <w:numFmt w:val="lowerRoman"/>
      <w:start w:val="2"/>
    </w:lvl>
  </w:abstractNum>
  <w:abstractNum w:abstractNumId="61">
    <w:nsid w:val="49DA307D"/>
    <w:multiLevelType w:val="hybridMultilevel"/>
    <w:lvl w:ilvl="0">
      <w:lvlJc w:val="left"/>
      <w:lvlText w:val="(%1)"/>
      <w:numFmt w:val="lowerLetter"/>
      <w:start w:val="1"/>
    </w:lvl>
  </w:abstractNum>
  <w:abstractNum w:abstractNumId="62">
    <w:nsid w:val="7055A5F5"/>
    <w:multiLevelType w:val="hybridMultilevel"/>
    <w:lvl w:ilvl="0">
      <w:lvlJc w:val="left"/>
      <w:lvlText w:val="(%1)"/>
      <w:numFmt w:val="lowerLetter"/>
      <w:start w:val="1"/>
    </w:lvl>
  </w:abstractNum>
  <w:abstractNum w:abstractNumId="63">
    <w:nsid w:val="5FB8370B"/>
    <w:multiLevelType w:val="hybridMultilevel"/>
    <w:lvl w:ilvl="0">
      <w:lvlJc w:val="left"/>
      <w:lvlText w:val="(%1)"/>
      <w:numFmt w:val="lowerLetter"/>
      <w:start w:val="1"/>
    </w:lvl>
  </w:abstractNum>
  <w:abstractNum w:abstractNumId="64">
    <w:nsid w:val="50801EE1"/>
    <w:multiLevelType w:val="hybridMultilevel"/>
    <w:lvl w:ilvl="0">
      <w:lvlJc w:val="left"/>
      <w:lvlText w:val="(%1)"/>
      <w:numFmt w:val="lowerLetter"/>
      <w:start w:val="1"/>
    </w:lvl>
  </w:abstractNum>
  <w:abstractNum w:abstractNumId="65">
    <w:nsid w:val="488AC1A"/>
    <w:multiLevelType w:val="hybridMultilevel"/>
    <w:lvl w:ilvl="0">
      <w:lvlJc w:val="left"/>
      <w:lvlText w:val="(%1)"/>
      <w:numFmt w:val="lowerLetter"/>
      <w:start w:val="2"/>
    </w:lvl>
  </w:abstractNum>
  <w:abstractNum w:abstractNumId="66">
    <w:nsid w:val="5FB8011C"/>
    <w:multiLevelType w:val="hybridMultilevel"/>
    <w:lvl w:ilvl="0">
      <w:lvlJc w:val="left"/>
      <w:lvlText w:val="(%1)"/>
      <w:numFmt w:val="lowerLetter"/>
      <w:start w:val="1"/>
    </w:lvl>
  </w:abstractNum>
  <w:abstractNum w:abstractNumId="67">
    <w:nsid w:val="6AA78F7F"/>
    <w:multiLevelType w:val="hybridMultilevel"/>
    <w:lvl w:ilvl="0">
      <w:lvlJc w:val="left"/>
      <w:lvlText w:val="(%1)"/>
      <w:numFmt w:val="lowerLetter"/>
      <w:start w:val="1"/>
    </w:lvl>
  </w:abstractNum>
  <w:abstractNum w:abstractNumId="68">
    <w:nsid w:val="7672BD23"/>
    <w:multiLevelType w:val="hybridMultilevel"/>
    <w:lvl w:ilvl="0">
      <w:lvlJc w:val="left"/>
      <w:lvlText w:val="(%1)"/>
      <w:numFmt w:val="lowerRoman"/>
      <w:start w:val="3"/>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
      <w:numFmt w:val="bullet"/>
      <w:start w:val="1"/>
    </w:lvl>
  </w:abstractNum>
  <w:abstractNum w:abstractNumId="71">
    <w:nsid w:val="7D5E18F8"/>
    <w:multiLevelType w:val="hybridMultilevel"/>
    <w:lvl w:ilvl="0">
      <w:lvlJc w:val="left"/>
      <w:lvlText w:val="•"/>
      <w:numFmt w:val="bullet"/>
      <w:start w:val="1"/>
    </w:lvl>
  </w:abstractNum>
  <w:abstractNum w:abstractNumId="72">
    <w:nsid w:val="5F3534A4"/>
    <w:multiLevelType w:val="hybridMultilevel"/>
    <w:lvl w:ilvl="0">
      <w:lvlJc w:val="left"/>
      <w:lvlText w:val="•"/>
      <w:numFmt w:val="bullet"/>
      <w:start w:val="1"/>
    </w:lvl>
  </w:abstractNum>
  <w:abstractNum w:abstractNumId="73">
    <w:nsid w:val="73A1821B"/>
    <w:multiLevelType w:val="hybridMultilevel"/>
    <w:lvl w:ilvl="0">
      <w:lvlJc w:val="left"/>
      <w:lvlText w:val="•"/>
      <w:numFmt w:val="bullet"/>
      <w:start w:val="1"/>
    </w:lvl>
  </w:abstractNum>
  <w:abstractNum w:abstractNumId="74">
    <w:nsid w:val="7DE67713"/>
    <w:multiLevelType w:val="hybridMultilevel"/>
    <w:lvl w:ilvl="0">
      <w:lvlJc w:val="left"/>
      <w:lvlText w:val="•"/>
      <w:numFmt w:val="bullet"/>
      <w:start w:val="1"/>
    </w:lvl>
  </w:abstractNum>
  <w:abstractNum w:abstractNumId="75">
    <w:nsid w:val="555C55B5"/>
    <w:multiLevelType w:val="hybridMultilevel"/>
    <w:lvl w:ilvl="0">
      <w:lvlJc w:val="left"/>
      <w:lvlText w:val="•"/>
      <w:numFmt w:val="bullet"/>
      <w:start w:val="1"/>
    </w:lvl>
  </w:abstractNum>
  <w:abstractNum w:abstractNumId="76">
    <w:nsid w:val="3FA62ACA"/>
    <w:multiLevelType w:val="hybridMultilevel"/>
    <w:lvl w:ilvl="0">
      <w:lvlJc w:val="left"/>
      <w:lvlText w:val="•"/>
      <w:numFmt w:val="bullet"/>
      <w:start w:val="1"/>
    </w:lvl>
  </w:abstractNum>
  <w:abstractNum w:abstractNumId="77">
    <w:nsid w:val="14FCE74E"/>
    <w:multiLevelType w:val="hybridMultilevel"/>
    <w:lvl w:ilvl="0">
      <w:lvlJc w:val="left"/>
      <w:lvlText w:val="•"/>
      <w:numFmt w:val="bullet"/>
      <w:start w:val="1"/>
    </w:lvl>
  </w:abstractNum>
  <w:abstractNum w:abstractNumId="78">
    <w:nsid w:val="6A3DD3E8"/>
    <w:multiLevelType w:val="hybridMultilevel"/>
    <w:lvl w:ilvl="0">
      <w:lvlJc w:val="left"/>
      <w:lvlText w:val="•"/>
      <w:numFmt w:val="bullet"/>
      <w:start w:val="1"/>
    </w:lvl>
  </w:abstractNum>
  <w:abstractNum w:abstractNumId="79">
    <w:nsid w:val="71C91298"/>
    <w:multiLevelType w:val="hybridMultilevel"/>
    <w:lvl w:ilvl="0">
      <w:lvlJc w:val="left"/>
      <w:lvlText w:val="•"/>
      <w:numFmt w:val="bullet"/>
      <w:start w:val="1"/>
    </w:lvl>
  </w:abstractNum>
  <w:abstractNum w:abstractNumId="80">
    <w:nsid w:val="9DAF632"/>
    <w:multiLevelType w:val="hybridMultilevel"/>
    <w:lvl w:ilvl="0">
      <w:lvlJc w:val="left"/>
      <w:lvlText w:val="•"/>
      <w:numFmt w:val="bullet"/>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1)"/>
      <w:numFmt w:val="lowerRoman"/>
      <w:start w:val="2"/>
    </w:lvl>
  </w:abstractNum>
  <w:abstractNum w:abstractNumId="83">
    <w:nsid w:val="5092CA79"/>
    <w:multiLevelType w:val="hybridMultilevel"/>
    <w:lvl w:ilvl="0">
      <w:lvlJc w:val="left"/>
      <w:lvlText w:val="(%1)"/>
      <w:numFmt w:val="lowerRoman"/>
      <w:start w:val="1"/>
    </w:lvl>
  </w:abstractNum>
  <w:abstractNum w:abstractNumId="84">
    <w:nsid w:val="1D545C4D"/>
    <w:multiLevelType w:val="hybridMultilevel"/>
    <w:lvl w:ilvl="0">
      <w:lvlJc w:val="left"/>
      <w:lvlText w:val="(%1)"/>
      <w:numFmt w:val="lowerRoman"/>
      <w:start w:val="4"/>
    </w:lvl>
  </w:abstractNum>
  <w:abstractNum w:abstractNumId="85">
    <w:nsid w:val="59ADEA3D"/>
    <w:multiLevelType w:val="hybridMultilevel"/>
    <w:lvl w:ilvl="0">
      <w:lvlJc w:val="left"/>
      <w:lvlText w:val="•"/>
      <w:numFmt w:val="bullet"/>
      <w:start w:val="1"/>
    </w:lvl>
  </w:abstractNum>
  <w:abstractNum w:abstractNumId="86">
    <w:nsid w:val="288F1A34"/>
    <w:multiLevelType w:val="hybridMultilevel"/>
    <w:lvl w:ilvl="0">
      <w:lvlJc w:val="left"/>
      <w:lvlText w:val="•"/>
      <w:numFmt w:val="bullet"/>
      <w:start w:val="1"/>
    </w:lvl>
  </w:abstractNum>
  <w:abstractNum w:abstractNumId="87">
    <w:nsid w:val="2A155DBC"/>
    <w:multiLevelType w:val="hybridMultilevel"/>
    <w:lvl w:ilvl="0">
      <w:lvlJc w:val="left"/>
      <w:lvlText w:val="•"/>
      <w:numFmt w:val="bullet"/>
      <w:start w:val="1"/>
    </w:lvl>
  </w:abstractNum>
  <w:abstractNum w:abstractNumId="88">
    <w:nsid w:val="1D9F6E5F"/>
    <w:multiLevelType w:val="hybridMultilevel"/>
    <w:lvl w:ilvl="0">
      <w:lvlJc w:val="left"/>
      <w:lvlText w:val="•"/>
      <w:numFmt w:val="bullet"/>
      <w:start w:val="1"/>
    </w:lvl>
  </w:abstractNum>
  <w:abstractNum w:abstractNumId="89">
    <w:nsid w:val="97E1B4E"/>
    <w:multiLevelType w:val="hybridMultilevel"/>
    <w:lvl w:ilvl="0">
      <w:lvlJc w:val="left"/>
      <w:lvlText w:val="•"/>
      <w:numFmt w:val="bullet"/>
      <w:start w:val="1"/>
    </w:lvl>
  </w:abstractNum>
  <w:abstractNum w:abstractNumId="90">
    <w:nsid w:val="51088277"/>
    <w:multiLevelType w:val="hybridMultilevel"/>
    <w:lvl w:ilvl="0">
      <w:lvlJc w:val="left"/>
      <w:lvlText w:val="(%1)"/>
      <w:numFmt w:val="decimal"/>
      <w:start w:val="1"/>
    </w:lvl>
  </w:abstractNum>
  <w:abstractNum w:abstractNumId="91">
    <w:nsid w:val="1CA0C5FA"/>
    <w:multiLevelType w:val="hybridMultilevel"/>
    <w:lvl w:ilvl="0">
      <w:lvlJc w:val="left"/>
      <w:lvlText w:val="•"/>
      <w:numFmt w:val="bullet"/>
      <w:start w:val="1"/>
    </w:lvl>
  </w:abstractNum>
  <w:abstractNum w:abstractNumId="92">
    <w:nsid w:val="53584BCB"/>
    <w:multiLevelType w:val="hybridMultilevel"/>
    <w:lvl w:ilvl="0">
      <w:lvlJc w:val="left"/>
      <w:lvlText w:val="(%1)"/>
      <w:numFmt w:val="decimal"/>
      <w:start w:val="1"/>
    </w:lvl>
  </w:abstractNum>
  <w:abstractNum w:abstractNumId="93">
    <w:nsid w:val="415E286C"/>
    <w:multiLevelType w:val="hybridMultilevel"/>
    <w:lvl w:ilvl="0">
      <w:lvlJc w:val="left"/>
      <w:lvlText w:val="•"/>
      <w:numFmt w:val="bullet"/>
      <w:start w:val="1"/>
    </w:lvl>
  </w:abstractNum>
  <w:abstractNum w:abstractNumId="94">
    <w:nsid w:val="7C58FD05"/>
    <w:multiLevelType w:val="hybridMultilevel"/>
    <w:lvl w:ilvl="0">
      <w:lvlJc w:val="left"/>
      <w:lvlText w:val="•"/>
      <w:numFmt w:val="bullet"/>
      <w:start w:val="1"/>
    </w:lvl>
    <w:lvl w:ilvl="1">
      <w:lvlJc w:val="left"/>
      <w:lvlText w:val="•"/>
      <w:numFmt w:val="bullet"/>
      <w:start w:val="1"/>
    </w:lvl>
  </w:abstractNum>
  <w:abstractNum w:abstractNumId="95">
    <w:nsid w:val="23D86AAC"/>
    <w:multiLevelType w:val="hybridMultilevel"/>
    <w:lvl w:ilvl="0">
      <w:lvlJc w:val="left"/>
      <w:lvlText w:val="•"/>
      <w:numFmt w:val="bullet"/>
      <w:start w:val="1"/>
    </w:lvl>
  </w:abstractNum>
  <w:abstractNum w:abstractNumId="96">
    <w:nsid w:val="45E6D486"/>
    <w:multiLevelType w:val="hybridMultilevel"/>
    <w:lvl w:ilvl="0">
      <w:lvlJc w:val="left"/>
      <w:lvlText w:val="•"/>
      <w:numFmt w:val="bullet"/>
      <w:start w:val="1"/>
    </w:lvl>
  </w:abstractNum>
  <w:abstractNum w:abstractNumId="97">
    <w:nsid w:val="5C10FE21"/>
    <w:multiLevelType w:val="hybridMultilevel"/>
    <w:lvl w:ilvl="0">
      <w:lvlJc w:val="left"/>
      <w:lvlText w:val="(%1)"/>
      <w:numFmt w:val="lowerLetter"/>
      <w:start w:val="2"/>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
      <w:numFmt w:val="bullet"/>
      <w:start w:val="1"/>
    </w:lvl>
  </w:abstractNum>
  <w:abstractNum w:abstractNumId="100">
    <w:nsid w:val="4BD8591A"/>
    <w:multiLevelType w:val="hybridMultilevel"/>
    <w:lvl w:ilvl="0">
      <w:lvlJc w:val="left"/>
      <w:lvlText w:val="•"/>
      <w:numFmt w:val="bullet"/>
      <w:start w:val="1"/>
    </w:lvl>
  </w:abstractNum>
  <w:abstractNum w:abstractNumId="101">
    <w:nsid w:val="78DF6A55"/>
    <w:multiLevelType w:val="hybridMultilevel"/>
    <w:lvl w:ilvl="0">
      <w:lvlJc w:val="left"/>
      <w:lvlText w:val="(%1)"/>
      <w:numFmt w:val="lowerLetter"/>
      <w:start w:val="25"/>
    </w:lvl>
  </w:abstractNum>
  <w:abstractNum w:abstractNumId="102">
    <w:nsid w:val="39B7AAA2"/>
    <w:multiLevelType w:val="hybridMultilevel"/>
    <w:lvl w:ilvl="0">
      <w:lvlJc w:val="left"/>
      <w:lvlText w:val="•"/>
      <w:numFmt w:val="bullet"/>
      <w:start w:val="1"/>
    </w:lvl>
  </w:abstractNum>
  <w:abstractNum w:abstractNumId="103">
    <w:nsid w:val="2B0D8DBE"/>
    <w:multiLevelType w:val="hybridMultilevel"/>
    <w:lvl w:ilvl="0">
      <w:lvlJc w:val="left"/>
      <w:lvlText w:val="*"/>
      <w:numFmt w:val="bullet"/>
      <w:start w:val="1"/>
    </w:lvl>
  </w:abstractNum>
  <w:abstractNum w:abstractNumId="104">
    <w:nsid w:val="6C80EC70"/>
    <w:multiLevelType w:val="hybridMultilevel"/>
    <w:lvl w:ilvl="0">
      <w:lvlJc w:val="left"/>
      <w:lvlText w:val="(%1)"/>
      <w:numFmt w:val="decimal"/>
      <w:start w:val="1"/>
    </w:lvl>
  </w:abstractNum>
  <w:abstractNum w:abstractNumId="105">
    <w:nsid w:val="379E21B5"/>
    <w:multiLevelType w:val="hybridMultilevel"/>
    <w:lvl w:ilvl="0">
      <w:lvlJc w:val="left"/>
      <w:lvlText w:val="•"/>
      <w:numFmt w:val="bullet"/>
      <w:start w:val="1"/>
    </w:lvl>
  </w:abstractNum>
  <w:abstractNum w:abstractNumId="106">
    <w:nsid w:val="69E373"/>
    <w:multiLevelType w:val="hybridMultilevel"/>
    <w:lvl w:ilvl="0">
      <w:lvlJc w:val="left"/>
      <w:lvlText w:val="•"/>
      <w:numFmt w:val="bullet"/>
      <w:start w:val="1"/>
    </w:lvl>
  </w:abstractNum>
  <w:abstractNum w:abstractNumId="107">
    <w:nsid w:val="2C27173B"/>
    <w:multiLevelType w:val="hybridMultilevel"/>
    <w:lvl w:ilvl="0">
      <w:lvlJc w:val="left"/>
      <w:lvlText w:val="•"/>
      <w:numFmt w:val="bullet"/>
      <w:start w:val="1"/>
    </w:lvl>
  </w:abstractNum>
  <w:abstractNum w:abstractNumId="108">
    <w:nsid w:val="4C9B0904"/>
    <w:multiLevelType w:val="hybridMultilevel"/>
    <w:lvl w:ilvl="0">
      <w:lvlJc w:val="left"/>
      <w:lvlText w:val="•"/>
      <w:numFmt w:val="bullet"/>
      <w:start w:val="1"/>
    </w:lvl>
  </w:abstractNum>
  <w:abstractNum w:abstractNumId="109">
    <w:nsid w:val="6AA7B75C"/>
    <w:multiLevelType w:val="hybridMultilevel"/>
    <w:lvl w:ilvl="0">
      <w:lvlJc w:val="left"/>
      <w:lvlText w:val="•"/>
      <w:numFmt w:val="bullet"/>
      <w:start w:val="1"/>
    </w:lvl>
  </w:abstractNum>
  <w:abstractNum w:abstractNumId="110">
    <w:nsid w:val="1DF029D3"/>
    <w:multiLevelType w:val="hybridMultilevel"/>
    <w:lvl w:ilvl="0">
      <w:lvlJc w:val="left"/>
      <w:lvlText w:val="•"/>
      <w:numFmt w:val="bullet"/>
      <w:start w:val="1"/>
    </w:lvl>
  </w:abstractNum>
  <w:abstractNum w:abstractNumId="111">
    <w:nsid w:val="5675FF36"/>
    <w:multiLevelType w:val="hybridMultilevel"/>
    <w:lvl w:ilvl="0">
      <w:lvlJc w:val="left"/>
      <w:lvlText w:val="•"/>
      <w:numFmt w:val="bullet"/>
      <w:start w:val="1"/>
    </w:lvl>
  </w:abstractNum>
  <w:abstractNum w:abstractNumId="112">
    <w:nsid w:val="3DD15094"/>
    <w:multiLevelType w:val="hybridMultilevel"/>
    <w:lvl w:ilvl="0">
      <w:lvlJc w:val="left"/>
      <w:lvlText w:val="(%1)"/>
      <w:numFmt w:val="decimal"/>
      <w:start w:val="1"/>
    </w:lvl>
  </w:abstractNum>
  <w:abstractNum w:abstractNumId="113">
    <w:nsid w:val="3DB012B3"/>
    <w:multiLevelType w:val="hybridMultilevel"/>
    <w:lvl w:ilvl="0">
      <w:lvlJc w:val="left"/>
      <w:lvlText w:val="(%1)"/>
      <w:numFmt w:val="decimal"/>
      <w:start w:val="2"/>
    </w:lvl>
  </w:abstractNum>
  <w:abstractNum w:abstractNumId="114">
    <w:nsid w:val="2708C9AF"/>
    <w:multiLevelType w:val="hybridMultilevel"/>
    <w:lvl w:ilvl="0">
      <w:lvlJc w:val="left"/>
      <w:lvlText w:val="(%1)"/>
      <w:numFmt w:val="lowerLetter"/>
      <w:start w:val="1"/>
    </w:lvl>
  </w:abstractNum>
  <w:abstractNum w:abstractNumId="115">
    <w:nsid w:val="5B25ACE2"/>
    <w:multiLevelType w:val="hybridMultilevel"/>
    <w:lvl w:ilvl="0">
      <w:lvlJc w:val="left"/>
      <w:lvlText w:val="(%1)"/>
      <w:numFmt w:val="lowerLetter"/>
      <w:start w:val="1"/>
    </w:lvl>
  </w:abstractNum>
  <w:abstractNum w:abstractNumId="116">
    <w:nsid w:val="175DFCF0"/>
    <w:multiLevelType w:val="hybridMultilevel"/>
    <w:lvl w:ilvl="0">
      <w:lvlJc w:val="left"/>
      <w:lvlText w:val="(%1)"/>
      <w:numFmt w:val="lowerRoman"/>
      <w:start w:val="2"/>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decimal"/>
      <w:start w:val="2"/>
    </w:lvl>
  </w:abstractNum>
  <w:abstractNum w:abstractNumId="119">
    <w:nsid w:val="34FD6B4F"/>
    <w:multiLevelType w:val="hybridMultilevel"/>
    <w:lvl w:ilvl="0">
      <w:lvlJc w:val="left"/>
      <w:lvlText w:val="%1."/>
      <w:numFmt w:val="decimal"/>
      <w:start w:val="3"/>
    </w:lvl>
  </w:abstractNum>
  <w:abstractNum w:abstractNumId="120">
    <w:nsid w:val="5915FF32"/>
    <w:multiLevelType w:val="hybridMultilevel"/>
    <w:lvl w:ilvl="0">
      <w:lvlJc w:val="left"/>
      <w:lvlText w:val="(%1)"/>
      <w:numFmt w:val="lowerRoman"/>
      <w:start w:val="2"/>
    </w:lvl>
  </w:abstractNum>
  <w:abstractNum w:abstractNumId="121">
    <w:nsid w:val="56438D15"/>
    <w:multiLevelType w:val="hybridMultilevel"/>
    <w:lvl w:ilvl="0">
      <w:lvlJc w:val="left"/>
      <w:lvlText w:val="%1."/>
      <w:numFmt w:val="decimal"/>
      <w:start w:val="4"/>
    </w:lvl>
  </w:abstractNum>
  <w:abstractNum w:abstractNumId="122">
    <w:nsid w:val="519E3149"/>
    <w:multiLevelType w:val="hybridMultilevel"/>
    <w:lvl w:ilvl="0">
      <w:lvlJc w:val="left"/>
      <w:lvlText w:val="%1."/>
      <w:numFmt w:val="decimal"/>
      <w:start w:val="5"/>
    </w:lvl>
  </w:abstractNum>
  <w:abstractNum w:abstractNumId="123">
    <w:nsid w:val="2C6E4AFD"/>
    <w:multiLevelType w:val="hybridMultilevel"/>
    <w:lvl w:ilvl="0">
      <w:lvlJc w:val="left"/>
      <w:lvlText w:val="%1."/>
      <w:numFmt w:val="decimal"/>
      <w:start w:val="6"/>
    </w:lvl>
  </w:abstractNum>
  <w:abstractNum w:abstractNumId="124">
    <w:nsid w:val="17A1B582"/>
    <w:multiLevelType w:val="hybridMultilevel"/>
    <w:lvl w:ilvl="0">
      <w:lvlJc w:val="left"/>
      <w:lvlText w:val="%1."/>
      <w:numFmt w:val="decimal"/>
      <w:start w:val="7"/>
    </w:lvl>
  </w:abstractNum>
  <w:abstractNum w:abstractNumId="125">
    <w:nsid w:val="4DF72E4E"/>
    <w:multiLevelType w:val="hybridMultilevel"/>
    <w:lvl w:ilvl="0">
      <w:lvlJc w:val="left"/>
      <w:lvlText w:val="%1."/>
      <w:numFmt w:val="decimal"/>
      <w:start w:val="8"/>
    </w:lvl>
  </w:abstractNum>
  <w:abstractNum w:abstractNumId="126">
    <w:nsid w:val="5046B5A9"/>
    <w:multiLevelType w:val="hybridMultilevel"/>
    <w:lvl w:ilvl="0">
      <w:lvlJc w:val="left"/>
      <w:lvlText w:val="%1."/>
      <w:numFmt w:val="decimal"/>
      <w:start w:val="9"/>
    </w:lvl>
  </w:abstractNum>
  <w:abstractNum w:abstractNumId="127">
    <w:nsid w:val="5D888A08"/>
    <w:multiLevelType w:val="hybridMultilevel"/>
    <w:lvl w:ilvl="0">
      <w:lvlJc w:val="left"/>
      <w:lvlText w:val="%1."/>
      <w:numFmt w:val="decimal"/>
      <w:start w:val="11"/>
    </w:lvl>
  </w:abstractNum>
  <w:abstractNum w:abstractNumId="128">
    <w:nsid w:val="2A082C7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2021-10-29T16:00:50Z</dcterms:created>
  <dcterms:modified xsi:type="dcterms:W3CDTF">2021-10-29T16:00:50Z</dcterms:modified>
</cp:coreProperties>
</file>