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Fluence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Charles Hubbard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Ooredoo Tower (Building 14) Al Dafna St, Street 801 Al Dafna (Zone 61)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Doha, S3, Zone 61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0097444990696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Qatar Investment Authority</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QATAR</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11,801,103.00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11,801,103.00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11,801,103.00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Comment for Type of </w:t>
      </w:r>
      <w:r>
        <w:rPr>
          <w:rFonts w:ascii="Times New Roman" w:cs="Times New Roman" w:eastAsia="Times New Roman" w:hAnsi="Times New Roman"/>
          <w:sz w:val="21"/>
          <w:szCs w:val="21"/>
          <w:color w:val="auto"/>
        </w:rPr>
        <w:t>The reported percentage is calculated based upon 132,811,490 shares of Class A Common Stock</w:t>
      </w:r>
      <w:r>
        <w:rPr>
          <w:rFonts w:ascii="Times New Roman" w:cs="Times New Roman" w:eastAsia="Times New Roman" w:hAnsi="Times New Roman"/>
          <w:sz w:val="19"/>
          <w:szCs w:val="19"/>
          <w:b w:val="1"/>
          <w:bCs w:val="1"/>
          <w:color w:val="auto"/>
        </w:rPr>
        <w:t xml:space="preserve"> Reporting Person: </w:t>
      </w:r>
      <w:r>
        <w:rPr>
          <w:rFonts w:ascii="Times New Roman" w:cs="Times New Roman" w:eastAsia="Times New Roman" w:hAnsi="Times New Roman"/>
          <w:sz w:val="21"/>
          <w:szCs w:val="21"/>
          <w:color w:val="auto"/>
        </w:rPr>
        <w:t>outstanding as of May 1, 2026, as reported in the Issuer's Form 10-Q filed with the SEC on May 6,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Class A Common Stock, $0.00001 par value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Fluence Energy,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4601 FAIRFAX DRIVE, SUITE 600, ARLINGTON, VIRGINIA , 22203.</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This Schedule 13D is filed by Qatar Investment Authority ("QIA" or the "Reporting Person"), the sovereign wealth</w:t>
      </w:r>
    </w:p>
    <w:p>
      <w:pPr>
        <w:spacing w:after="0" w:line="14" w:lineRule="exact"/>
        <w:rPr>
          <w:sz w:val="20"/>
          <w:szCs w:val="20"/>
          <w:color w:val="auto"/>
        </w:rPr>
      </w:pPr>
    </w:p>
    <w:p>
      <w:pPr>
        <w:ind w:left="980" w:right="560" w:hanging="932"/>
        <w:spacing w:after="0" w:line="184" w:lineRule="auto"/>
        <w:tabs>
          <w:tab w:leader="none" w:pos="98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fund of the State of Qatar, with respect to the Class A Common Stock held of record by Qatar Holding LLC (the "Investor"), a limited liability company formed under the laws of Qatar, and a wholly-owned subsidiary of the Reporting Person.</w:t>
      </w:r>
    </w:p>
    <w:p>
      <w:pPr>
        <w:spacing w:after="0" w:line="18" w:lineRule="exact"/>
        <w:rPr>
          <w:rFonts w:ascii="Times New Roman" w:cs="Times New Roman" w:eastAsia="Times New Roman" w:hAnsi="Times New Roman"/>
          <w:sz w:val="42"/>
          <w:szCs w:val="42"/>
          <w:color w:val="auto"/>
          <w:vertAlign w:val="subscript"/>
        </w:rPr>
      </w:pPr>
    </w:p>
    <w:p>
      <w:pPr>
        <w:ind w:left="980" w:right="520" w:hanging="932"/>
        <w:spacing w:after="0" w:line="185" w:lineRule="auto"/>
        <w:tabs>
          <w:tab w:leader="none" w:pos="98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and residence of the Reporting Person is Ooredoo Tower (Building 14), Al Dafna Street (Street 801), Al Dafna (Zone 61), PO Box 23224 Doha, State of Qatar.</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This Schedule 13D is filed by Qatar Investment Authority ("QIA" or the "Reporting Person"), the sovereign wealth</w:t>
      </w:r>
    </w:p>
    <w:p>
      <w:pPr>
        <w:spacing w:after="0" w:line="14" w:lineRule="exact"/>
        <w:rPr>
          <w:rFonts w:ascii="Times New Roman" w:cs="Times New Roman" w:eastAsia="Times New Roman" w:hAnsi="Times New Roman"/>
          <w:sz w:val="39"/>
          <w:szCs w:val="39"/>
          <w:color w:val="auto"/>
          <w:vertAlign w:val="subscript"/>
        </w:rPr>
      </w:pPr>
    </w:p>
    <w:p>
      <w:pPr>
        <w:ind w:left="980" w:right="560" w:hanging="932"/>
        <w:spacing w:after="0" w:line="184" w:lineRule="auto"/>
        <w:tabs>
          <w:tab w:leader="none" w:pos="98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fund of the State of Qatar, with respect to the Class A Common Stock held of record by Qatar Holding LLC (the "Investor"), a limited liability company formed under the laws of Qatar, and a wholly-owned subsidiary of the Reporting Person.</w:t>
      </w:r>
    </w:p>
    <w:p>
      <w:pPr>
        <w:spacing w:after="0" w:line="18" w:lineRule="exact"/>
        <w:rPr>
          <w:rFonts w:ascii="Times New Roman" w:cs="Times New Roman" w:eastAsia="Times New Roman" w:hAnsi="Times New Roman"/>
          <w:sz w:val="42"/>
          <w:szCs w:val="42"/>
          <w:color w:val="auto"/>
          <w:vertAlign w:val="subscript"/>
        </w:rPr>
      </w:pPr>
    </w:p>
    <w:p>
      <w:pPr>
        <w:ind w:left="980" w:hanging="932"/>
        <w:spacing w:after="0"/>
        <w:tabs>
          <w:tab w:leader="none" w:pos="9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the Reporting Person has not been (i) convicted in any criminal proceeding (excluding</w:t>
      </w:r>
    </w:p>
    <w:p>
      <w:pPr>
        <w:sectPr>
          <w:pgSz w:w="11900" w:h="16838" w:orient="portrait"/>
          <w:cols w:equalWidth="0" w:num="1">
            <w:col w:w="11240"/>
          </w:cols>
          <w:pgMar w:left="320" w:top="111" w:right="339" w:bottom="0" w:gutter="0" w:footer="0" w:header="0"/>
          <w:type w:val="continuous"/>
        </w:sectPr>
      </w:pPr>
    </w:p>
    <w:bookmarkStart w:id="2" w:name="page3"/>
    <w:bookmarkEnd w:id="2"/>
    <w:p>
      <w:pPr>
        <w:ind w:left="940" w:right="160"/>
        <w:spacing w:after="0"/>
        <w:rPr>
          <w:sz w:val="20"/>
          <w:szCs w:val="20"/>
          <w:color w:val="auto"/>
        </w:rPr>
      </w:pPr>
      <w:r>
        <w:rPr>
          <w:rFonts w:ascii="Times New Roman" w:cs="Times New Roman" w:eastAsia="Times New Roman" w:hAnsi="Times New Roman"/>
          <w:sz w:val="22"/>
          <w:szCs w:val="22"/>
          <w:color w:val="auto"/>
        </w:rPr>
        <w:t>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sz w:val="20"/>
          <w:szCs w:val="20"/>
          <w:color w:val="auto"/>
        </w:rPr>
      </w:pPr>
    </w:p>
    <w:p>
      <w:pPr>
        <w:ind w:left="940" w:right="200"/>
        <w:spacing w:after="0" w:line="253" w:lineRule="auto"/>
        <w:rPr>
          <w:sz w:val="20"/>
          <w:szCs w:val="20"/>
          <w:color w:val="auto"/>
        </w:rPr>
      </w:pPr>
      <w:r>
        <w:rPr>
          <w:rFonts w:ascii="Times New Roman" w:cs="Times New Roman" w:eastAsia="Times New Roman" w:hAnsi="Times New Roman"/>
          <w:sz w:val="21"/>
          <w:szCs w:val="21"/>
          <w:color w:val="auto"/>
        </w:rPr>
        <w:t>During the last five years, the Reporting Person has not been (i) convicted in any civil proceeding (excluding traffic violations or similar misdemeanors) or (ii) a party to a civil proceeding of a judicial or administrative body of</w:t>
      </w:r>
    </w:p>
    <w:p>
      <w:pPr>
        <w:spacing w:after="0" w:line="1" w:lineRule="exact"/>
        <w:rPr>
          <w:sz w:val="20"/>
          <w:szCs w:val="20"/>
          <w:color w:val="auto"/>
        </w:rPr>
      </w:pPr>
    </w:p>
    <w:p>
      <w:pPr>
        <w:ind w:left="940" w:right="500" w:hanging="932"/>
        <w:spacing w:after="0" w:line="235"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Qatar</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80"/>
        <w:spacing w:after="0" w:line="256" w:lineRule="auto"/>
        <w:rPr>
          <w:sz w:val="20"/>
          <w:szCs w:val="20"/>
          <w:color w:val="auto"/>
        </w:rPr>
      </w:pPr>
      <w:r>
        <w:rPr>
          <w:rFonts w:ascii="Times New Roman" w:cs="Times New Roman" w:eastAsia="Times New Roman" w:hAnsi="Times New Roman"/>
          <w:sz w:val="22"/>
          <w:szCs w:val="22"/>
          <w:color w:val="auto"/>
        </w:rPr>
        <w:t>On May 15, 2026, the Qatar Holding LLC sold 2,867,172 shares of Class A Common Stock in an aggregate amount equal to $60,210,612 at $21 per share.</w:t>
      </w: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4 is supplemented by reference to Item 3.</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08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sole voting and dispositive power over 11,801,103.00 Class A Common Stock, representing 8.9% of the outstanding Class A Common Stock</w:t>
      </w:r>
    </w:p>
    <w:p>
      <w:pPr>
        <w:spacing w:after="0" w:line="2" w:lineRule="exact"/>
        <w:rPr>
          <w:rFonts w:ascii="Times New Roman" w:cs="Times New Roman" w:eastAsia="Times New Roman" w:hAnsi="Times New Roman"/>
          <w:sz w:val="39"/>
          <w:szCs w:val="39"/>
          <w:color w:val="auto"/>
          <w:vertAlign w:val="subscript"/>
        </w:rPr>
      </w:pPr>
    </w:p>
    <w:p>
      <w:pPr>
        <w:ind w:left="940" w:hanging="932"/>
        <w:spacing w:after="0" w:line="183" w:lineRule="auto"/>
        <w:tabs>
          <w:tab w:leader="none" w:pos="940" w:val="left"/>
        </w:tabs>
        <w:numPr>
          <w:ilvl w:val="0"/>
          <w:numId w:val="5"/>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(i) Sole power to vote or direct the vote: 11,801,103.00 (ii) Shared power to vote or direct the vote: 0 (iii) Sole power</w:t>
      </w:r>
    </w:p>
    <w:p>
      <w:pPr>
        <w:ind w:left="94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22"/>
          <w:szCs w:val="22"/>
          <w:color w:val="auto"/>
        </w:rPr>
        <w:t>to dispose or direct the disposition: 11,801,103.00 (iv) Shared power to dispose or direct the disposition: 0</w:t>
      </w:r>
    </w:p>
    <w:p>
      <w:pPr>
        <w:spacing w:after="0" w:line="20" w:lineRule="exact"/>
        <w:rPr>
          <w:rFonts w:ascii="Times New Roman" w:cs="Times New Roman" w:eastAsia="Times New Roman" w:hAnsi="Times New Roman"/>
          <w:sz w:val="32"/>
          <w:szCs w:val="32"/>
          <w:color w:val="auto"/>
          <w:vertAlign w:val="subscript"/>
        </w:rPr>
      </w:pPr>
    </w:p>
    <w:p>
      <w:pPr>
        <w:ind w:left="940" w:right="8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Apart from the transaction as reported in this Schedule 13D the Reporting Person has not effected any transactions in Class A Common Stock during the past sixty days.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To the best knowledge of the Reporting Person, no person other than the Reporting Person has the right to receive or</w:t>
      </w:r>
    </w:p>
    <w:p>
      <w:pPr>
        <w:spacing w:after="0" w:line="25" w:lineRule="exact"/>
        <w:rPr>
          <w:rFonts w:ascii="Times New Roman" w:cs="Times New Roman" w:eastAsia="Times New Roman" w:hAnsi="Times New Roman"/>
          <w:sz w:val="39"/>
          <w:szCs w:val="39"/>
          <w:color w:val="auto"/>
          <w:vertAlign w:val="subscript"/>
        </w:rPr>
      </w:pPr>
    </w:p>
    <w:p>
      <w:pPr>
        <w:ind w:left="940" w:right="22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power to direct the receipt of dividends from, or the proceeds from the sale of, the securities beneficially owned by the Reporting Person.</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40" w:right="1640" w:hanging="931"/>
        <w:spacing w:after="0" w:line="309" w:lineRule="auto"/>
        <w:tabs>
          <w:tab w:leader="none" w:pos="92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Item 6 of the Schedule 13D is hereby supplemented by incorporating reference of Item 2a.</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Qatar Investment Authority</w:t>
      </w:r>
    </w:p>
    <w:p>
      <w:pPr>
        <w:spacing w:after="0" w:line="152"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Mohammed Fahad Al Khulaifi</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Head of Compliance and Governance</w:t>
      </w:r>
    </w:p>
    <w:p>
      <w:pPr>
        <w:spacing w:after="0" w:line="44"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5"/>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2026-05-18T08:40:46Z</dcterms:created>
  <dcterms:modified xsi:type="dcterms:W3CDTF">2026-05-18T08:40:46Z</dcterms:modified>
</cp:coreProperties>
</file>