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8898762.xml.htm"/>
      <w:bookmarkStart w:id="1" w:name="kswkform3_178889876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May Stephan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FLUENCE ENERGY,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2107 WILSON BOULEVARD,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Fluence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Patterson as Attorney-in-fact for Stephan May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sm.txt"/>
      <w:bookmarkStart w:id="3" w:name="kspoasm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Fluence Energy, Inc. (the "Company"),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the individuals named on 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attached hereto and as may be amended from time to time, 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them signing singly,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resubstitution, to act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"SEC") a Form ID, including amendments thereto, and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necessary or appropriate to obtain and/or regenerate codes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passwords enabling the undersigned to make electronic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 of reports required by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execute for and on behalf of the undersigned, Forms 3, 4, and 5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SEC and any stock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4.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exercise of any of the rights and powers herein granted,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 to all intents and purposes as the undersigned might or could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do if personally present,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 or revocation, hereby ratifying and confirming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or such attorneys-in-fact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3, 4,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21 day of 08,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    /s/ Stephan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     Stephan May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Individuals Appointed as Attorney-in-Fact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and Resubstitution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Vincent W. Mathis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Leah Patterson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     Christian Yungwirth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778" TargetMode="External"/><Relationship Id="rId3" Type="http://schemas.openxmlformats.org/officeDocument/2006/relationships/hyperlink" Target="http://www.sec.gov/cgi-bin/browse-edgar?action=getcompany&amp;CIK=00018689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969</Words>
  <Characters>5172</Characters>
  <CharactersWithSpaces>6060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