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30, 2021</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FLUENCE ENERGY, INC.</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19"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001- 40978</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87-1304612</w:t>
      </w:r>
    </w:p>
    <w:p>
      <w:pPr>
        <w:spacing w:after="0" w:line="50" w:lineRule="exact"/>
        <w:rPr>
          <w:sz w:val="24"/>
          <w:szCs w:val="24"/>
          <w:color w:val="auto"/>
        </w:rPr>
      </w:pPr>
    </w:p>
    <w:p>
      <w:pPr>
        <w:sectPr>
          <w:pgSz w:w="11900" w:h="16838" w:orient="portrait"/>
          <w:cols w:equalWidth="0" w:num="3">
            <w:col w:w="4620" w:space="720"/>
            <w:col w:w="2680" w:space="720"/>
            <w:col w:w="2500"/>
          </w:cols>
          <w:pgMar w:left="320" w:top="1440" w:right="3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60" w:space="720"/>
            <w:col w:w="2360" w:space="720"/>
            <w:col w:w="3380"/>
          </w:cols>
          <w:pgMar w:left="320" w:top="1440"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4601 Fairfax Drive, Suite 600</w:t>
      </w:r>
    </w:p>
    <w:p>
      <w:pPr>
        <w:jc w:val="center"/>
        <w:spacing w:after="0" w:line="203" w:lineRule="auto"/>
        <w:rPr>
          <w:sz w:val="20"/>
          <w:szCs w:val="20"/>
          <w:color w:val="auto"/>
        </w:rPr>
      </w:pPr>
      <w:r>
        <w:rPr>
          <w:rFonts w:ascii="Arial" w:cs="Arial" w:eastAsia="Arial" w:hAnsi="Arial"/>
          <w:sz w:val="18"/>
          <w:szCs w:val="18"/>
          <w:b w:val="1"/>
          <w:bCs w:val="1"/>
          <w:color w:val="auto"/>
        </w:rPr>
        <w:t>Arlington, Virginia 22203</w:t>
      </w: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(844) 733-8666</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8" w:lineRule="exact"/>
        <w:rPr>
          <w:sz w:val="24"/>
          <w:szCs w:val="24"/>
          <w:color w:val="auto"/>
        </w:rPr>
      </w:pPr>
    </w:p>
    <w:p>
      <w:pPr>
        <w:ind w:right="68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1420" w:hanging="503"/>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sz w:val="24"/>
          <w:szCs w:val="24"/>
          <w:color w:val="auto"/>
        </w:rPr>
      </w:pPr>
    </w:p>
    <w:p>
      <w:pPr>
        <w:ind w:left="1440" w:hanging="505"/>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Arial" w:cs="Arial" w:eastAsia="Arial" w:hAnsi="Arial"/>
          <w:sz w:val="18"/>
          <w:szCs w:val="18"/>
          <w:color w:val="auto"/>
        </w:rPr>
      </w:pPr>
    </w:p>
    <w:p>
      <w:pPr>
        <w:ind w:left="1440" w:hanging="505"/>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1440" w:hanging="505"/>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$0.00001 par value per share</w:t>
            </w:r>
          </w:p>
        </w:tc>
        <w:tc>
          <w:tcPr>
            <w:tcW w:w="18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FLNC</w:t>
            </w:r>
          </w:p>
        </w:tc>
        <w:tc>
          <w:tcPr>
            <w:tcW w:w="120" w:type="dxa"/>
            <w:vAlign w:val="bottom"/>
          </w:tcPr>
          <w:p>
            <w:pPr>
              <w:spacing w:after="0"/>
              <w:rPr>
                <w:sz w:val="19"/>
                <w:szCs w:val="19"/>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r>
    </w:tbl>
    <w:p>
      <w:pPr>
        <w:spacing w:after="0" w:line="237"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80" w:firstLine="45"/>
        <w:spacing w:after="0" w:line="23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16" w:lineRule="exact"/>
        <w:rPr>
          <w:sz w:val="20"/>
          <w:szCs w:val="20"/>
          <w:color w:val="auto"/>
        </w:rPr>
      </w:pPr>
    </w:p>
    <w:p>
      <w:pPr>
        <w:ind w:right="20" w:firstLine="53"/>
        <w:spacing w:after="0" w:line="216"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19, 2021, Fluence Energy, Inc. (the “Company”) filed a Registration Statement on Form S-1 (File No. 333- 259839) with the Securities and Exchange Commission, which was subsequently amended (the “Registration Statement”). Pursuant to Instruction 1 to Item 402(c)(2)(iv) of Regulation S-K, the Company omitted from the Summary Compensation Table included in the Registration Statement final annual, performance-based bonus amounts payable to the Company’s named executive officers with respect to performance during the Company’s fiscal year ended September 30, 2021 (the “FY 2021 Annual Incentive Bonuses”) because the FY 2021 Annual Incentive Bonuses had not yet been determined at the time the Registration Statement was filed.</w:t>
      </w:r>
    </w:p>
    <w:p>
      <w:pPr>
        <w:spacing w:after="0" w:line="192" w:lineRule="exact"/>
        <w:rPr>
          <w:sz w:val="20"/>
          <w:szCs w:val="20"/>
          <w:color w:val="auto"/>
        </w:rPr>
      </w:pPr>
    </w:p>
    <w:p>
      <w:pPr>
        <w:ind w:firstLine="180"/>
        <w:spacing w:after="0" w:line="244" w:lineRule="auto"/>
        <w:rPr>
          <w:sz w:val="20"/>
          <w:szCs w:val="20"/>
          <w:color w:val="auto"/>
        </w:rPr>
      </w:pPr>
      <w:r>
        <w:rPr>
          <w:rFonts w:ascii="Arial" w:cs="Arial" w:eastAsia="Arial" w:hAnsi="Arial"/>
          <w:sz w:val="16"/>
          <w:szCs w:val="16"/>
          <w:color w:val="auto"/>
        </w:rPr>
        <w:t>On November 30, 2021, the Compensation Committee (the “Committee”) of the Board of Directors of the Company confirmed and approved the FY 2021 Annual Incentive Bonuses for Mr. Fehr, the Company’s Chief Financial Officer, and Ms. Boll, the Company’s Chief Product Officer. On December 1, 2021, the Company confirmed and approved the FY 2021 Annual Incentive Bonus for Mr. Dubuc, the Company’s Chief Executive Officer. In accordance with Item 5.02(f) of Form 8-K, the Company is providing a revised Summary Compensation Table, which includes the FY 2021 Annual Incentive Bonuses and revised total compensation figures for the Company’s fiscal year ended September 30, 2021. No other amounts have changed.</w:t>
      </w:r>
    </w:p>
    <w:p>
      <w:pPr>
        <w:spacing w:after="0" w:line="185" w:lineRule="exact"/>
        <w:rPr>
          <w:sz w:val="20"/>
          <w:szCs w:val="20"/>
          <w:color w:val="auto"/>
        </w:rPr>
      </w:pPr>
    </w:p>
    <w:p>
      <w:pPr>
        <w:ind w:right="40" w:firstLine="177"/>
        <w:spacing w:after="0" w:line="235" w:lineRule="auto"/>
        <w:rPr>
          <w:sz w:val="20"/>
          <w:szCs w:val="20"/>
          <w:color w:val="auto"/>
        </w:rPr>
      </w:pPr>
      <w:r>
        <w:rPr>
          <w:rFonts w:ascii="Arial" w:cs="Arial" w:eastAsia="Arial" w:hAnsi="Arial"/>
          <w:sz w:val="18"/>
          <w:szCs w:val="18"/>
          <w:color w:val="auto"/>
        </w:rPr>
        <w:t>The “Bonus” column of the following table sets forth the amounts of the FY 2021 Annual Incentive Bonuses approved by the Committee for each of the named individuals set forth below: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2021 Summary Compensation Table</w:t>
      </w:r>
    </w:p>
    <w:p>
      <w:pPr>
        <w:spacing w:after="0" w:line="216" w:lineRule="exact"/>
        <w:rPr>
          <w:sz w:val="20"/>
          <w:szCs w:val="20"/>
          <w:color w:val="auto"/>
        </w:rPr>
      </w:pPr>
    </w:p>
    <w:p>
      <w:pPr>
        <w:ind w:right="880" w:firstLine="180"/>
        <w:spacing w:after="0" w:line="235" w:lineRule="auto"/>
        <w:rPr>
          <w:sz w:val="20"/>
          <w:szCs w:val="20"/>
          <w:color w:val="auto"/>
        </w:rPr>
      </w:pPr>
      <w:r>
        <w:rPr>
          <w:rFonts w:ascii="Arial" w:cs="Arial" w:eastAsia="Arial" w:hAnsi="Arial"/>
          <w:sz w:val="18"/>
          <w:szCs w:val="18"/>
          <w:color w:val="auto"/>
        </w:rPr>
        <w:t>The following table sets forth information concerning the compensation of the Company’s named executive officers for the fiscal year ended September 30, 2021.</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Stock Awards ($)</w:t>
            </w:r>
          </w:p>
        </w:tc>
        <w:tc>
          <w:tcPr>
            <w:tcW w:w="1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 Awards ($)</w:t>
            </w: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Bonus ($)</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Total</w:t>
            </w:r>
          </w:p>
        </w:tc>
      </w:tr>
      <w:tr>
        <w:trPr>
          <w:trHeight w:val="269"/>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Manuel Perez Dubuc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412,395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673,992</w:t>
            </w:r>
            <w:r>
              <w:rPr>
                <w:rFonts w:ascii="Arial" w:cs="Arial" w:eastAsia="Arial" w:hAnsi="Arial"/>
                <w:sz w:val="8"/>
                <w:szCs w:val="8"/>
                <w:color w:val="auto"/>
                <w:w w:val="90"/>
              </w:rPr>
              <w:t>(1)</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609,316</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341,550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2,037,253</w:t>
            </w:r>
          </w:p>
        </w:tc>
      </w:tr>
      <w:tr>
        <w:trPr>
          <w:trHeight w:val="251"/>
        </w:trPr>
        <w:tc>
          <w:tcPr>
            <w:tcW w:w="2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57"/>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Dennis Fehr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2"/>
                <w:szCs w:val="22"/>
                <w:color w:val="auto"/>
              </w:rPr>
            </w:pPr>
          </w:p>
        </w:tc>
        <w:tc>
          <w:tcPr>
            <w:tcW w:w="1520" w:type="dxa"/>
            <w:vAlign w:val="bottom"/>
          </w:tcPr>
          <w:p>
            <w:pPr>
              <w:ind w:left="480"/>
              <w:spacing w:after="0"/>
              <w:rPr>
                <w:sz w:val="20"/>
                <w:szCs w:val="20"/>
                <w:color w:val="auto"/>
              </w:rPr>
            </w:pPr>
            <w:r>
              <w:rPr>
                <w:rFonts w:ascii="Arial" w:cs="Arial" w:eastAsia="Arial" w:hAnsi="Arial"/>
                <w:sz w:val="18"/>
                <w:szCs w:val="18"/>
                <w:color w:val="auto"/>
              </w:rPr>
              <w:t>305,711</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302,808</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274,371</w:t>
            </w:r>
          </w:p>
        </w:tc>
        <w:tc>
          <w:tcPr>
            <w:tcW w:w="140" w:type="dxa"/>
            <w:vAlign w:val="bottom"/>
          </w:tcPr>
          <w:p>
            <w:pPr>
              <w:spacing w:after="0"/>
              <w:rPr>
                <w:sz w:val="22"/>
                <w:szCs w:val="22"/>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rPr>
              <w:t>185,150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1,068,040</w:t>
            </w:r>
          </w:p>
        </w:tc>
      </w:tr>
      <w:tr>
        <w:trPr>
          <w:trHeight w:val="243"/>
        </w:trPr>
        <w:tc>
          <w:tcPr>
            <w:tcW w:w="272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7"/>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Rebecca Boll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306,557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270,248</w:t>
            </w: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243,192</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154,733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974,730</w:t>
            </w:r>
          </w:p>
        </w:tc>
      </w:tr>
      <w:tr>
        <w:trPr>
          <w:trHeight w:val="243"/>
        </w:trPr>
        <w:tc>
          <w:tcPr>
            <w:tcW w:w="272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Product Officer</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40"/>
        </w:trPr>
        <w:tc>
          <w:tcPr>
            <w:tcW w:w="2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-1036955</wp:posOffset>
            </wp:positionV>
            <wp:extent cx="59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-1036955</wp:posOffset>
            </wp:positionV>
            <wp:extent cx="77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-1036955</wp:posOffset>
            </wp:positionV>
            <wp:extent cx="94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-1036955</wp:posOffset>
            </wp:positionV>
            <wp:extent cx="7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-1036955</wp:posOffset>
            </wp:positionV>
            <wp:extent cx="6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6" w:lineRule="exact"/>
        <w:rPr>
          <w:sz w:val="20"/>
          <w:szCs w:val="20"/>
          <w:color w:val="auto"/>
        </w:rPr>
      </w:pPr>
    </w:p>
    <w:p>
      <w:pPr>
        <w:ind w:left="80" w:right="100" w:firstLine="9"/>
        <w:spacing w:after="0" w:line="296" w:lineRule="auto"/>
        <w:tabs>
          <w:tab w:leader="none" w:pos="30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fiscal year 2021, the Company granted 20,700 phantom units to Mr. Dubuc on April 2, 2021. However, in September 2021, the Company and Mr. Dubuc mutually agreed that Mr. Dubuc would relinquish his phantom units awarded on April 2, 2021, in connection with the compensation review in anticipation of the Company’s initial public offering.</w:t>
      </w:r>
    </w:p>
    <w:p>
      <w:pPr>
        <w:sectPr>
          <w:pgSz w:w="11900" w:h="16838" w:orient="portrait"/>
          <w:cols w:equalWidth="0" w:num="1">
            <w:col w:w="11200"/>
          </w:cols>
          <w:pgMar w:left="320" w:top="1404" w:right="379" w:bottom="1440" w:gutter="0" w:footer="0" w:header="0"/>
        </w:sectPr>
      </w:pPr>
    </w:p>
    <w:bookmarkStart w:id="2" w:name="page3"/>
    <w:bookmarkEnd w:id="2"/>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100" w:type="dxa"/>
            <w:vAlign w:val="bottom"/>
            <w:gridSpan w:val="2"/>
          </w:tcPr>
          <w:p>
            <w:pPr>
              <w:ind w:left="1920"/>
              <w:spacing w:after="0"/>
              <w:rPr>
                <w:sz w:val="20"/>
                <w:szCs w:val="20"/>
                <w:color w:val="auto"/>
              </w:rPr>
            </w:pPr>
            <w:r>
              <w:rPr>
                <w:rFonts w:ascii="Arial" w:cs="Arial" w:eastAsia="Arial" w:hAnsi="Arial"/>
                <w:sz w:val="18"/>
                <w:szCs w:val="18"/>
                <w:b w:val="1"/>
                <w:bCs w:val="1"/>
                <w:color w:val="auto"/>
              </w:rPr>
              <w:t>FLUENCE ENERGY, INC.</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December 3, 2021</w:t>
            </w:r>
          </w:p>
        </w:tc>
        <w:tc>
          <w:tcPr>
            <w:tcW w:w="7100" w:type="dxa"/>
            <w:vAlign w:val="bottom"/>
            <w:gridSpan w:val="2"/>
          </w:tcPr>
          <w:p>
            <w:pPr>
              <w:ind w:left="1920"/>
              <w:spacing w:after="0"/>
              <w:rPr>
                <w:sz w:val="20"/>
                <w:szCs w:val="20"/>
                <w:color w:val="auto"/>
              </w:rPr>
            </w:pPr>
            <w:r>
              <w:rPr>
                <w:rFonts w:ascii="Arial" w:cs="Arial" w:eastAsia="Arial" w:hAnsi="Arial"/>
                <w:sz w:val="18"/>
                <w:szCs w:val="18"/>
                <w:color w:val="auto"/>
              </w:rPr>
              <w:t>By:   /s/ Francis Fuselier</w:t>
            </w:r>
          </w:p>
        </w:tc>
      </w:t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Francis Fuselier</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2021-12-03T15:56:51Z</dcterms:created>
  <dcterms:modified xsi:type="dcterms:W3CDTF">2021-12-03T15:56:51Z</dcterms:modified>
</cp:coreProperties>
</file>