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460" w:hanging="43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001-40978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Fluence Energy,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233" w:right="31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7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149"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4601 Fairfax Drive, Suite 600</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Arlington, Virginia</w:t>
      </w:r>
    </w:p>
    <w:p>
      <w:pPr>
        <w:spacing w:after="0" w:line="5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98" w:lineRule="exact"/>
        <w:rPr>
          <w:sz w:val="24"/>
          <w:szCs w:val="24"/>
          <w:color w:val="auto"/>
        </w:rPr>
      </w:pPr>
    </w:p>
    <w:p>
      <w:pPr>
        <w:jc w:val="center"/>
        <w:ind w:left="3640"/>
        <w:spacing w:after="0"/>
        <w:rPr>
          <w:sz w:val="20"/>
          <w:szCs w:val="20"/>
          <w:color w:val="auto"/>
        </w:rPr>
      </w:pPr>
      <w:r>
        <w:rPr>
          <w:rFonts w:ascii="Arial" w:cs="Arial" w:eastAsia="Arial" w:hAnsi="Arial"/>
          <w:sz w:val="16"/>
          <w:szCs w:val="16"/>
          <w:b w:val="1"/>
          <w:bCs w:val="1"/>
          <w:color w:val="auto"/>
        </w:rPr>
        <w:t>(833) 358-3623</w:t>
      </w:r>
    </w:p>
    <w:p>
      <w:pPr>
        <w:spacing w:after="0" w:line="26" w:lineRule="exact"/>
        <w:rPr>
          <w:sz w:val="24"/>
          <w:szCs w:val="24"/>
          <w:color w:val="auto"/>
        </w:rPr>
      </w:pPr>
    </w:p>
    <w:p>
      <w:pPr>
        <w:jc w:val="center"/>
        <w:ind w:left="3640"/>
        <w:spacing w:after="0"/>
        <w:rPr>
          <w:sz w:val="20"/>
          <w:szCs w:val="20"/>
          <w:color w:val="auto"/>
        </w:rPr>
      </w:pPr>
      <w:r>
        <w:rPr>
          <w:rFonts w:ascii="Arial" w:cs="Arial" w:eastAsia="Arial" w:hAnsi="Arial"/>
          <w:sz w:val="16"/>
          <w:szCs w:val="16"/>
          <w:color w:val="auto"/>
        </w:rPr>
        <w:t>Registrant's telephone number, including area code</w:t>
      </w:r>
    </w:p>
    <w:p>
      <w:pPr>
        <w:spacing w:after="0" w:line="9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87-1304612</w:t>
      </w:r>
    </w:p>
    <w:p>
      <w:pPr>
        <w:spacing w:after="0" w:line="26"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22203</w:t>
      </w:r>
    </w:p>
    <w:p>
      <w:pPr>
        <w:spacing w:after="0" w:line="90"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1060" w:lineRule="exact"/>
        <w:rPr>
          <w:sz w:val="24"/>
          <w:szCs w:val="24"/>
          <w:color w:val="auto"/>
        </w:rPr>
      </w:pPr>
    </w:p>
    <w:p>
      <w:pPr>
        <w:sectPr>
          <w:pgSz w:w="11900" w:h="16838" w:orient="portrait"/>
          <w:cols w:equalWidth="0" w:num="2">
            <w:col w:w="7600" w:space="220"/>
            <w:col w:w="3440"/>
          </w:cols>
          <w:pgMar w:left="320" w:top="233" w:right="319" w:bottom="1440" w:gutter="0" w:footer="0" w:header="0"/>
          <w:type w:val="continuous"/>
        </w:sectPr>
      </w:pPr>
    </w:p>
    <w:tbl>
      <w:tblPr>
        <w:tblLayout w:type="fixed"/>
        <w:tblInd w:w="10"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9"/>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 $0.00001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D0D0D"/>
                <w:w w:val="91"/>
              </w:rPr>
              <w:t>The Nasdaq Global Select Market</w:t>
            </w:r>
          </w:p>
        </w:tc>
      </w:tr>
    </w:tbl>
    <w:p>
      <w:pPr>
        <w:spacing w:after="0" w:line="85" w:lineRule="exact"/>
        <w:rPr>
          <w:sz w:val="24"/>
          <w:szCs w:val="24"/>
          <w:color w:val="auto"/>
        </w:rPr>
      </w:pPr>
    </w:p>
    <w:p>
      <w:pPr>
        <w:ind w:right="400"/>
        <w:spacing w:after="0" w:line="31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133" w:lineRule="exact"/>
        <w:rPr>
          <w:sz w:val="24"/>
          <w:szCs w:val="24"/>
          <w:color w:val="auto"/>
        </w:rPr>
      </w:pPr>
    </w:p>
    <w:p>
      <w:pPr>
        <w:jc w:val="both"/>
        <w:ind w:right="660"/>
        <w:spacing w:after="0" w:line="26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80"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o</w:t>
            </w:r>
          </w:p>
        </w:tc>
        <w:tc>
          <w:tcPr>
            <w:tcW w:w="4820" w:type="dxa"/>
            <w:vAlign w:val="bottom"/>
          </w:tcPr>
          <w:p>
            <w:pPr>
              <w:ind w:left="180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20"/>
              <w:spacing w:after="0"/>
              <w:rPr>
                <w:sz w:val="20"/>
                <w:szCs w:val="20"/>
                <w:color w:val="auto"/>
              </w:rPr>
            </w:pPr>
            <w:r>
              <w:rPr>
                <w:rFonts w:ascii="Arial" w:cs="Arial" w:eastAsia="Arial" w:hAnsi="Arial"/>
                <w:sz w:val="18"/>
                <w:szCs w:val="18"/>
                <w:color w:val="auto"/>
              </w:rPr>
              <w:t>x</w:t>
            </w:r>
          </w:p>
        </w:tc>
        <w:tc>
          <w:tcPr>
            <w:tcW w:w="4820" w:type="dxa"/>
            <w:vAlign w:val="bottom"/>
          </w:tcPr>
          <w:p>
            <w:pPr>
              <w:ind w:left="180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820" w:type="dxa"/>
            <w:vAlign w:val="bottom"/>
          </w:tcPr>
          <w:p>
            <w:pPr>
              <w:ind w:left="180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60"/>
              <w:spacing w:after="0"/>
              <w:rPr>
                <w:sz w:val="20"/>
                <w:szCs w:val="20"/>
                <w:color w:val="auto"/>
              </w:rPr>
            </w:pPr>
            <w:r>
              <w:rPr>
                <w:rFonts w:ascii="Arial" w:cs="Arial" w:eastAsia="Arial" w:hAnsi="Arial"/>
                <w:sz w:val="18"/>
                <w:szCs w:val="18"/>
                <w:color w:val="auto"/>
                <w:w w:val="88"/>
              </w:rPr>
              <w:t>x</w:t>
            </w:r>
          </w:p>
        </w:tc>
      </w:tr>
    </w:tbl>
    <w:p>
      <w:pPr>
        <w:spacing w:after="0" w:line="220" w:lineRule="exact"/>
        <w:rPr>
          <w:sz w:val="24"/>
          <w:szCs w:val="24"/>
          <w:color w:val="auto"/>
        </w:rPr>
      </w:pPr>
    </w:p>
    <w:p>
      <w:pPr>
        <w:ind w:right="600"/>
        <w:spacing w:after="0" w:line="30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x</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o</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Arial" w:cs="Arial" w:eastAsia="Arial" w:hAnsi="Arial"/>
          <w:sz w:val="17"/>
          <w:szCs w:val="17"/>
          <w:color w:val="auto"/>
        </w:rPr>
        <w:t>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5, 2023, the registrant had 116,187,222 shares of Class A common stock outstanding and 58,586,695 shares of Class B-1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320" w:type="dxa"/>
            <w:vAlign w:val="bottom"/>
            <w:tcBorders>
              <w:top w:val="single" w:sz="8" w:color="CCEEFF"/>
              <w:bottom w:val="single" w:sz="8" w:color="0000EE"/>
            </w:tcBorders>
            <w:gridSpan w:val="9"/>
            <w:shd w:val="clear" w:color="auto" w:fill="CCEEFF"/>
          </w:tcPr>
          <w:p>
            <w:pPr>
              <w:spacing w:after="0" w:line="182" w:lineRule="exact"/>
              <w:rPr>
                <w:sz w:val="20"/>
                <w:szCs w:val="20"/>
                <w:color w:val="auto"/>
              </w:rPr>
            </w:pPr>
            <w:r>
              <w:rPr>
                <w:rFonts w:ascii="Arial" w:cs="Arial" w:eastAsia="Arial" w:hAnsi="Arial"/>
                <w:sz w:val="18"/>
                <w:szCs w:val="18"/>
                <w:b w:val="1"/>
                <w:bCs w:val="1"/>
                <w:color w:val="0000EE"/>
                <w:w w:val="94"/>
              </w:rPr>
              <w:t>Part I - Financial Information</w:t>
            </w:r>
          </w:p>
        </w:tc>
        <w:tc>
          <w:tcPr>
            <w:tcW w:w="7980" w:type="dxa"/>
            <w:vAlign w:val="bottom"/>
            <w:tcBorders>
              <w:top w:val="single" w:sz="8" w:color="CCEEFF"/>
              <w:bottom w:val="single" w:sz="8" w:color="CCEEFF"/>
            </w:tcBorders>
            <w:gridSpan w:val="14"/>
            <w:shd w:val="clear" w:color="auto" w:fill="CCEEFF"/>
          </w:tcPr>
          <w:p>
            <w:pPr>
              <w:spacing w:after="0"/>
              <w:rPr>
                <w:sz w:val="17"/>
                <w:szCs w:val="17"/>
                <w:color w:val="auto"/>
              </w:rPr>
            </w:pPr>
          </w:p>
        </w:tc>
        <w:tc>
          <w:tcPr>
            <w:tcW w:w="6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1.</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Financial Statements (Unaudited)</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6</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w w:val="94"/>
              </w:rPr>
              <w:t>Condensed Consolidated Statements of Changes in Stockholders’ Equity, Members’ Equity (Deficit), and Mezzanine Equity</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7</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8</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10</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2.</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28</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3.</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42</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4.</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Controls and Procedures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43</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300" w:type="dxa"/>
            <w:vAlign w:val="bottom"/>
            <w:gridSpan w:val="23"/>
          </w:tcPr>
          <w:p>
            <w:pPr>
              <w:spacing w:after="0" w:line="189"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1.</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Legal Proceedings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Item 1A.</w:t>
            </w: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Risk Factors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2.</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3.</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Defaults Upon Senior Securities</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4.</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Mine Safety Disclosures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EE"/>
                <w:w w:val="90"/>
              </w:rPr>
              <w:t>Item 5.</w:t>
            </w:r>
          </w:p>
        </w:tc>
        <w:tc>
          <w:tcPr>
            <w:tcW w:w="380" w:type="dxa"/>
            <w:vAlign w:val="bottom"/>
            <w:gridSpan w:val="3"/>
          </w:tcPr>
          <w:p>
            <w:pPr>
              <w:spacing w:after="0"/>
              <w:rPr>
                <w:sz w:val="16"/>
                <w:szCs w:val="16"/>
                <w:color w:val="auto"/>
              </w:rPr>
            </w:pPr>
          </w:p>
        </w:tc>
        <w:tc>
          <w:tcPr>
            <w:tcW w:w="9400" w:type="dxa"/>
            <w:vAlign w:val="bottom"/>
            <w:gridSpan w:val="19"/>
          </w:tcPr>
          <w:p>
            <w:pPr>
              <w:ind w:left="120"/>
              <w:spacing w:after="0" w:line="189" w:lineRule="exact"/>
              <w:rPr>
                <w:sz w:val="20"/>
                <w:szCs w:val="20"/>
                <w:color w:val="auto"/>
              </w:rPr>
            </w:pPr>
            <w:r>
              <w:rPr>
                <w:rFonts w:ascii="Arial" w:cs="Arial" w:eastAsia="Arial" w:hAnsi="Arial"/>
                <w:sz w:val="18"/>
                <w:szCs w:val="18"/>
                <w:color w:val="0000EE"/>
              </w:rPr>
              <w:t>Other Information</w:t>
            </w: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44</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6.</w:t>
            </w:r>
          </w:p>
        </w:tc>
        <w:tc>
          <w:tcPr>
            <w:tcW w:w="380" w:type="dxa"/>
            <w:vAlign w:val="bottom"/>
            <w:gridSpan w:val="3"/>
            <w:shd w:val="clear" w:color="auto" w:fill="CCEEFF"/>
          </w:tcPr>
          <w:p>
            <w:pPr>
              <w:spacing w:after="0"/>
              <w:rPr>
                <w:sz w:val="16"/>
                <w:szCs w:val="16"/>
                <w:color w:val="auto"/>
              </w:rPr>
            </w:pPr>
          </w:p>
        </w:tc>
        <w:tc>
          <w:tcPr>
            <w:tcW w:w="9400" w:type="dxa"/>
            <w:vAlign w:val="bottom"/>
            <w:gridSpan w:val="19"/>
            <w:shd w:val="clear" w:color="auto" w:fill="CCEEFF"/>
          </w:tcPr>
          <w:p>
            <w:pPr>
              <w:ind w:left="120"/>
              <w:spacing w:after="0" w:line="189" w:lineRule="exact"/>
              <w:rPr>
                <w:sz w:val="20"/>
                <w:szCs w:val="20"/>
                <w:color w:val="auto"/>
              </w:rPr>
            </w:pPr>
            <w:r>
              <w:rPr>
                <w:rFonts w:ascii="Arial" w:cs="Arial" w:eastAsia="Arial" w:hAnsi="Arial"/>
                <w:sz w:val="18"/>
                <w:szCs w:val="18"/>
                <w:color w:val="0000EE"/>
              </w:rPr>
              <w:t>Exhibits</w:t>
            </w:r>
          </w:p>
        </w:tc>
        <w:tc>
          <w:tcPr>
            <w:tcW w:w="78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46</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Arial" w:cs="Arial" w:eastAsia="Arial" w:hAnsi="Arial"/>
                <w:sz w:val="18"/>
                <w:szCs w:val="18"/>
                <w:color w:val="0000EE"/>
              </w:rPr>
              <w:t>Signatures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47</w:t>
            </w:r>
          </w:p>
        </w:tc>
        <w:tc>
          <w:tcPr>
            <w:tcW w:w="1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16"/>
          </w:tcPr>
          <w:p>
            <w:pPr>
              <w:ind w:left="466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Certain statements in this Quarterly Report on Form 10-Q for the three-months ended December 31, 2022 (this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introduction of new products and services,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any forward-looking statements, include, but are not limited to, the following:</w:t>
      </w:r>
    </w:p>
    <w:p>
      <w:pPr>
        <w:spacing w:after="0" w:line="8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performance, including our ability to achieve or maintain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plan and growth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existing and future sales channels and market segmentation;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future markets and offerings;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revenue may be affected by any disruptions in asset deployment caused by supply, construction or utility delays;</w:t>
      </w:r>
    </w:p>
    <w:p>
      <w:pPr>
        <w:spacing w:after="0" w:line="134" w:lineRule="exact"/>
        <w:rPr>
          <w:rFonts w:ascii="Arial" w:cs="Arial" w:eastAsia="Arial" w:hAnsi="Arial"/>
          <w:sz w:val="22"/>
          <w:szCs w:val="22"/>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supply chains and distribution channels, including our ability to secure inventory from suppliers to meet customer demand and source materials in line with our expectations;</w:t>
      </w:r>
    </w:p>
    <w:p>
      <w:pPr>
        <w:spacing w:after="0" w:line="89" w:lineRule="exact"/>
        <w:rPr>
          <w:rFonts w:ascii="Arial" w:cs="Arial" w:eastAsia="Arial" w:hAnsi="Arial"/>
          <w:sz w:val="18"/>
          <w:szCs w:val="18"/>
          <w:color w:val="auto"/>
        </w:rPr>
      </w:pPr>
    </w:p>
    <w:p>
      <w:pPr>
        <w:ind w:right="20" w:firstLine="332"/>
        <w:spacing w:after="0" w:line="308" w:lineRule="auto"/>
        <w:tabs>
          <w:tab w:leader="none" w:pos="643"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associated with fluctuations in the market prices of commodity raw materials, including steel, aluminum, lithium carbonate, and cobalt, that are used in the components from suppliers, such as lithium-ion batteries, that are used in our energy storage products and solutions;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social, and political instability in the markets in which we operate and other regions of the world, including any impacts arising out of the ongoing conflict in Ukraine;</w:t>
      </w:r>
    </w:p>
    <w:p>
      <w:pPr>
        <w:spacing w:after="0" w:line="89"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levels of inflation, interest rates, and foreign currency exchange rates and related actions taken by government authorities in connection therewith;</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and potential future impact of the COVID-19 pandemic on our ground operations at project sites, our manufacturing facilities, our customers, our workforce, and our suppliers and our vendors;</w:t>
      </w:r>
    </w:p>
    <w:p>
      <w:pPr>
        <w:spacing w:after="0" w:line="89"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and solutions, including events and incidents outside of our control;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prevent defects, errors, or bugs in hardware or software of our products and technology as well as any defects that may give rise to claims of product liability or other potential legal claims;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information technology related risks;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compliance with any existing and future applicable laws, regulations, sanctions, or tariffs on our business and operations;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and implementation of government and economic incentives for energy storage products and solutions and/or services;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assessment and expectations regarding our global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anticipated synergies from strategic initiatives and/or acquisitions by the Company;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57" w:lineRule="exact"/>
        <w:rPr>
          <w:rFonts w:ascii="Arial" w:cs="Arial" w:eastAsia="Arial" w:hAnsi="Arial"/>
          <w:sz w:val="18"/>
          <w:szCs w:val="18"/>
          <w:color w:val="auto"/>
        </w:rPr>
      </w:pPr>
    </w:p>
    <w:p>
      <w:pPr>
        <w:ind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influence that Siemens AG and AES Grid Stability, LLC have over us, including control over decisions that require the approval of stockholders; and</w:t>
      </w:r>
    </w:p>
    <w:p>
      <w:pPr>
        <w:spacing w:after="0" w:line="89"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in Part I, Item 1A “Risk Factors” in our Annual Report on Form 10-K for the fiscal year ended September 30, 2022, filed with the Securities and Exchange Commission (“SEC”) on December 14, 2022 (the “2022 Annual Report”).</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FLUENCE ENERGY,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(U.S. Dollars in Thousands, except share and per share amounts)</w:t>
      </w:r>
    </w:p>
    <w:p>
      <w:pPr>
        <w:sectPr>
          <w:pgSz w:w="11900" w:h="16838" w:orient="portrait"/>
          <w:cols w:equalWidth="0" w:num="1">
            <w:col w:w="10139"/>
          </w:cols>
          <w:pgMar w:left="32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68"/>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360"/>
              <w:spacing w:after="0" w:line="168" w:lineRule="exact"/>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4"/>
                <w:szCs w:val="14"/>
                <w:color w:val="auto"/>
              </w:rPr>
            </w:pPr>
          </w:p>
        </w:tc>
        <w:tc>
          <w:tcPr>
            <w:tcW w:w="1440" w:type="dxa"/>
            <w:vAlign w:val="bottom"/>
          </w:tcPr>
          <w:p>
            <w:pPr>
              <w:jc w:val="right"/>
              <w:ind w:right="250"/>
              <w:spacing w:after="0" w:line="168" w:lineRule="exact"/>
              <w:rPr>
                <w:sz w:val="20"/>
                <w:szCs w:val="20"/>
                <w:color w:val="auto"/>
              </w:rPr>
            </w:pPr>
            <w:r>
              <w:rPr>
                <w:rFonts w:ascii="Arial" w:cs="Arial" w:eastAsia="Arial" w:hAnsi="Arial"/>
                <w:sz w:val="16"/>
                <w:szCs w:val="16"/>
                <w:b w:val="1"/>
                <w:bCs w:val="1"/>
                <w:color w:val="auto"/>
                <w:w w:val="98"/>
              </w:rPr>
              <w:t>September 30,</w:t>
            </w:r>
          </w:p>
        </w:tc>
      </w:tr>
      <w:tr>
        <w:trPr>
          <w:trHeight w:val="213"/>
        </w:trPr>
        <w:tc>
          <w:tcPr>
            <w:tcW w:w="7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r>
      <w:tr>
        <w:trPr>
          <w:trHeight w:val="212"/>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62,425</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Trade receivables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86,770</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Unbilled receivables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Receivables from related parties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112,027</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1,083,607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652,735</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2,010,128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1,601,533</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13,755</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ROU Asset - Operating Leases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51,696</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24,851</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asset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3,028</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Debt issuance cost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receivable - pledged as collateral</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r>
      <w:tr>
        <w:trPr>
          <w:trHeight w:val="229"/>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144,121</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1,745,654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304,898</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469,098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273,073</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Accruals and provisions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183,814</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and deferred revenue with related parties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306,348</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11,114</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1,109,463</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liability</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4,876</w:t>
            </w: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 against note receivable - pledged as collateral</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1,552,910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1,116,446</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5"/>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88"/>
              </w:rPr>
              <w:t xml:space="preserve">Preferred stock, </w:t>
            </w:r>
            <w:r>
              <w:rPr>
                <w:rFonts w:ascii="Arial" w:cs="Arial" w:eastAsia="Arial" w:hAnsi="Arial"/>
                <w:sz w:val="18"/>
                <w:szCs w:val="18"/>
                <w:color w:val="0D0D0D"/>
                <w:w w:val="88"/>
              </w:rPr>
              <w:t>$0.00001 per share, 10,000,000 shares authorized; no shares issued and outstanding as</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680" w:type="dxa"/>
            <w:vAlign w:val="bottom"/>
          </w:tcPr>
          <w:p>
            <w:pPr>
              <w:ind w:left="240"/>
              <w:spacing w:after="0"/>
              <w:rPr>
                <w:sz w:val="20"/>
                <w:szCs w:val="20"/>
                <w:color w:val="auto"/>
              </w:rPr>
            </w:pPr>
            <w:r>
              <w:rPr>
                <w:rFonts w:ascii="Arial" w:cs="Arial" w:eastAsia="Arial" w:hAnsi="Arial"/>
                <w:sz w:val="18"/>
                <w:szCs w:val="18"/>
                <w:color w:val="0D0D0D"/>
              </w:rPr>
              <w:t>of December 31, 2022 and September 30, 2022</w:t>
            </w:r>
          </w:p>
        </w:tc>
        <w:tc>
          <w:tcPr>
            <w:tcW w:w="2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Class A common stock, $0.00001 par value per share, 1,200,000,000 shares authorized; 116,645,242</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8"/>
        </w:trPr>
        <w:tc>
          <w:tcPr>
            <w:tcW w:w="7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88"/>
              </w:rPr>
              <w:t>shares issued and 116,072,991 shares outstanding as of December 31, 2022; 115,424,025 shares issued</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114,873,121 shares outstanding as of September 30, 2022</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75"/>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92"/>
              </w:rPr>
              <w:t>Class B-1 common stock, $0.00001 par value per share, 200,000,000 shares authorized; 58,586,695</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8"/>
        </w:trPr>
        <w:tc>
          <w:tcPr>
            <w:tcW w:w="7680" w:type="dxa"/>
            <w:vAlign w:val="bottom"/>
          </w:tcPr>
          <w:p>
            <w:pPr>
              <w:ind w:left="240"/>
              <w:spacing w:after="0" w:line="189" w:lineRule="exact"/>
              <w:rPr>
                <w:sz w:val="20"/>
                <w:szCs w:val="20"/>
                <w:color w:val="auto"/>
              </w:rPr>
            </w:pPr>
            <w:r>
              <w:rPr>
                <w:rFonts w:ascii="Arial" w:cs="Arial" w:eastAsia="Arial" w:hAnsi="Arial"/>
                <w:sz w:val="18"/>
                <w:szCs w:val="18"/>
                <w:color w:val="auto"/>
                <w:w w:val="93"/>
              </w:rPr>
              <w:t>and 58,586,695 shares issued and outstanding as of December 31, 2022 and September 30, 2022,</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7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Class B-2 common stock, $0.00001 par value per share, 200,000,000 shares authorized; no shares</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and outstanding as of December 31, 2022 and September 30, 2022</w:t>
            </w:r>
          </w:p>
        </w:tc>
        <w:tc>
          <w:tcPr>
            <w:tcW w:w="2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(5,013)</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542,602</w:t>
            </w: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(104,544)</w:t>
            </w:r>
          </w:p>
        </w:tc>
      </w:tr>
      <w:tr>
        <w:trPr>
          <w:trHeight w:val="223"/>
        </w:trPr>
        <w:tc>
          <w:tcPr>
            <w:tcW w:w="7680" w:type="dxa"/>
            <w:vAlign w:val="bottom"/>
          </w:tcPr>
          <w:p>
            <w:pPr>
              <w:ind w:left="240"/>
              <w:spacing w:after="0"/>
              <w:rPr>
                <w:sz w:val="20"/>
                <w:szCs w:val="20"/>
                <w:color w:val="auto"/>
              </w:rPr>
            </w:pPr>
            <w:r>
              <w:rPr>
                <w:rFonts w:ascii="Arial" w:cs="Arial" w:eastAsia="Arial" w:hAnsi="Arial"/>
                <w:sz w:val="18"/>
                <w:szCs w:val="18"/>
                <w:color w:val="auto"/>
              </w:rPr>
              <w:t>Total stockholders’ equity attributable to Fluence Energy, Inc.</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420,848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435,830</w:t>
            </w: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193,378</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629,208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1,745,654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ectPr>
          <w:pgSz w:w="11900" w:h="16838" w:orient="portrait"/>
          <w:cols w:equalWidth="0" w:num="1">
            <w:col w:w="11240"/>
          </w:cols>
          <w:pgMar w:left="320" w:top="166" w:right="339" w:bottom="4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406"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712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FLUENCE ENERGY, INC.</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8"/>
              </w:rPr>
              <w:t>CONDENSED CONSOLIDATED STATEMENTS OF OPERATIONS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120" w:type="dxa"/>
            <w:vAlign w:val="bottom"/>
          </w:tcPr>
          <w:p>
            <w:pPr>
              <w:jc w:val="center"/>
              <w:ind w:left="1470"/>
              <w:spacing w:after="0"/>
              <w:rPr>
                <w:sz w:val="20"/>
                <w:szCs w:val="20"/>
                <w:color w:val="auto"/>
              </w:rPr>
            </w:pPr>
            <w:r>
              <w:rPr>
                <w:rFonts w:ascii="Arial" w:cs="Arial" w:eastAsia="Arial" w:hAnsi="Arial"/>
                <w:sz w:val="18"/>
                <w:szCs w:val="18"/>
                <w:b w:val="1"/>
                <w:bCs w:val="1"/>
                <w:color w:val="auto"/>
              </w:rPr>
              <w:t>COMPREHENSIVE LOSS (UNAUDITED)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2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(U.S. Dollars in Thousands, except share and per share amounts)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87"/>
        </w:trPr>
        <w:tc>
          <w:tcPr>
            <w:tcW w:w="12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D2EDFE"/>
            </w:tcBorders>
          </w:tcPr>
          <w:p>
            <w:pPr>
              <w:spacing w:after="0"/>
              <w:rPr>
                <w:sz w:val="19"/>
                <w:szCs w:val="19"/>
                <w:color w:val="auto"/>
              </w:rPr>
            </w:pPr>
          </w:p>
        </w:tc>
        <w:tc>
          <w:tcPr>
            <w:tcW w:w="7120" w:type="dxa"/>
            <w:vAlign w:val="bottom"/>
            <w:tcBorders>
              <w:bottom w:val="single" w:sz="8" w:color="D2EDF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209,454</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27,054</w:t>
            </w:r>
          </w:p>
        </w:tc>
      </w:tr>
      <w:tr>
        <w:trPr>
          <w:trHeight w:val="230"/>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Revenue from related parties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101,006</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147,833</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310,460</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174,887</w:t>
            </w:r>
          </w:p>
        </w:tc>
      </w:tr>
      <w:tr>
        <w:trPr>
          <w:trHeight w:val="230"/>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298,420</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228,036</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Gross (loss) profit</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(53,149)</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40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19,162</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10,758</w:t>
            </w:r>
          </w:p>
        </w:tc>
      </w:tr>
      <w:tr>
        <w:trPr>
          <w:trHeight w:val="229"/>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13,059</w:t>
            </w:r>
          </w:p>
        </w:tc>
      </w:tr>
      <w:tr>
        <w:trPr>
          <w:trHeight w:val="230"/>
        </w:trPr>
        <w:tc>
          <w:tcPr>
            <w:tcW w:w="840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31,267</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31,201</w:t>
            </w:r>
          </w:p>
        </w:tc>
      </w:tr>
      <w:tr>
        <w:trPr>
          <w:trHeight w:val="229"/>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8400" w:type="dxa"/>
            <w:vAlign w:val="bottom"/>
            <w:gridSpan w:val="2"/>
            <w:shd w:val="clear" w:color="auto" w:fill="D2EDFE"/>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(37,807)</w:t>
            </w:r>
          </w:p>
        </w:tc>
        <w:tc>
          <w:tcPr>
            <w:tcW w:w="100" w:type="dxa"/>
            <w:vAlign w:val="bottom"/>
            <w:shd w:val="clear" w:color="auto" w:fill="D2EDFE"/>
          </w:tcPr>
          <w:p>
            <w:pPr>
              <w:spacing w:after="0"/>
              <w:rPr>
                <w:sz w:val="19"/>
                <w:szCs w:val="19"/>
                <w:color w:val="auto"/>
              </w:rPr>
            </w:pPr>
          </w:p>
        </w:tc>
        <w:tc>
          <w:tcPr>
            <w:tcW w:w="44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(111,102)</w:t>
            </w:r>
          </w:p>
        </w:tc>
      </w:tr>
      <w:tr>
        <w:trPr>
          <w:trHeight w:val="223"/>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(111,460)</w:t>
            </w:r>
          </w:p>
        </w:tc>
      </w:tr>
      <w:tr>
        <w:trPr>
          <w:trHeight w:val="229"/>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(82,655)</w:t>
            </w:r>
          </w:p>
        </w:tc>
      </w:tr>
      <w:tr>
        <w:trPr>
          <w:trHeight w:val="248"/>
        </w:trPr>
        <w:tc>
          <w:tcPr>
            <w:tcW w:w="840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280" w:type="dxa"/>
            <w:vAlign w:val="bottom"/>
            <w:tcBorders>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tcBorders>
              <w:bottom w:val="single" w:sz="8" w:color="D2EDFE"/>
            </w:tcBorders>
            <w:shd w:val="clear" w:color="auto" w:fill="D2EDFE"/>
          </w:tcPr>
          <w:p>
            <w:pPr>
              <w:spacing w:after="0"/>
              <w:rPr>
                <w:sz w:val="21"/>
                <w:szCs w:val="21"/>
                <w:color w:val="auto"/>
              </w:rPr>
            </w:pPr>
          </w:p>
        </w:tc>
        <w:tc>
          <w:tcPr>
            <w:tcW w:w="440" w:type="dxa"/>
            <w:vAlign w:val="bottom"/>
            <w:tcBorders>
              <w:bottom w:val="single" w:sz="8" w:color="auto"/>
            </w:tcBorders>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(28,805)</w:t>
            </w:r>
          </w:p>
        </w:tc>
      </w:tr>
      <w:tr>
        <w:trPr>
          <w:trHeight w:val="20"/>
        </w:trPr>
        <w:tc>
          <w:tcPr>
            <w:tcW w:w="8400" w:type="dxa"/>
            <w:vAlign w:val="bottom"/>
            <w:tcBorders>
              <w:top w:val="single" w:sz="8" w:color="D2EDFE"/>
            </w:tcBorders>
            <w:gridSpan w:val="2"/>
          </w:tcPr>
          <w:p>
            <w:pPr>
              <w:spacing w:after="0" w:line="20" w:lineRule="exact"/>
              <w:rPr>
                <w:sz w:val="1"/>
                <w:szCs w:val="1"/>
                <w:color w:val="auto"/>
              </w:rPr>
            </w:pPr>
          </w:p>
        </w:tc>
        <w:tc>
          <w:tcPr>
            <w:tcW w:w="280" w:type="dxa"/>
            <w:vAlign w:val="bottom"/>
            <w:tcBorders>
              <w:top w:val="single" w:sz="8" w:color="D2EDFE"/>
              <w:bottom w:val="single" w:sz="8" w:color="auto"/>
            </w:tcBorders>
          </w:tcPr>
          <w:p>
            <w:pPr>
              <w:spacing w:after="0" w:line="20" w:lineRule="exact"/>
              <w:rPr>
                <w:sz w:val="1"/>
                <w:szCs w:val="1"/>
                <w:color w:val="auto"/>
              </w:rPr>
            </w:pPr>
          </w:p>
        </w:tc>
        <w:tc>
          <w:tcPr>
            <w:tcW w:w="11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4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Weighted average number of Class A common shares outstanding</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spacing w:after="0"/>
              <w:rPr>
                <w:sz w:val="19"/>
                <w:szCs w:val="19"/>
                <w:color w:val="auto"/>
              </w:rPr>
            </w:pPr>
          </w:p>
        </w:tc>
      </w:tr>
      <w:tr>
        <w:trPr>
          <w:trHeight w:val="230"/>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115,393,437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54,143,275</w:t>
            </w:r>
          </w:p>
        </w:tc>
      </w:tr>
      <w:tr>
        <w:trPr>
          <w:trHeight w:val="230"/>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per share of Class A common stock</w:t>
            </w:r>
          </w:p>
        </w:tc>
        <w:tc>
          <w:tcPr>
            <w:tcW w:w="280" w:type="dxa"/>
            <w:vAlign w:val="bottom"/>
            <w:shd w:val="clear" w:color="auto" w:fill="D2EDFE"/>
          </w:tcPr>
          <w:p>
            <w:pPr>
              <w:spacing w:after="0"/>
              <w:rPr>
                <w:sz w:val="19"/>
                <w:szCs w:val="19"/>
                <w:color w:val="auto"/>
              </w:rPr>
            </w:pPr>
          </w:p>
        </w:tc>
        <w:tc>
          <w:tcPr>
            <w:tcW w:w="11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40" w:type="dxa"/>
            <w:vAlign w:val="bottom"/>
            <w:shd w:val="clear" w:color="auto" w:fill="D2EDFE"/>
          </w:tcPr>
          <w:p>
            <w:pPr>
              <w:spacing w:after="0"/>
              <w:rPr>
                <w:sz w:val="19"/>
                <w:szCs w:val="19"/>
                <w:color w:val="auto"/>
              </w:rPr>
            </w:pPr>
          </w:p>
        </w:tc>
        <w:tc>
          <w:tcPr>
            <w:tcW w:w="900" w:type="dxa"/>
            <w:vAlign w:val="bottom"/>
            <w:shd w:val="clear" w:color="auto" w:fill="D2EDFE"/>
          </w:tcPr>
          <w:p>
            <w:pPr>
              <w:spacing w:after="0"/>
              <w:rPr>
                <w:sz w:val="19"/>
                <w:szCs w:val="19"/>
                <w:color w:val="auto"/>
              </w:rPr>
            </w:pPr>
          </w:p>
        </w:tc>
      </w:tr>
      <w:tr>
        <w:trPr>
          <w:trHeight w:val="230"/>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6"/>
        </w:trPr>
        <w:tc>
          <w:tcPr>
            <w:tcW w:w="8400" w:type="dxa"/>
            <w:vAlign w:val="bottom"/>
            <w:gridSpan w:val="2"/>
            <w:shd w:val="clear" w:color="auto" w:fill="D2EDFE"/>
          </w:tcPr>
          <w:p>
            <w:pPr>
              <w:spacing w:after="0"/>
              <w:rPr>
                <w:sz w:val="22"/>
                <w:szCs w:val="22"/>
                <w:color w:val="auto"/>
              </w:rPr>
            </w:pPr>
          </w:p>
        </w:tc>
        <w:tc>
          <w:tcPr>
            <w:tcW w:w="280" w:type="dxa"/>
            <w:vAlign w:val="bottom"/>
            <w:shd w:val="clear" w:color="auto" w:fill="D2EDFE"/>
          </w:tcPr>
          <w:p>
            <w:pPr>
              <w:spacing w:after="0"/>
              <w:rPr>
                <w:sz w:val="22"/>
                <w:szCs w:val="22"/>
                <w:color w:val="auto"/>
              </w:rPr>
            </w:pPr>
          </w:p>
        </w:tc>
        <w:tc>
          <w:tcPr>
            <w:tcW w:w="112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440" w:type="dxa"/>
            <w:vAlign w:val="bottom"/>
            <w:shd w:val="clear" w:color="auto" w:fill="D2EDFE"/>
          </w:tcPr>
          <w:p>
            <w:pPr>
              <w:spacing w:after="0"/>
              <w:rPr>
                <w:sz w:val="22"/>
                <w:szCs w:val="22"/>
                <w:color w:val="auto"/>
              </w:rPr>
            </w:pPr>
          </w:p>
        </w:tc>
        <w:tc>
          <w:tcPr>
            <w:tcW w:w="900" w:type="dxa"/>
            <w:vAlign w:val="bottom"/>
            <w:shd w:val="clear" w:color="auto" w:fill="D2EDFE"/>
          </w:tcPr>
          <w:p>
            <w:pPr>
              <w:spacing w:after="0"/>
              <w:rPr>
                <w:sz w:val="22"/>
                <w:szCs w:val="22"/>
                <w:color w:val="auto"/>
              </w:rPr>
            </w:pPr>
          </w:p>
        </w:tc>
      </w:tr>
      <w:tr>
        <w:trPr>
          <w:trHeight w:val="230"/>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w w:val="99"/>
              </w:rPr>
              <w:t>Foreign currency translation gain (loss), net of income tax expense of $0.3 million in 2022, and $0 in 2021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D2EDFE"/>
          </w:tcPr>
          <w:p>
            <w:pPr>
              <w:spacing w:after="0"/>
              <w:rPr>
                <w:sz w:val="19"/>
                <w:szCs w:val="19"/>
                <w:color w:val="auto"/>
              </w:rPr>
            </w:pPr>
          </w:p>
        </w:tc>
        <w:tc>
          <w:tcPr>
            <w:tcW w:w="440" w:type="dxa"/>
            <w:vAlign w:val="bottom"/>
            <w:tcBorders>
              <w:bottom w:val="single" w:sz="8" w:color="auto"/>
            </w:tcBorders>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40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(40,778)</w:t>
            </w:r>
          </w:p>
        </w:tc>
        <w:tc>
          <w:tcPr>
            <w:tcW w:w="100" w:type="dxa"/>
            <w:vAlign w:val="bottom"/>
            <w:tcBorders>
              <w:bottom w:val="single" w:sz="8" w:color="D2EDFE"/>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(111,161)</w:t>
            </w:r>
          </w:p>
        </w:tc>
      </w:tr>
      <w:tr>
        <w:trPr>
          <w:trHeight w:val="223"/>
        </w:trPr>
        <w:tc>
          <w:tcPr>
            <w:tcW w:w="84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280" w:type="dxa"/>
            <w:vAlign w:val="bottom"/>
            <w:tcBorders>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(13,761)</w:t>
            </w:r>
          </w:p>
        </w:tc>
        <w:tc>
          <w:tcPr>
            <w:tcW w:w="100" w:type="dxa"/>
            <w:vAlign w:val="bottom"/>
            <w:shd w:val="clear" w:color="auto" w:fill="D2EDFE"/>
          </w:tcPr>
          <w:p>
            <w:pPr>
              <w:spacing w:after="0"/>
              <w:rPr>
                <w:sz w:val="19"/>
                <w:szCs w:val="19"/>
                <w:color w:val="auto"/>
              </w:rPr>
            </w:pPr>
          </w:p>
        </w:tc>
        <w:tc>
          <w:tcPr>
            <w:tcW w:w="440" w:type="dxa"/>
            <w:vAlign w:val="bottom"/>
            <w:tcBorders>
              <w:bottom w:val="single" w:sz="8" w:color="auto"/>
            </w:tcBorders>
            <w:shd w:val="clear" w:color="auto" w:fill="D2EDFE"/>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(82,570)</w:t>
            </w: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Total comprehensive loss attributable to Fluence Energy,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(28,591)</w:t>
            </w:r>
          </w:p>
        </w:tc>
      </w:tr>
      <w:tr>
        <w:trPr>
          <w:trHeight w:val="20"/>
        </w:trPr>
        <w:tc>
          <w:tcPr>
            <w:tcW w:w="12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 MEMBERS’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EQUITY (DEFICIT), AND MEZZANINE EQUITY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in Thousands, except Shares/Units)</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44"/>
        </w:trPr>
        <w:tc>
          <w:tcPr>
            <w:tcW w:w="1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w w:val="87"/>
              </w:rPr>
              <w:t>Class A</w:t>
            </w: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105"/>
              <w:spacing w:after="0" w:line="144" w:lineRule="exact"/>
              <w:rPr>
                <w:sz w:val="20"/>
                <w:szCs w:val="20"/>
                <w:color w:val="auto"/>
              </w:rPr>
            </w:pPr>
            <w:r>
              <w:rPr>
                <w:rFonts w:ascii="Arial" w:cs="Arial" w:eastAsia="Arial" w:hAnsi="Arial"/>
                <w:sz w:val="13"/>
                <w:szCs w:val="13"/>
                <w:b w:val="1"/>
                <w:bCs w:val="1"/>
                <w:color w:val="auto"/>
              </w:rPr>
              <w:t>Class B-1</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43"/>
              <w:spacing w:after="0" w:line="144"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ind w:right="180"/>
              <w:spacing w:after="0" w:line="139" w:lineRule="exact"/>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145"/>
              <w:spacing w:after="0" w:line="139" w:lineRule="exact"/>
              <w:rPr>
                <w:sz w:val="20"/>
                <w:szCs w:val="20"/>
                <w:color w:val="auto"/>
              </w:rPr>
            </w:pPr>
            <w:r>
              <w:rPr>
                <w:rFonts w:ascii="Arial" w:cs="Arial" w:eastAsia="Arial" w:hAnsi="Arial"/>
                <w:sz w:val="13"/>
                <w:szCs w:val="13"/>
                <w:b w:val="1"/>
                <w:bCs w:val="1"/>
                <w:color w:val="auto"/>
                <w:w w:val="92"/>
              </w:rPr>
              <w:t>Other</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right"/>
              <w:ind w:right="220"/>
              <w:spacing w:after="0" w:line="139"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02"/>
              <w:spacing w:after="0" w:line="139"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4"/>
                <w:szCs w:val="4"/>
                <w:color w:val="auto"/>
              </w:rPr>
            </w:pPr>
          </w:p>
        </w:tc>
        <w:tc>
          <w:tcPr>
            <w:tcW w:w="820" w:type="dxa"/>
            <w:vAlign w:val="bottom"/>
            <w:gridSpan w:val="2"/>
            <w:vMerge w:val="restart"/>
          </w:tcPr>
          <w:p>
            <w:pPr>
              <w:jc w:val="right"/>
              <w:ind w:right="1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4"/>
                <w:szCs w:val="4"/>
                <w:color w:val="auto"/>
              </w:rPr>
            </w:pPr>
          </w:p>
        </w:tc>
        <w:tc>
          <w:tcPr>
            <w:tcW w:w="960" w:type="dxa"/>
            <w:vAlign w:val="bottom"/>
            <w:gridSpan w:val="2"/>
            <w:vMerge w:val="restart"/>
          </w:tcPr>
          <w:p>
            <w:pPr>
              <w:jc w:val="center"/>
              <w:ind w:right="43"/>
              <w:spacing w:after="0" w:line="108" w:lineRule="exact"/>
              <w:rPr>
                <w:sz w:val="20"/>
                <w:szCs w:val="20"/>
                <w:color w:val="auto"/>
              </w:rPr>
            </w:pPr>
            <w:r>
              <w:rPr>
                <w:rFonts w:ascii="Arial" w:cs="Arial" w:eastAsia="Arial" w:hAnsi="Arial"/>
                <w:sz w:val="12"/>
                <w:szCs w:val="12"/>
                <w:b w:val="1"/>
                <w:bCs w:val="1"/>
                <w:color w:val="auto"/>
                <w:w w:val="93"/>
              </w:rPr>
              <w:t>Comprehensive</w:t>
            </w:r>
          </w:p>
        </w:tc>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2"/>
            <w:vMerge w:val="restart"/>
          </w:tcPr>
          <w:p>
            <w:pPr>
              <w:jc w:val="right"/>
              <w:ind w:right="42"/>
              <w:spacing w:after="0" w:line="108" w:lineRule="exact"/>
              <w:rPr>
                <w:sz w:val="20"/>
                <w:szCs w:val="20"/>
                <w:color w:val="auto"/>
              </w:rPr>
            </w:pPr>
            <w:r>
              <w:rPr>
                <w:rFonts w:ascii="Arial" w:cs="Arial" w:eastAsia="Arial" w:hAnsi="Arial"/>
                <w:sz w:val="12"/>
                <w:szCs w:val="12"/>
                <w:b w:val="1"/>
                <w:bCs w:val="1"/>
                <w:color w:val="auto"/>
              </w:rPr>
              <w:t>Controlling</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6"/>
              </w:rPr>
              <w:t>equity and</w:t>
            </w:r>
          </w:p>
        </w:tc>
        <w:tc>
          <w:tcPr>
            <w:tcW w:w="0" w:type="dxa"/>
            <w:vAlign w:val="bottom"/>
          </w:tcPr>
          <w:p>
            <w:pPr>
              <w:spacing w:after="0"/>
              <w:rPr>
                <w:sz w:val="1"/>
                <w:szCs w:val="1"/>
                <w:color w:val="auto"/>
              </w:rPr>
            </w:pPr>
          </w:p>
        </w:tc>
      </w:tr>
      <w:tr>
        <w:trPr>
          <w:trHeight w:val="34"/>
        </w:trPr>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jc w:val="right"/>
              <w:ind w:right="286"/>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2"/>
                <w:szCs w:val="2"/>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7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gridSpan w:val="2"/>
            <w:vMerge w:val="restart"/>
          </w:tcPr>
          <w:p>
            <w:pPr>
              <w:jc w:val="right"/>
              <w:ind w:right="12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3"/>
                <w:szCs w:val="13"/>
                <w:b w:val="1"/>
                <w:bCs w:val="1"/>
                <w:color w:val="auto"/>
                <w:w w:val="92"/>
              </w:rPr>
              <w:t>Income (Loss)</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interest</w:t>
            </w: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9"/>
              </w:rPr>
              <w:t>members’ deficit</w:t>
            </w:r>
          </w:p>
        </w:tc>
        <w:tc>
          <w:tcPr>
            <w:tcW w:w="0" w:type="dxa"/>
            <w:vAlign w:val="bottom"/>
          </w:tcPr>
          <w:p>
            <w:pPr>
              <w:spacing w:after="0"/>
              <w:rPr>
                <w:sz w:val="1"/>
                <w:szCs w:val="1"/>
                <w:color w:val="auto"/>
              </w:rPr>
            </w:pPr>
          </w:p>
        </w:tc>
      </w:tr>
      <w:tr>
        <w:trPr>
          <w:trHeight w:val="125"/>
        </w:trPr>
        <w:tc>
          <w:tcPr>
            <w:tcW w:w="150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 at September</w:t>
            </w:r>
          </w:p>
        </w:tc>
        <w:tc>
          <w:tcPr>
            <w:tcW w:w="1140" w:type="dxa"/>
            <w:vAlign w:val="bottom"/>
            <w:gridSpan w:val="4"/>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114,873,121</w:t>
            </w:r>
          </w:p>
        </w:tc>
        <w:tc>
          <w:tcPr>
            <w:tcW w:w="440" w:type="dxa"/>
            <w:vAlign w:val="bottom"/>
            <w:vMerge w:val="restart"/>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1</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58,586,695</w:t>
            </w:r>
          </w:p>
        </w:tc>
        <w:tc>
          <w:tcPr>
            <w:tcW w:w="260" w:type="dxa"/>
            <w:vAlign w:val="bottom"/>
            <w:vMerge w:val="restart"/>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$ 542,602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(104,544)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550,904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193,378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629,208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30, 2022</w:t>
            </w:r>
          </w:p>
        </w:tc>
        <w:tc>
          <w:tcPr>
            <w:tcW w:w="180" w:type="dxa"/>
            <w:vAlign w:val="bottom"/>
            <w:shd w:val="clear" w:color="auto" w:fill="CCEEFF"/>
          </w:tcPr>
          <w:p>
            <w:pPr>
              <w:spacing w:after="0"/>
              <w:rPr>
                <w:sz w:val="17"/>
                <w:szCs w:val="17"/>
                <w:color w:val="auto"/>
              </w:rPr>
            </w:pPr>
          </w:p>
        </w:tc>
        <w:tc>
          <w:tcPr>
            <w:tcW w:w="1140" w:type="dxa"/>
            <w:vAlign w:val="bottom"/>
            <w:gridSpan w:val="4"/>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(24,642)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700" w:type="dxa"/>
            <w:vAlign w:val="bottom"/>
            <w:gridSpan w:val="3"/>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(12,551)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6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expense and related</w:t>
            </w:r>
          </w:p>
        </w:tc>
        <w:tc>
          <w:tcPr>
            <w:tcW w:w="180" w:type="dxa"/>
            <w:vAlign w:val="bottom"/>
            <w:shd w:val="clear" w:color="auto" w:fill="CCEEFF"/>
          </w:tcPr>
          <w:p>
            <w:pPr>
              <w:spacing w:after="0"/>
              <w:rPr>
                <w:sz w:val="12"/>
                <w:szCs w:val="12"/>
                <w:color w:val="auto"/>
              </w:rPr>
            </w:pPr>
          </w:p>
        </w:tc>
        <w:tc>
          <w:tcPr>
            <w:tcW w:w="1140" w:type="dxa"/>
            <w:vAlign w:val="bottom"/>
            <w:gridSpan w:val="4"/>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180,684</w:t>
            </w:r>
          </w:p>
        </w:tc>
        <w:tc>
          <w:tcPr>
            <w:tcW w:w="6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vesting</w:t>
            </w:r>
          </w:p>
        </w:tc>
        <w:tc>
          <w:tcPr>
            <w:tcW w:w="180" w:type="dxa"/>
            <w:vAlign w:val="bottom"/>
            <w:shd w:val="clear" w:color="auto" w:fill="CCEEFF"/>
          </w:tcPr>
          <w:p>
            <w:pPr>
              <w:spacing w:after="0"/>
              <w:rPr>
                <w:sz w:val="17"/>
                <w:szCs w:val="17"/>
                <w:color w:val="auto"/>
              </w:rPr>
            </w:pPr>
          </w:p>
        </w:tc>
        <w:tc>
          <w:tcPr>
            <w:tcW w:w="1140" w:type="dxa"/>
            <w:vAlign w:val="bottom"/>
            <w:gridSpan w:val="4"/>
            <w:vMerge w:val="continue"/>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320" w:type="dxa"/>
            <w:vAlign w:val="bottom"/>
          </w:tcPr>
          <w:p>
            <w:pPr>
              <w:spacing w:after="0" w:line="143" w:lineRule="exact"/>
              <w:rPr>
                <w:sz w:val="20"/>
                <w:szCs w:val="20"/>
                <w:color w:val="auto"/>
              </w:rPr>
            </w:pPr>
            <w:r>
              <w:rPr>
                <w:rFonts w:ascii="Arial" w:cs="Arial" w:eastAsia="Arial" w:hAnsi="Arial"/>
                <w:sz w:val="14"/>
                <w:szCs w:val="14"/>
                <w:color w:val="auto"/>
                <w:w w:val="90"/>
              </w:rPr>
              <w:t>Repurchase of Class 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60" w:type="dxa"/>
            <w:vAlign w:val="bottom"/>
            <w:gridSpan w:val="4"/>
          </w:tcPr>
          <w:p>
            <w:pPr>
              <w:spacing w:after="0" w:line="141" w:lineRule="exact"/>
              <w:rPr>
                <w:sz w:val="20"/>
                <w:szCs w:val="20"/>
                <w:color w:val="auto"/>
              </w:rPr>
            </w:pPr>
            <w:r>
              <w:rPr>
                <w:rFonts w:ascii="Arial" w:cs="Arial" w:eastAsia="Arial" w:hAnsi="Arial"/>
                <w:sz w:val="14"/>
                <w:szCs w:val="14"/>
                <w:color w:val="auto"/>
              </w:rPr>
              <w:t>common stock placed into</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auto"/>
              </w:rPr>
              <w:t>21,347</w:t>
            </w:r>
          </w:p>
        </w:tc>
        <w:tc>
          <w:tcPr>
            <w:tcW w:w="1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4"/>
                <w:szCs w:val="14"/>
                <w:color w:val="auto"/>
              </w:rPr>
              <w:t>Treasury</w:t>
            </w:r>
          </w:p>
        </w:tc>
        <w:tc>
          <w:tcPr>
            <w:tcW w:w="18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(21,347)</w:t>
            </w:r>
          </w:p>
        </w:tc>
        <w:tc>
          <w:tcPr>
            <w:tcW w:w="62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w w:val="96"/>
              </w:rPr>
              <w:t>Effect of remeasurement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60" w:type="dxa"/>
            <w:vAlign w:val="bottom"/>
            <w:gridSpan w:val="4"/>
            <w:shd w:val="clear" w:color="auto" w:fill="CCEEFF"/>
          </w:tcPr>
          <w:p>
            <w:pPr>
              <w:spacing w:after="0" w:line="141" w:lineRule="exact"/>
              <w:rPr>
                <w:sz w:val="20"/>
                <w:szCs w:val="20"/>
                <w:color w:val="auto"/>
              </w:rPr>
            </w:pPr>
            <w:r>
              <w:rPr>
                <w:rFonts w:ascii="Arial" w:cs="Arial" w:eastAsia="Arial" w:hAnsi="Arial"/>
                <w:sz w:val="14"/>
                <w:szCs w:val="14"/>
                <w:color w:val="auto"/>
              </w:rPr>
              <w:t>of non-controlling interest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due to other share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transactions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500" w:type="dxa"/>
            <w:vAlign w:val="bottom"/>
            <w:gridSpan w:val="2"/>
          </w:tcPr>
          <w:p>
            <w:pPr>
              <w:spacing w:after="0" w:line="143" w:lineRule="exact"/>
              <w:rPr>
                <w:sz w:val="20"/>
                <w:szCs w:val="20"/>
                <w:color w:val="auto"/>
              </w:rPr>
            </w:pPr>
            <w:r>
              <w:rPr>
                <w:rFonts w:ascii="Arial" w:cs="Arial" w:eastAsia="Arial" w:hAnsi="Arial"/>
                <w:sz w:val="14"/>
                <w:szCs w:val="14"/>
                <w:color w:val="auto"/>
                <w:w w:val="90"/>
              </w:rPr>
              <w:t>Proceeds from exercise of</w:t>
            </w:r>
          </w:p>
        </w:tc>
        <w:tc>
          <w:tcPr>
            <w:tcW w:w="1140" w:type="dxa"/>
            <w:vAlign w:val="bottom"/>
            <w:gridSpan w:val="4"/>
            <w:vMerge w:val="restart"/>
          </w:tcPr>
          <w:p>
            <w:pPr>
              <w:jc w:val="right"/>
              <w:ind w:right="6"/>
              <w:spacing w:after="0"/>
              <w:rPr>
                <w:sz w:val="20"/>
                <w:szCs w:val="20"/>
                <w:color w:val="auto"/>
              </w:rPr>
            </w:pPr>
            <w:r>
              <w:rPr>
                <w:rFonts w:ascii="Arial" w:cs="Arial" w:eastAsia="Arial" w:hAnsi="Arial"/>
                <w:sz w:val="16"/>
                <w:szCs w:val="16"/>
                <w:color w:val="auto"/>
              </w:rPr>
              <w:t>1,040,533</w:t>
            </w: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2,398</w:t>
            </w:r>
          </w:p>
        </w:tc>
        <w:tc>
          <w:tcPr>
            <w:tcW w:w="14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2"/>
                <w:szCs w:val="12"/>
                <w:color w:val="auto"/>
              </w:rPr>
            </w:pPr>
          </w:p>
        </w:tc>
        <w:tc>
          <w:tcPr>
            <w:tcW w:w="700" w:type="dxa"/>
            <w:vAlign w:val="bottom"/>
            <w:gridSpan w:val="3"/>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20"/>
                <w:szCs w:val="20"/>
                <w:color w:val="auto"/>
              </w:rPr>
            </w:pPr>
            <w:r>
              <w:rPr>
                <w:rFonts w:ascii="Arial" w:cs="Arial" w:eastAsia="Arial" w:hAnsi="Arial"/>
                <w:sz w:val="14"/>
                <w:szCs w:val="14"/>
                <w:color w:val="auto"/>
              </w:rPr>
              <w:t>stock options</w:t>
            </w:r>
          </w:p>
        </w:tc>
        <w:tc>
          <w:tcPr>
            <w:tcW w:w="18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Foreign currency</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w w:val="92"/>
              </w:rPr>
              <w:t>translation gain (loss), net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5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w w:val="99"/>
              </w:rPr>
              <w:t>of income tax (expense)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6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benefit of $(0.3) million</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gridSpan w:val="3"/>
            <w:vMerge w:val="continue"/>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gridSpan w:val="2"/>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60" w:type="dxa"/>
            <w:vAlign w:val="bottom"/>
            <w:gridSpan w:val="4"/>
          </w:tcPr>
          <w:p>
            <w:pPr>
              <w:spacing w:after="0" w:line="132" w:lineRule="exact"/>
              <w:rPr>
                <w:sz w:val="20"/>
                <w:szCs w:val="20"/>
                <w:color w:val="auto"/>
              </w:rPr>
            </w:pPr>
            <w:r>
              <w:rPr>
                <w:rFonts w:ascii="Arial" w:cs="Arial" w:eastAsia="Arial" w:hAnsi="Arial"/>
                <w:sz w:val="14"/>
                <w:szCs w:val="14"/>
                <w:b w:val="1"/>
                <w:bCs w:val="1"/>
                <w:color w:val="auto"/>
              </w:rPr>
              <w:t>Balance at December 31,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vMerge w:val="restart"/>
          </w:tcPr>
          <w:p>
            <w:pPr>
              <w:jc w:val="right"/>
              <w:ind w:right="260"/>
              <w:spacing w:after="0"/>
              <w:rPr>
                <w:sz w:val="20"/>
                <w:szCs w:val="20"/>
                <w:color w:val="auto"/>
              </w:rPr>
            </w:pPr>
            <w:r>
              <w:rPr>
                <w:rFonts w:ascii="Arial" w:cs="Arial" w:eastAsia="Arial" w:hAnsi="Arial"/>
                <w:sz w:val="16"/>
                <w:szCs w:val="16"/>
                <w:color w:val="auto"/>
                <w:w w:val="89"/>
              </w:rPr>
              <w:t>$</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89"/>
              </w:rPr>
              <w:t>1</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58,586,695</w:t>
            </w:r>
          </w:p>
        </w:tc>
        <w:tc>
          <w:tcPr>
            <w:tcW w:w="260" w:type="dxa"/>
            <w:vAlign w:val="bottom"/>
            <w:vMerge w:val="restart"/>
          </w:tcPr>
          <w:p>
            <w:pPr>
              <w:jc w:val="right"/>
              <w:ind w:right="45"/>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5"/>
              </w:rPr>
              <w:t>$ 554,924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(129,186)</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97"/>
              </w:rPr>
              <w:t>410</w:t>
            </w: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auto"/>
              </w:rPr>
              <w:t>572,251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(5,301)</w:t>
            </w:r>
          </w:p>
        </w:tc>
        <w:tc>
          <w:tcPr>
            <w:tcW w:w="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ind w:left="80"/>
              <w:spacing w:after="0"/>
              <w:rPr>
                <w:sz w:val="20"/>
                <w:szCs w:val="20"/>
                <w:color w:val="auto"/>
              </w:rPr>
            </w:pPr>
            <w:r>
              <w:rPr>
                <w:rFonts w:ascii="Arial" w:cs="Arial" w:eastAsia="Arial" w:hAnsi="Arial"/>
                <w:sz w:val="16"/>
                <w:szCs w:val="16"/>
                <w:color w:val="auto"/>
              </w:rPr>
              <w:t>178,169</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599,017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6"/>
                <w:szCs w:val="16"/>
                <w:color w:val="auto"/>
              </w:rPr>
              <w:t>116,072,991</w:t>
            </w:r>
          </w:p>
        </w:tc>
        <w:tc>
          <w:tcPr>
            <w:tcW w:w="4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gridSpan w:val="2"/>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45"/>
              <w:spacing w:after="0" w:line="115"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2"/>
              </w:rPr>
              <w:t>Members’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1"/>
              <w:spacing w:after="0" w:line="135" w:lineRule="exact"/>
              <w:rPr>
                <w:sz w:val="20"/>
                <w:szCs w:val="20"/>
                <w:color w:val="auto"/>
              </w:rPr>
            </w:pPr>
            <w:r>
              <w:rPr>
                <w:rFonts w:ascii="Arial" w:cs="Arial" w:eastAsia="Arial" w:hAnsi="Arial"/>
                <w:sz w:val="13"/>
                <w:szCs w:val="13"/>
                <w:b w:val="1"/>
                <w:bCs w:val="1"/>
                <w:color w:val="auto"/>
              </w:rPr>
              <w:t>Class A</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gridSpan w:val="4"/>
          </w:tcPr>
          <w:p>
            <w:pPr>
              <w:jc w:val="right"/>
              <w:ind w:right="740"/>
              <w:spacing w:after="0" w:line="135" w:lineRule="exact"/>
              <w:rPr>
                <w:sz w:val="20"/>
                <w:szCs w:val="20"/>
                <w:color w:val="auto"/>
              </w:rPr>
            </w:pPr>
            <w:r>
              <w:rPr>
                <w:rFonts w:ascii="Arial" w:cs="Arial" w:eastAsia="Arial" w:hAnsi="Arial"/>
                <w:sz w:val="13"/>
                <w:szCs w:val="13"/>
                <w:b w:val="1"/>
                <w:bCs w:val="1"/>
                <w:color w:val="auto"/>
              </w:rPr>
              <w:t>Class B-1</w:t>
            </w:r>
          </w:p>
        </w:tc>
        <w:tc>
          <w:tcPr>
            <w:tcW w:w="740" w:type="dxa"/>
            <w:vAlign w:val="bottom"/>
            <w:gridSpan w:val="2"/>
            <w:vMerge w:val="restart"/>
          </w:tcPr>
          <w:p>
            <w:pPr>
              <w:jc w:val="center"/>
              <w:ind w:right="85"/>
              <w:spacing w:after="0"/>
              <w:rPr>
                <w:sz w:val="20"/>
                <w:szCs w:val="20"/>
                <w:color w:val="auto"/>
              </w:rPr>
            </w:pPr>
            <w:r>
              <w:rPr>
                <w:rFonts w:ascii="Arial" w:cs="Arial" w:eastAsia="Arial" w:hAnsi="Arial"/>
                <w:sz w:val="13"/>
                <w:szCs w:val="13"/>
                <w:b w:val="1"/>
                <w:bCs w:val="1"/>
                <w:color w:val="auto"/>
                <w:w w:val="91"/>
              </w:rPr>
              <w:t>Additional</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right"/>
              <w:ind w:right="65"/>
              <w:spacing w:after="0" w:line="122" w:lineRule="exact"/>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0"/>
                <w:szCs w:val="10"/>
                <w:color w:val="auto"/>
              </w:rPr>
            </w:pPr>
          </w:p>
        </w:tc>
        <w:tc>
          <w:tcPr>
            <w:tcW w:w="1700" w:type="dxa"/>
            <w:vAlign w:val="bottom"/>
            <w:gridSpan w:val="4"/>
          </w:tcPr>
          <w:p>
            <w:pPr>
              <w:jc w:val="right"/>
              <w:ind w:right="560"/>
              <w:spacing w:after="0" w:line="122" w:lineRule="exact"/>
              <w:rPr>
                <w:sz w:val="20"/>
                <w:szCs w:val="20"/>
                <w:color w:val="auto"/>
              </w:rPr>
            </w:pPr>
            <w:r>
              <w:rPr>
                <w:rFonts w:ascii="Arial" w:cs="Arial" w:eastAsia="Arial" w:hAnsi="Arial"/>
                <w:sz w:val="13"/>
                <w:szCs w:val="13"/>
                <w:b w:val="1"/>
                <w:bCs w:val="1"/>
                <w:color w:val="auto"/>
              </w:rPr>
              <w:t>Common Stock</w:t>
            </w:r>
          </w:p>
        </w:tc>
        <w:tc>
          <w:tcPr>
            <w:tcW w:w="7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equity and</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840" w:type="dxa"/>
            <w:vAlign w:val="bottom"/>
            <w:gridSpan w:val="3"/>
            <w:vMerge w:val="restart"/>
          </w:tcPr>
          <w:p>
            <w:pPr>
              <w:jc w:val="right"/>
              <w:ind w:right="63"/>
              <w:spacing w:after="0" w:line="122"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4"/>
                <w:szCs w:val="4"/>
                <w:color w:val="auto"/>
              </w:rPr>
            </w:pPr>
          </w:p>
        </w:tc>
        <w:tc>
          <w:tcPr>
            <w:tcW w:w="80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87"/>
              </w:rPr>
              <w:t>capital</w:t>
            </w: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restart"/>
          </w:tcPr>
          <w:p>
            <w:pPr>
              <w:jc w:val="center"/>
              <w:ind w:right="105"/>
              <w:spacing w:after="0" w:line="122" w:lineRule="exact"/>
              <w:rPr>
                <w:sz w:val="20"/>
                <w:szCs w:val="20"/>
                <w:color w:val="auto"/>
              </w:rPr>
            </w:pPr>
            <w:r>
              <w:rPr>
                <w:rFonts w:ascii="Arial" w:cs="Arial" w:eastAsia="Arial" w:hAnsi="Arial"/>
                <w:sz w:val="13"/>
                <w:szCs w:val="13"/>
                <w:b w:val="1"/>
                <w:bCs w:val="1"/>
                <w:color w:val="auto"/>
                <w:w w:val="92"/>
              </w:rPr>
              <w:t>Paid-In</w:t>
            </w:r>
          </w:p>
        </w:tc>
        <w:tc>
          <w:tcPr>
            <w:tcW w:w="920" w:type="dxa"/>
            <w:vAlign w:val="bottom"/>
            <w:gridSpan w:val="3"/>
            <w:vMerge w:val="restart"/>
          </w:tcPr>
          <w:p>
            <w:pPr>
              <w:jc w:val="right"/>
              <w:ind w:right="28"/>
              <w:spacing w:after="0" w:line="122" w:lineRule="exact"/>
              <w:rPr>
                <w:sz w:val="20"/>
                <w:szCs w:val="20"/>
                <w:color w:val="auto"/>
              </w:rPr>
            </w:pPr>
            <w:r>
              <w:rPr>
                <w:rFonts w:ascii="Arial" w:cs="Arial" w:eastAsia="Arial" w:hAnsi="Arial"/>
                <w:sz w:val="13"/>
                <w:szCs w:val="13"/>
                <w:b w:val="1"/>
                <w:bCs w:val="1"/>
                <w:color w:val="auto"/>
                <w:w w:val="97"/>
              </w:rPr>
              <w:t>Accumulated</w:t>
            </w:r>
          </w:p>
        </w:tc>
        <w:tc>
          <w:tcPr>
            <w:tcW w:w="960" w:type="dxa"/>
            <w:vAlign w:val="bottom"/>
            <w:gridSpan w:val="3"/>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4"/>
            <w:vMerge w:val="restart"/>
          </w:tcPr>
          <w:p>
            <w:pPr>
              <w:ind w:left="40"/>
              <w:spacing w:after="0" w:line="122" w:lineRule="exact"/>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120"/>
              <w:spacing w:after="0" w:line="122" w:lineRule="exact"/>
              <w:rPr>
                <w:sz w:val="20"/>
                <w:szCs w:val="20"/>
                <w:color w:val="auto"/>
              </w:rPr>
            </w:pPr>
            <w:r>
              <w:rPr>
                <w:rFonts w:ascii="Arial" w:cs="Arial" w:eastAsia="Arial" w:hAnsi="Arial"/>
                <w:sz w:val="13"/>
                <w:szCs w:val="13"/>
                <w:b w:val="1"/>
                <w:bCs w:val="1"/>
                <w:color w:val="auto"/>
              </w:rPr>
              <w:t>members’</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6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contributions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b w:val="1"/>
                <w:bCs w:val="1"/>
                <w:color w:val="auto"/>
                <w:w w:val="96"/>
              </w:rPr>
              <w:t>Shares</w:t>
            </w:r>
          </w:p>
        </w:tc>
        <w:tc>
          <w:tcPr>
            <w:tcW w:w="920" w:type="dxa"/>
            <w:vAlign w:val="bottom"/>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164"/>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Amount</w:t>
            </w:r>
          </w:p>
        </w:tc>
        <w:tc>
          <w:tcPr>
            <w:tcW w:w="740" w:type="dxa"/>
            <w:vAlign w:val="bottom"/>
            <w:gridSpan w:val="2"/>
          </w:tcPr>
          <w:p>
            <w:pPr>
              <w:jc w:val="center"/>
              <w:ind w:right="65"/>
              <w:spacing w:after="0"/>
              <w:rPr>
                <w:sz w:val="20"/>
                <w:szCs w:val="20"/>
                <w:color w:val="auto"/>
              </w:rPr>
            </w:pPr>
            <w:r>
              <w:rPr>
                <w:rFonts w:ascii="Arial" w:cs="Arial" w:eastAsia="Arial" w:hAnsi="Arial"/>
                <w:sz w:val="13"/>
                <w:szCs w:val="13"/>
                <w:b w:val="1"/>
                <w:bCs w:val="1"/>
                <w:color w:val="auto"/>
                <w:w w:val="92"/>
              </w:rPr>
              <w:t>Capital</w:t>
            </w:r>
          </w:p>
        </w:tc>
        <w:tc>
          <w:tcPr>
            <w:tcW w:w="920" w:type="dxa"/>
            <w:vAlign w:val="bottom"/>
            <w:gridSpan w:val="3"/>
          </w:tcPr>
          <w:p>
            <w:pPr>
              <w:jc w:val="right"/>
              <w:ind w:right="208"/>
              <w:spacing w:after="0"/>
              <w:rPr>
                <w:sz w:val="20"/>
                <w:szCs w:val="20"/>
                <w:color w:val="auto"/>
              </w:rPr>
            </w:pPr>
            <w:r>
              <w:rPr>
                <w:rFonts w:ascii="Arial" w:cs="Arial" w:eastAsia="Arial" w:hAnsi="Arial"/>
                <w:sz w:val="13"/>
                <w:szCs w:val="13"/>
                <w:b w:val="1"/>
                <w:bCs w:val="1"/>
                <w:color w:val="auto"/>
              </w:rPr>
              <w:t>Deficit</w:t>
            </w:r>
          </w:p>
        </w:tc>
        <w:tc>
          <w:tcPr>
            <w:tcW w:w="96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Income (Loss)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35"/>
        </w:trPr>
        <w:tc>
          <w:tcPr>
            <w:tcW w:w="13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Balance at</w:t>
            </w:r>
          </w:p>
        </w:tc>
        <w:tc>
          <w:tcPr>
            <w:tcW w:w="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117,235</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106,152</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right"/>
              <w:ind w:right="101"/>
              <w:spacing w:after="0"/>
              <w:rPr>
                <w:sz w:val="20"/>
                <w:szCs w:val="20"/>
                <w:color w:val="auto"/>
              </w:rPr>
            </w:pPr>
            <w:r>
              <w:rPr>
                <w:rFonts w:ascii="Arial" w:cs="Arial" w:eastAsia="Arial" w:hAnsi="Arial"/>
                <w:sz w:val="16"/>
                <w:szCs w:val="16"/>
                <w:color w:val="auto"/>
              </w:rPr>
              <w:t>— $</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rPr>
              <w:t>— $</w:t>
            </w:r>
          </w:p>
        </w:tc>
        <w:tc>
          <w:tcPr>
            <w:tcW w:w="82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6"/>
                <w:szCs w:val="16"/>
                <w:color w:val="auto"/>
              </w:rPr>
              <w:t>— $</w:t>
            </w: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6"/>
                <w:szCs w:val="16"/>
                <w:color w:val="auto"/>
              </w:rPr>
              <w:t>— $  (279,301)</w:t>
            </w:r>
          </w:p>
        </w:tc>
        <w:tc>
          <w:tcPr>
            <w:tcW w:w="22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(173,434)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w w:val="97"/>
              </w:rPr>
              <w:t>September 30, 2021</w:t>
            </w:r>
          </w:p>
        </w:tc>
        <w:tc>
          <w:tcPr>
            <w:tcW w:w="1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4"/>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3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loss prior to the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(20,317)</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w w:val="95"/>
              </w:rPr>
              <w:t>Other comprehensive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line="143" w:lineRule="exact"/>
              <w:rPr>
                <w:sz w:val="20"/>
                <w:szCs w:val="20"/>
                <w:color w:val="auto"/>
              </w:rPr>
            </w:pPr>
            <w:r>
              <w:rPr>
                <w:rFonts w:ascii="Arial" w:cs="Arial" w:eastAsia="Arial" w:hAnsi="Arial"/>
                <w:sz w:val="14"/>
                <w:szCs w:val="14"/>
                <w:color w:val="auto"/>
              </w:rPr>
              <w:t>gain prior to the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Transactions, net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Pr>
          <w:p>
            <w:pPr>
              <w:ind w:left="20"/>
              <w:spacing w:after="0" w:line="141" w:lineRule="exact"/>
              <w:rPr>
                <w:sz w:val="20"/>
                <w:szCs w:val="20"/>
                <w:color w:val="auto"/>
              </w:rPr>
            </w:pPr>
            <w:r>
              <w:rPr>
                <w:rFonts w:ascii="Arial" w:cs="Arial" w:eastAsia="Arial" w:hAnsi="Arial"/>
                <w:sz w:val="14"/>
                <w:szCs w:val="14"/>
                <w:color w:val="auto"/>
                <w:w w:val="99"/>
              </w:rPr>
              <w:t>income tax benefit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320" w:type="dxa"/>
            <w:vAlign w:val="bottom"/>
          </w:tcPr>
          <w:p>
            <w:pPr>
              <w:ind w:left="20"/>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3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Effect of the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Organization</w:t>
            </w:r>
          </w:p>
        </w:tc>
        <w:tc>
          <w:tcPr>
            <w:tcW w:w="1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(117,235)</w:t>
            </w:r>
          </w:p>
        </w:tc>
        <w:tc>
          <w:tcPr>
            <w:tcW w:w="120" w:type="dxa"/>
            <w:vAlign w:val="bottom"/>
            <w:shd w:val="clear" w:color="auto" w:fill="CCEEFF"/>
          </w:tcPr>
          <w:p>
            <w:pPr>
              <w:spacing w:after="0"/>
              <w:rPr>
                <w:sz w:val="12"/>
                <w:szCs w:val="12"/>
                <w:color w:val="auto"/>
              </w:rPr>
            </w:pPr>
          </w:p>
        </w:tc>
        <w:tc>
          <w:tcPr>
            <w:tcW w:w="1660" w:type="dxa"/>
            <w:vAlign w:val="bottom"/>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(106,152) 18,493,275</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w w:val="98"/>
              </w:rPr>
              <w:t>— 117,173,390</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(24,091)</w:t>
            </w:r>
          </w:p>
        </w:tc>
        <w:tc>
          <w:tcPr>
            <w:tcW w:w="3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279,301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(31,899)</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5"/>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Issuance of class 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line="143" w:lineRule="exact"/>
              <w:rPr>
                <w:sz w:val="20"/>
                <w:szCs w:val="20"/>
                <w:color w:val="auto"/>
              </w:rPr>
            </w:pPr>
            <w:r>
              <w:rPr>
                <w:rFonts w:ascii="Arial" w:cs="Arial" w:eastAsia="Arial" w:hAnsi="Arial"/>
                <w:sz w:val="14"/>
                <w:szCs w:val="14"/>
                <w:color w:val="auto"/>
              </w:rPr>
              <w:t>common stock 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IPO, net of issuance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auto"/>
                <w:w w:val="97"/>
              </w:rPr>
              <w:t>35,650,000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295,740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640,022</w:t>
            </w:r>
          </w:p>
        </w:tc>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935,762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320" w:type="dxa"/>
            <w:vAlign w:val="bottom"/>
          </w:tcPr>
          <w:p>
            <w:pPr>
              <w:ind w:left="2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3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loss subsequent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(28,805)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(62,338)</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the transactions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Activity under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line="143" w:lineRule="exact"/>
              <w:rPr>
                <w:sz w:val="20"/>
                <w:szCs w:val="20"/>
                <w:color w:val="auto"/>
              </w:rPr>
            </w:pPr>
            <w:r>
              <w:rPr>
                <w:rFonts w:ascii="Arial" w:cs="Arial" w:eastAsia="Arial" w:hAnsi="Arial"/>
                <w:sz w:val="14"/>
                <w:szCs w:val="14"/>
                <w:color w:val="auto"/>
                <w:w w:val="99"/>
              </w:rPr>
              <w:t>based compensation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9,698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320" w:type="dxa"/>
            <w:vAlign w:val="bottom"/>
          </w:tcPr>
          <w:p>
            <w:pPr>
              <w:ind w:left="2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3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Other comprehensive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gain subsequent to</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the Transactions, net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of income tax</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expense of $0</w:t>
            </w: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320" w:type="dxa"/>
            <w:vAlign w:val="bottom"/>
          </w:tcPr>
          <w:p>
            <w:pPr>
              <w:ind w:left="20"/>
              <w:spacing w:after="0" w:line="132" w:lineRule="exact"/>
              <w:rPr>
                <w:sz w:val="20"/>
                <w:szCs w:val="20"/>
                <w:color w:val="auto"/>
              </w:rPr>
            </w:pPr>
            <w:r>
              <w:rPr>
                <w:rFonts w:ascii="Arial" w:cs="Arial" w:eastAsia="Arial" w:hAnsi="Arial"/>
                <w:sz w:val="14"/>
                <w:szCs w:val="14"/>
                <w:b w:val="1"/>
                <w:bCs w:val="1"/>
                <w:color w:val="auto"/>
              </w:rPr>
              <w:t>Balance at</w:t>
            </w:r>
          </w:p>
        </w:tc>
        <w:tc>
          <w:tcPr>
            <w:tcW w:w="180" w:type="dxa"/>
            <w:vAlign w:val="bottom"/>
            <w:vMerge w:val="restart"/>
          </w:tcPr>
          <w:p>
            <w:pPr>
              <w:jc w:val="right"/>
              <w:ind w:right="2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color w:val="auto"/>
                <w:w w:val="97"/>
              </w:rPr>
              <w:t>54,143,275</w:t>
            </w: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color w:val="auto"/>
                <w:w w:val="98"/>
              </w:rPr>
              <w:t>— 117,173,390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281,347</w:t>
            </w:r>
          </w:p>
        </w:tc>
        <w:tc>
          <w:tcPr>
            <w:tcW w:w="340" w:type="dxa"/>
            <w:vAlign w:val="bottom"/>
            <w:vMerge w:val="restart"/>
          </w:tcPr>
          <w:p>
            <w:pPr>
              <w:jc w:val="right"/>
              <w:ind w:right="163"/>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spacing w:after="0"/>
              <w:rPr>
                <w:sz w:val="20"/>
                <w:szCs w:val="20"/>
                <w:color w:val="auto"/>
              </w:rPr>
            </w:pPr>
            <w:r>
              <w:rPr>
                <w:rFonts w:ascii="Arial" w:cs="Arial" w:eastAsia="Arial" w:hAnsi="Arial"/>
                <w:sz w:val="16"/>
                <w:szCs w:val="16"/>
                <w:color w:val="auto"/>
                <w:w w:val="93"/>
              </w:rPr>
              <w:t>(28,805)</w:t>
            </w:r>
          </w:p>
        </w:tc>
        <w:tc>
          <w:tcPr>
            <w:tcW w:w="220" w:type="dxa"/>
            <w:vAlign w:val="bottom"/>
            <w:vMerge w:val="restart"/>
          </w:tcPr>
          <w:p>
            <w:pPr>
              <w:jc w:val="right"/>
              <w:ind w:right="2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525,553</w:t>
            </w:r>
          </w:p>
        </w:tc>
        <w:tc>
          <w:tcPr>
            <w:tcW w:w="20" w:type="dxa"/>
            <w:vAlign w:val="bottom"/>
          </w:tcPr>
          <w:p>
            <w:pPr>
              <w:spacing w:after="0"/>
              <w:rPr>
                <w:sz w:val="11"/>
                <w:szCs w:val="11"/>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778,100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gridSpan w:val="3"/>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6"/>
                <w:szCs w:val="16"/>
                <w:b w:val="1"/>
                <w:bCs w:val="1"/>
                <w:color w:val="auto"/>
                <w:w w:val="92"/>
              </w:rPr>
              <w:t>Three Months Ended December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D2EDF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2EDFE"/>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D2EDFE"/>
          </w:tcPr>
          <w:p>
            <w:pPr>
              <w:spacing w:after="0"/>
              <w:rPr>
                <w:sz w:val="18"/>
                <w:szCs w:val="18"/>
                <w:color w:val="auto"/>
              </w:rPr>
            </w:pPr>
          </w:p>
        </w:tc>
        <w:tc>
          <w:tcPr>
            <w:tcW w:w="122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320" w:type="dxa"/>
            <w:vAlign w:val="bottom"/>
            <w:shd w:val="clear" w:color="auto" w:fill="D2EDFE"/>
          </w:tcPr>
          <w:p>
            <w:pPr>
              <w:spacing w:after="0"/>
              <w:rPr>
                <w:sz w:val="18"/>
                <w:szCs w:val="18"/>
                <w:color w:val="auto"/>
              </w:rPr>
            </w:pPr>
          </w:p>
        </w:tc>
        <w:tc>
          <w:tcPr>
            <w:tcW w:w="1040" w:type="dxa"/>
            <w:vAlign w:val="bottom"/>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(111,460)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420" w:type="dxa"/>
            <w:vAlign w:val="bottom"/>
          </w:tcPr>
          <w:p>
            <w:pPr>
              <w:ind w:left="240"/>
              <w:spacing w:after="0"/>
              <w:rPr>
                <w:sz w:val="20"/>
                <w:szCs w:val="20"/>
                <w:color w:val="auto"/>
              </w:rPr>
            </w:pPr>
            <w:r>
              <w:rPr>
                <w:rFonts w:ascii="Arial" w:cs="Arial" w:eastAsia="Arial" w:hAnsi="Arial"/>
                <w:sz w:val="18"/>
                <w:szCs w:val="18"/>
                <w:color w:val="auto"/>
              </w:rPr>
              <w:t>Inventory provision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8,477</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24,877</w:t>
            </w:r>
          </w:p>
        </w:tc>
        <w:tc>
          <w:tcPr>
            <w:tcW w:w="0" w:type="dxa"/>
            <w:vAlign w:val="bottom"/>
          </w:tcPr>
          <w:p>
            <w:pPr>
              <w:spacing w:after="0"/>
              <w:rPr>
                <w:sz w:val="1"/>
                <w:szCs w:val="1"/>
                <w:color w:val="auto"/>
              </w:rPr>
            </w:pP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Provision (benefit) on loss contracts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29"/>
        </w:trPr>
        <w:tc>
          <w:tcPr>
            <w:tcW w:w="84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(21,821)</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29"/>
        </w:trPr>
        <w:tc>
          <w:tcPr>
            <w:tcW w:w="8420" w:type="dxa"/>
            <w:vAlign w:val="bottom"/>
          </w:tcPr>
          <w:p>
            <w:pPr>
              <w:ind w:left="460"/>
              <w:spacing w:after="0"/>
              <w:rPr>
                <w:sz w:val="20"/>
                <w:szCs w:val="20"/>
                <w:color w:val="auto"/>
              </w:rPr>
            </w:pPr>
            <w:r>
              <w:rPr>
                <w:rFonts w:ascii="Arial" w:cs="Arial" w:eastAsia="Arial" w:hAnsi="Arial"/>
                <w:sz w:val="18"/>
                <w:szCs w:val="18"/>
                <w:color w:val="auto"/>
              </w:rPr>
              <w:t>Unbilled receivables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Receivables from related parties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55,349</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30"/>
        </w:trPr>
        <w:tc>
          <w:tcPr>
            <w:tcW w:w="8420" w:type="dxa"/>
            <w:vAlign w:val="bottom"/>
          </w:tcPr>
          <w:p>
            <w:pPr>
              <w:ind w:left="460"/>
              <w:spacing w:after="0"/>
              <w:rPr>
                <w:sz w:val="20"/>
                <w:szCs w:val="20"/>
                <w:color w:val="auto"/>
              </w:rPr>
            </w:pPr>
            <w:r>
              <w:rPr>
                <w:rFonts w:ascii="Arial" w:cs="Arial" w:eastAsia="Arial" w:hAnsi="Arial"/>
                <w:sz w:val="18"/>
                <w:szCs w:val="18"/>
                <w:color w:val="auto"/>
              </w:rPr>
              <w:t>Advances to suppliers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(30,845)</w:t>
            </w: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(430,541)</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29"/>
        </w:trPr>
        <w:tc>
          <w:tcPr>
            <w:tcW w:w="842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29"/>
        </w:trPr>
        <w:tc>
          <w:tcPr>
            <w:tcW w:w="84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(59,244)</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Payables and deferred revenue with related parties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51,716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(21,904)</w:t>
            </w:r>
          </w:p>
        </w:tc>
        <w:tc>
          <w:tcPr>
            <w:tcW w:w="0" w:type="dxa"/>
            <w:vAlign w:val="bottom"/>
          </w:tcPr>
          <w:p>
            <w:pPr>
              <w:spacing w:after="0"/>
              <w:rPr>
                <w:sz w:val="1"/>
                <w:szCs w:val="1"/>
                <w:color w:val="auto"/>
              </w:rPr>
            </w:pPr>
          </w:p>
        </w:tc>
      </w:tr>
      <w:tr>
        <w:trPr>
          <w:trHeight w:val="229"/>
        </w:trPr>
        <w:tc>
          <w:tcPr>
            <w:tcW w:w="84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74,400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Current accruals and provisions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29"/>
        </w:trPr>
        <w:tc>
          <w:tcPr>
            <w:tcW w:w="8420" w:type="dxa"/>
            <w:vAlign w:val="bottom"/>
          </w:tcPr>
          <w:p>
            <w:pPr>
              <w:ind w:left="46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D2EDFE"/>
            </w:tcBorders>
          </w:tcPr>
          <w:p>
            <w:pPr>
              <w:ind w:left="46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(88,898)</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(191,551)</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maturities of short-term investments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Payments for purchase of investment in joint venture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w w:val="92"/>
              </w:rPr>
              <w:t>Proceeds from issuance of Class A common stock sold in an IPO, net of underwriting discounts and commissions</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947,991</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IPO costs</w:t>
            </w:r>
          </w:p>
        </w:tc>
        <w:tc>
          <w:tcPr>
            <w:tcW w:w="14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Payment of transaction cost related to issuance of Class B membership units</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debt issuance costs</w:t>
            </w:r>
          </w:p>
        </w:tc>
        <w:tc>
          <w:tcPr>
            <w:tcW w:w="14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Repayment of line of credit</w:t>
            </w:r>
          </w:p>
        </w:tc>
        <w:tc>
          <w:tcPr>
            <w:tcW w:w="14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Proceeds from borrowing against note receivable - pledged as collateral</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23,252</w:t>
            </w:r>
          </w:p>
        </w:tc>
        <w:tc>
          <w:tcPr>
            <w:tcW w:w="100" w:type="dxa"/>
            <w:vAlign w:val="bottom"/>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833,487</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(77,753)</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641,346</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D2EDFE"/>
            </w:tcBorders>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c>
          <w:tcPr>
            <w:tcW w:w="100" w:type="dxa"/>
            <w:vAlign w:val="bottom"/>
            <w:tcBorders>
              <w:bottom w:val="single" w:sz="8" w:color="D2ED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38,069</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351,968</w:t>
            </w:r>
          </w:p>
        </w:tc>
        <w:tc>
          <w:tcPr>
            <w:tcW w:w="100" w:type="dxa"/>
            <w:vAlign w:val="bottom"/>
            <w:tcBorders>
              <w:bottom w:val="single" w:sz="8" w:color="D2EDFE"/>
            </w:tcBorders>
            <w:shd w:val="clear" w:color="auto" w:fill="D2EDFE"/>
          </w:tcPr>
          <w:p>
            <w:pPr>
              <w:spacing w:after="0"/>
              <w:rPr>
                <w:sz w:val="21"/>
                <w:szCs w:val="21"/>
                <w:color w:val="auto"/>
              </w:rPr>
            </w:pPr>
          </w:p>
        </w:tc>
        <w:tc>
          <w:tcPr>
            <w:tcW w:w="320" w:type="dxa"/>
            <w:vAlign w:val="bottom"/>
            <w:tcBorders>
              <w:bottom w:val="single" w:sz="8" w:color="auto"/>
            </w:tcBorders>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679,415</w:t>
            </w:r>
          </w:p>
        </w:tc>
        <w:tc>
          <w:tcPr>
            <w:tcW w:w="0" w:type="dxa"/>
            <w:vAlign w:val="bottom"/>
          </w:tcPr>
          <w:p>
            <w:pPr>
              <w:spacing w:after="0"/>
              <w:rPr>
                <w:sz w:val="1"/>
                <w:szCs w:val="1"/>
                <w:color w:val="auto"/>
              </w:rPr>
            </w:pPr>
          </w:p>
        </w:tc>
      </w:tr>
      <w:tr>
        <w:trPr>
          <w:trHeight w:val="20"/>
        </w:trPr>
        <w:tc>
          <w:tcPr>
            <w:tcW w:w="8420" w:type="dxa"/>
            <w:vAlign w:val="bottom"/>
            <w:tcBorders>
              <w:top w:val="single" w:sz="8" w:color="D2EDFE"/>
              <w:bottom w:val="single" w:sz="8" w:color="D2EDFE"/>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Flows Information</w:t>
            </w:r>
          </w:p>
        </w:tc>
        <w:tc>
          <w:tcPr>
            <w:tcW w:w="140" w:type="dxa"/>
            <w:vAlign w:val="bottom"/>
            <w:tcBorders>
              <w:top w:val="single" w:sz="8" w:color="D2EDFE"/>
              <w:bottom w:val="single" w:sz="8" w:color="auto"/>
            </w:tcBorders>
          </w:tcPr>
          <w:p>
            <w:pPr>
              <w:spacing w:after="0" w:line="20" w:lineRule="exact"/>
              <w:rPr>
                <w:sz w:val="1"/>
                <w:szCs w:val="1"/>
                <w:color w:val="auto"/>
              </w:rPr>
            </w:pPr>
          </w:p>
        </w:tc>
        <w:tc>
          <w:tcPr>
            <w:tcW w:w="12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2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98"/>
        </w:trPr>
        <w:tc>
          <w:tcPr>
            <w:tcW w:w="1280" w:type="dxa"/>
            <w:vAlign w:val="bottom"/>
            <w:tcBorders>
              <w:top w:val="single" w:sz="8" w:color="0000FF"/>
            </w:tcBorders>
          </w:tcPr>
          <w:p>
            <w:pPr>
              <w:spacing w:after="0"/>
              <w:rPr>
                <w:sz w:val="24"/>
                <w:szCs w:val="24"/>
                <w:color w:val="auto"/>
              </w:rPr>
            </w:pPr>
          </w:p>
        </w:tc>
        <w:tc>
          <w:tcPr>
            <w:tcW w:w="6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7300" w:type="dxa"/>
            <w:vAlign w:val="bottom"/>
            <w:gridSpan w:val="2"/>
            <w:shd w:val="clear" w:color="auto" w:fill="D2EDFE"/>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2940" w:type="dxa"/>
            <w:vAlign w:val="bottom"/>
            <w:shd w:val="clear" w:color="auto" w:fill="D2EDFE"/>
          </w:tcPr>
          <w:p>
            <w:pPr>
              <w:spacing w:after="0"/>
              <w:rPr>
                <w:sz w:val="19"/>
                <w:szCs w:val="19"/>
                <w:color w:val="auto"/>
              </w:rPr>
            </w:pPr>
          </w:p>
        </w:tc>
        <w:tc>
          <w:tcPr>
            <w:tcW w:w="1000" w:type="dxa"/>
            <w:vAlign w:val="bottom"/>
            <w:shd w:val="clear" w:color="auto" w:fill="D2EDFE"/>
          </w:tcPr>
          <w:p>
            <w:pPr>
              <w:spacing w:after="0"/>
              <w:rPr>
                <w:sz w:val="19"/>
                <w:szCs w:val="19"/>
                <w:color w:val="auto"/>
              </w:rPr>
            </w:pP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Reclassification of deferred offering costs to additional paid-in capital</w:t>
            </w:r>
          </w:p>
        </w:tc>
        <w:tc>
          <w:tcPr>
            <w:tcW w:w="2940" w:type="dxa"/>
            <w:vAlign w:val="bottom"/>
          </w:tcPr>
          <w:p>
            <w:pPr>
              <w:ind w:left="2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6,764</w:t>
            </w:r>
          </w:p>
        </w:tc>
      </w:tr>
      <w:tr>
        <w:trPr>
          <w:trHeight w:val="229"/>
        </w:trPr>
        <w:tc>
          <w:tcPr>
            <w:tcW w:w="730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IPO costs included in accounts payable</w:t>
            </w:r>
          </w:p>
        </w:tc>
        <w:tc>
          <w:tcPr>
            <w:tcW w:w="2940" w:type="dxa"/>
            <w:vAlign w:val="bottom"/>
            <w:shd w:val="clear" w:color="auto" w:fill="D2EDFE"/>
          </w:tcPr>
          <w:p>
            <w:pPr>
              <w:ind w:left="2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4,865</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will be consolidated in our financial statements. Fluence Energy, LLC is taxed as a partnership for federal income tax purposes and, as a result, its members, including Fluence Energy, Inc. will pay income taxes with respect to their allocable shares of its net taxable income. As of December 31, 2022, Fluence Energy, LLC had subsidiaries operating in Germany, Australia, Philippines, Chile, the Netherlands, the United States, India, Singapore, and Switzerland. Except where the context clearly indicates otherwise, “Fluence,” “we,” “us,” “our” or the “Company” refers to Fluence Energy, Inc. and all of its direct and indirect subsidiaries, including Fluence Energy, LLC. When used in a historical context that is prior to the completion of the IPO, “we,” “us,” “our” or “the Company” refers to Fluence Energy, LLC and its subsidiaries.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fiscal year begins on October 1 and ends on September 30. References to “fiscal year 2021” and “fiscal year 2022” refer to the fiscal years ended September 30, 2021 and September 30, 2022, respectively.</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 66.46% interest as of December 31, 2022.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 The table below summarizes the ownership structure at end of each respective period:</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6860" w:type="dxa"/>
            <w:vAlign w:val="bottom"/>
            <w:tcBorders>
              <w:top w:val="single" w:sz="8" w:color="auto"/>
              <w:bottom w:val="single" w:sz="8" w:color="auto"/>
            </w:tcBorders>
          </w:tcPr>
          <w:p>
            <w:pPr>
              <w:ind w:left="5380"/>
              <w:spacing w:after="0"/>
              <w:rPr>
                <w:sz w:val="20"/>
                <w:szCs w:val="20"/>
                <w:color w:val="auto"/>
              </w:rPr>
            </w:pPr>
            <w:r>
              <w:rPr>
                <w:rFonts w:ascii="Arial" w:cs="Arial" w:eastAsia="Arial" w:hAnsi="Arial"/>
                <w:sz w:val="18"/>
                <w:szCs w:val="18"/>
                <w:b w:val="1"/>
                <w:bCs w:val="1"/>
                <w:color w:val="auto"/>
                <w:w w:val="90"/>
              </w:rPr>
              <w:t>December 31, 2022</w:t>
            </w:r>
          </w:p>
        </w:tc>
        <w:tc>
          <w:tcPr>
            <w:tcW w:w="96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 Ownership</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66.46 %</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66.22 %</w:t>
            </w: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Ownership (AES)</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33.54 %</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as of December 31, 2022, and for the three months ended December 31, 2022 and 2021 are unaudited. These financial statements should be read in conjunction with the Company’s audited financial statements included in our 2022 Annual Report. In our opinion, such unaudited financial statements reflect all adjustments, including normal recurring items, that are necessary for the fair statement of the Company’s financial position as of December 31, 2022, the results of its operations for the three months ended December 31, 2022 and 2021, and its cash flows for the three months ended December 31, 2022 and 2021. The financial data and other information disclosed in these notes related to the three months ended December 31, 2022 and 2021 are also unaudited. The results for the three months ended December 31, 2022 and 2021 are not necessarily indicative of results for the full year ending September 30, 2023 and 2022, any other interim periods, or any future year or period. The balance sheet as of September 30, 2022 included herein was derived from the audited financial statements as of that date. Certain disclosures have been condensed or omitted from the interim financial statements.</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a complete description of our significant accounting policies, refer to Note 2 - </w:t>
      </w:r>
      <w:r>
        <w:rPr>
          <w:rFonts w:ascii="Arial" w:cs="Arial" w:eastAsia="Arial" w:hAnsi="Arial"/>
          <w:sz w:val="17"/>
          <w:szCs w:val="17"/>
          <w:i w:val="1"/>
          <w:iCs w:val="1"/>
          <w:color w:val="auto"/>
        </w:rPr>
        <w:t>Summary of Significant Accounting Policies and Estimates</w:t>
      </w:r>
      <w:r>
        <w:rPr>
          <w:rFonts w:ascii="Arial" w:cs="Arial" w:eastAsia="Arial" w:hAnsi="Arial"/>
          <w:sz w:val="17"/>
          <w:szCs w:val="17"/>
          <w:color w:val="auto"/>
        </w:rPr>
        <w:t xml:space="preserve"> to the audited consolidated financial statements included in our 2022 Annual Report. We include herein certain updates to those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 related provisions including but not limited to estimated losses, warranty obligations, and liquidated damages.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as a separate line item on the Company’s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shown in the Company’s condensed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December 31, 2022</w:t>
            </w:r>
          </w:p>
        </w:tc>
        <w:tc>
          <w:tcPr>
            <w:tcW w:w="2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5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55,233</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62,425</w:t>
            </w: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39"/>
        </w:trPr>
        <w:tc>
          <w:tcPr>
            <w:tcW w:w="6300" w:type="dxa"/>
            <w:vAlign w:val="bottom"/>
          </w:tcPr>
          <w:p>
            <w:pPr>
              <w:ind w:left="340"/>
              <w:spacing w:after="0"/>
              <w:rPr>
                <w:sz w:val="20"/>
                <w:szCs w:val="20"/>
                <w:color w:val="auto"/>
              </w:rPr>
            </w:pPr>
            <w:r>
              <w:rPr>
                <w:rFonts w:ascii="Arial" w:cs="Arial" w:eastAsia="Arial" w:hAnsi="Arial"/>
                <w:sz w:val="18"/>
                <w:szCs w:val="18"/>
                <w:color w:val="auto"/>
              </w:rPr>
              <w:t>Restricted cash consisted of the following:</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6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December 31, 2022</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37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credit card program</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Collateral for outstanding bank guarantees</w:t>
            </w:r>
          </w:p>
        </w:tc>
        <w:tc>
          <w:tcPr>
            <w:tcW w:w="15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53,332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60,845</w:t>
            </w: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Collateral for surety program included in “Other non-current assets”</w:t>
            </w:r>
          </w:p>
        </w:tc>
        <w:tc>
          <w:tcPr>
            <w:tcW w:w="15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restricted cash</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72,425</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1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Company’s revenue recognition policy included herein is based on the application of ASC 606. As of December 31, 2022, the Company’s revenue was generated primarily from sale of energy storage products and solutions, providing operational services, and digital applications and solutions.</w:t>
      </w:r>
    </w:p>
    <w:p>
      <w:pPr>
        <w:spacing w:after="0" w:line="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Revenue from Sale of Energy Storage Products and Solutions: </w:t>
      </w:r>
      <w:r>
        <w:rPr>
          <w:rFonts w:ascii="Arial" w:cs="Arial" w:eastAsia="Arial" w:hAnsi="Arial"/>
          <w:sz w:val="17"/>
          <w:szCs w:val="17"/>
          <w:color w:val="auto"/>
        </w:rPr>
        <w:t>The Company enters into contracts with utility companies, developers,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and industrial customers to design and build battery-based energy storage products and solutions. Each storage product and or solution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and solutions are determined to have one performance obligation. The Company believes that the prices negotiated with each individual customer are representative of the stand-alone selling price of the product.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over time as a result of the continuous transfer of control of our product to the customer. This continuous transfer of control to the customer is supported by clauses in the contracts that provide enforceable rights to payment of the transaction price associated with work performed to date for products that do not have an alternative use to the Company and/or the project is built on customer’s land that is under the customer’s control.</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Revenue for these performance obligations is recognized using the percentage of completion method based on cost incurred as a percentage of total estimated contract costs. Standard inventory materials that could be used interchangeably on other projects are included in our measure of progress when they are integrated into, or restricted to, the production of the customer’s project.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Arial" w:cs="Arial" w:eastAsia="Arial" w:hAnsi="Arial"/>
          <w:sz w:val="16"/>
          <w:szCs w:val="16"/>
          <w:i w:val="1"/>
          <w:iCs w:val="1"/>
          <w:color w:val="auto"/>
        </w:rPr>
        <w:t>“Loss Contracts”</w:t>
      </w:r>
      <w:r>
        <w:rPr>
          <w:rFonts w:ascii="Arial" w:cs="Arial" w:eastAsia="Arial" w:hAnsi="Arial"/>
          <w:sz w:val="16"/>
          <w:szCs w:val="16"/>
          <w:color w:val="auto"/>
        </w:rPr>
        <w:t xml:space="preserve"> below for further discussion.</w:t>
      </w:r>
    </w:p>
    <w:p>
      <w:pPr>
        <w:spacing w:after="0" w:line="9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contracts generally provide our customers the right to liquidated damages (“LDs”) against Fluence in the event specified milestones are not met on time or equipment is not delivered according to contract specifications. LDs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At times Fluence will incur additional costs to execute on the performance of a contract, when this happens, we typically attempt to recover the revenue associated with these costs via a negotiated claim or change order with the customer. When this fact pattern occurs on a contract it will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For the quarter ended December 31, 2022, we recognized revenue of approximately $11.5 million on a change order during the period in which the performance obligations were substantially satisfied in previous periods.</w:t>
      </w:r>
    </w:p>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Revenue from Services: </w:t>
      </w:r>
      <w:r>
        <w:rPr>
          <w:rFonts w:ascii="Arial" w:cs="Arial" w:eastAsia="Arial" w:hAnsi="Arial"/>
          <w:sz w:val="17"/>
          <w:szCs w:val="17"/>
          <w:color w:val="auto"/>
        </w:rPr>
        <w:t>The Company also enters into long-term service agreements with customers to provide operational services related to battery-based energy storage products and solutions. The services include maintenance, monitoring, and other minor services. The Company accounts for the services as a single performance obligation as the services are substantially the same and have the same pattern of transfer to the customers. We recognize revenue overtime using a straight-line recognition method for these types of 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 for a given term are considered service-type warranties. These represent a stand-ready obligation in which the customer benefits evenly overtime,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Revenue from Digital Applications and Solutions: </w:t>
      </w:r>
      <w:r>
        <w:rPr>
          <w:rFonts w:ascii="Arial" w:cs="Arial" w:eastAsia="Arial" w:hAnsi="Arial"/>
          <w:sz w:val="18"/>
          <w:szCs w:val="18"/>
          <w:color w:val="auto"/>
        </w:rPr>
        <w:t>In October 2020, Fluence Energy, LLC acquired the Advanced Microgrid Solutions (“AMS”)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and digital intelligence platform, which became the Fluence Trading Platform. In April 2022, the Company acquired Nispera AG, a Zurich based provider of artificial intelligence (AI) and machine learning-enabled Software-as-a-Service (SaaS) targeting the renewable energy sector.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Fluence Trading Platform is technology- and vendor-agnostic (i.e., it can be utilized for wind and solar assets as well as non-Fluence systems). The Fluence Trading Platform is separately identifiable from other services that the Company offers to its customers (i.e., it is not highly interrelated or integrated with other solutions). As such, we determined that the Fluence Trading Platform is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sale of energy storage products, services, and digital applications and solutions contracts where there are multiple performance obligations in a single contract, the Company allocates the consideration to the various obligations in the contract based on the relative standalone selling price method. Standalone selling prices are estimated based on estimated costs plus margin. Revenue is recorded net of any taxes assessed on and collected from customers, which are remitted to the governmental authorities.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Cost of Goods and Services: </w:t>
      </w:r>
      <w:r>
        <w:rPr>
          <w:rFonts w:ascii="Arial" w:cs="Arial" w:eastAsia="Arial" w:hAnsi="Arial"/>
          <w:sz w:val="17"/>
          <w:szCs w:val="17"/>
          <w:color w:val="auto"/>
        </w:rPr>
        <w:t>Cost of goods and services consists primarily of product costs, including purchased materials and supplies,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p>
    <w:p>
      <w:pPr>
        <w:spacing w:after="0" w:line="1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Deferred Revenue: </w:t>
      </w:r>
      <w:r>
        <w:rPr>
          <w:rFonts w:ascii="Arial" w:cs="Arial" w:eastAsia="Arial" w:hAnsi="Arial"/>
          <w:sz w:val="17"/>
          <w:szCs w:val="17"/>
          <w:color w:val="auto"/>
        </w:rPr>
        <w:t>Deferred revenue represents the excess billings to date over the amount of revenue recognized to date. Contract advances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125"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6"/>
          <w:szCs w:val="16"/>
          <w:b w:val="1"/>
          <w:bCs w:val="1"/>
          <w:i w:val="1"/>
          <w:iCs w:val="1"/>
          <w:color w:val="auto"/>
        </w:rPr>
        <w:t xml:space="preserve">Loss Contracts: </w:t>
      </w:r>
      <w:r>
        <w:rPr>
          <w:rFonts w:ascii="Arial" w:cs="Arial" w:eastAsia="Arial" w:hAnsi="Arial"/>
          <w:sz w:val="16"/>
          <w:szCs w:val="16"/>
          <w:color w:val="auto"/>
        </w:rPr>
        <w:t>A contract becomes a loss contract when its estimated total costs are expected to exceed its total revenue. The Company accrues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 loss expected in the period a loss contract is identified which is recorded in “Current liabilities — Accruals and provisions” and “Cost of goods and services” on the Company’s consolidated balance sheets and consolidated statements of operations and comprehensive loss,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Net</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Inventory consists of batteries and equipment, cases,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market conditions.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is used to classify assets and liabilities based on the observable inputs and unobservable inputs used to value the assets and liabilities: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The carrying amounts of trade receivables, accounts payable and short-term debt obligations approximate fair values due to their short maturities.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Marketable securities are presented on the balance sheets at fair value at the end of each reporting period. Gains and losses resulting from the change in fair value of these securities is included in “</w:t>
      </w:r>
      <w:r>
        <w:rPr>
          <w:rFonts w:ascii="Arial" w:cs="Arial" w:eastAsia="Arial" w:hAnsi="Arial"/>
          <w:sz w:val="17"/>
          <w:szCs w:val="17"/>
          <w:i w:val="1"/>
          <w:iCs w:val="1"/>
          <w:color w:val="auto"/>
        </w:rPr>
        <w:t>Other Income</w:t>
      </w:r>
      <w:r>
        <w:rPr>
          <w:rFonts w:ascii="Arial" w:cs="Arial" w:eastAsia="Arial" w:hAnsi="Arial"/>
          <w:sz w:val="17"/>
          <w:szCs w:val="17"/>
          <w:color w:val="auto"/>
        </w:rPr>
        <w:t>” in the accompanying statement of operations. The Company recorded a gain of $0.7 million from short-term investments for the three months ended December 31, 2022.</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5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jc w:val="right"/>
              <w:ind w:right="353"/>
              <w:spacing w:after="0" w:line="175" w:lineRule="exact"/>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vMerge w:val="continue"/>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Contributions / (withdrawals)</w:t>
            </w:r>
          </w:p>
        </w:tc>
        <w:tc>
          <w:tcPr>
            <w:tcW w:w="3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fair market value</w:t>
            </w:r>
          </w:p>
        </w:tc>
        <w:tc>
          <w:tcPr>
            <w:tcW w:w="34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109,862</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December 31, 2022, AES and Siemens issued guarantees of $50 million each, for a total of $100 million, to the SCF Bank on our behalf.</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three suppliers were actively participating in the supply chain financing program, and we had $97.8 million of payables outstanding subject to the program. All outstanding payments owed under the program are recorded within “Accounts payable”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the Company’s amended and restated certificate of incorporation authorizes three classes of common stock: Class A, Class B-1 and Class B-2. Loss per share is calculated and reported under the “two-class” method. The “two-class” method is an earnings allocation method under which earnings (loss) per share is calculated for each class of common stock considering both distributions declared or accumulated and participation rights in undistributed earnings as if all such loss had been distributed during the period.</w:t>
      </w:r>
    </w:p>
    <w:p>
      <w:pPr>
        <w:spacing w:after="0" w:line="11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at the Company’s election, for cash or Class A common stock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potentially dilutive securities that were excluded from the computation of diluted loss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Borders>
              <w:top w:val="single" w:sz="8" w:color="auto"/>
            </w:tcBorders>
          </w:tcPr>
          <w:p>
            <w:pPr>
              <w:spacing w:after="0"/>
              <w:rPr>
                <w:sz w:val="21"/>
                <w:szCs w:val="21"/>
                <w:color w:val="auto"/>
              </w:rPr>
            </w:pPr>
          </w:p>
        </w:tc>
        <w:tc>
          <w:tcPr>
            <w:tcW w:w="426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Three Months Ended December 31,</w:t>
            </w:r>
          </w:p>
        </w:tc>
      </w:tr>
      <w:tr>
        <w:trPr>
          <w:trHeight w:val="223"/>
        </w:trPr>
        <w:tc>
          <w:tcPr>
            <w:tcW w:w="69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2022</w:t>
            </w: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B-1 common stock</w:t>
            </w:r>
          </w:p>
        </w:tc>
        <w:tc>
          <w:tcPr>
            <w:tcW w:w="2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58,586,695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117,173,390</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2540" w:type="dxa"/>
            <w:vAlign w:val="bottom"/>
          </w:tcPr>
          <w:p>
            <w:pPr>
              <w:jc w:val="right"/>
              <w:ind w:right="450"/>
              <w:spacing w:after="0"/>
              <w:rPr>
                <w:sz w:val="20"/>
                <w:szCs w:val="20"/>
                <w:color w:val="auto"/>
              </w:rPr>
            </w:pPr>
            <w:r>
              <w:rPr>
                <w:rFonts w:ascii="Arial" w:cs="Arial" w:eastAsia="Arial" w:hAnsi="Arial"/>
                <w:sz w:val="18"/>
                <w:szCs w:val="18"/>
                <w:color w:val="auto"/>
              </w:rPr>
              <w:t>7,835,243</w:t>
            </w:r>
          </w:p>
        </w:tc>
        <w:tc>
          <w:tcPr>
            <w:tcW w:w="1720" w:type="dxa"/>
            <w:vAlign w:val="bottom"/>
          </w:tcPr>
          <w:p>
            <w:pPr>
              <w:jc w:val="right"/>
              <w:spacing w:after="0"/>
              <w:rPr>
                <w:sz w:val="20"/>
                <w:szCs w:val="20"/>
                <w:color w:val="auto"/>
              </w:rPr>
            </w:pPr>
            <w:r>
              <w:rPr>
                <w:rFonts w:ascii="Arial" w:cs="Arial" w:eastAsia="Arial" w:hAnsi="Arial"/>
                <w:sz w:val="18"/>
                <w:szCs w:val="18"/>
                <w:color w:val="auto"/>
              </w:rPr>
              <w:t>11,294,681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phantom units</w:t>
            </w:r>
          </w:p>
        </w:tc>
        <w:tc>
          <w:tcPr>
            <w:tcW w:w="2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513,865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2,170,541</w:t>
            </w:r>
          </w:p>
        </w:tc>
      </w:tr>
      <w:tr>
        <w:trPr>
          <w:trHeight w:val="229"/>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restricted stock units (“RSUs”)</w:t>
            </w:r>
          </w:p>
        </w:tc>
        <w:tc>
          <w:tcPr>
            <w:tcW w:w="2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2,011,690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670,487</w:t>
            </w: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2021, the existing limited liability company agreement of Fluence Energy, LLC was amended and restated which recapitalized all existing interests in the Company on the basis of a 14.79-for-1 split. All shares and per share information has been retroactively adjusted to give effect to the recapitalization for all periods presented, unless otherwise indicated.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three months ended December 31, 2022 and 2021. Basic and diluted net loss per share of Class A common stock for the three months ended December 31, 2022 and 2021, respectively, have been computed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14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right"/>
              <w:ind w:right="233"/>
              <w:spacing w:after="0" w:line="175" w:lineRule="exact"/>
              <w:rPr>
                <w:sz w:val="20"/>
                <w:szCs w:val="20"/>
                <w:color w:val="auto"/>
              </w:rPr>
            </w:pPr>
            <w:r>
              <w:rPr>
                <w:rFonts w:ascii="Arial" w:cs="Arial" w:eastAsia="Arial" w:hAnsi="Arial"/>
                <w:sz w:val="16"/>
                <w:szCs w:val="16"/>
                <w:b w:val="1"/>
                <w:bCs w:val="1"/>
                <w:color w:val="auto"/>
                <w:w w:val="97"/>
              </w:rPr>
              <w:t>Three Months Ended</w:t>
            </w:r>
          </w:p>
        </w:tc>
        <w:tc>
          <w:tcPr>
            <w:tcW w:w="2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right"/>
              <w:ind w:right="173"/>
              <w:spacing w:after="0" w:line="175" w:lineRule="exact"/>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w w:val="99"/>
              </w:rPr>
              <w:t>December 31, 2021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Net loss attributable to the non-controlling interest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(82,655)</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Class A common stock - basic and diluted</w:t>
            </w:r>
          </w:p>
        </w:tc>
        <w:tc>
          <w:tcPr>
            <w:tcW w:w="1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115,393,437</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54,143,275</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per share of Class A common stock, basic and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new accounting standards were adopted during the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32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Required date of adoption</w:t>
            </w:r>
          </w:p>
        </w:tc>
        <w:tc>
          <w:tcPr>
            <w:tcW w:w="254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w w:val="98"/>
              </w:rPr>
              <w:t>Effect on the financial statements and</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significant matters</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5" w:lineRule="exact"/>
              <w:rPr>
                <w:sz w:val="20"/>
                <w:szCs w:val="20"/>
                <w:color w:val="auto"/>
              </w:rPr>
            </w:pPr>
            <w:r>
              <w:rPr>
                <w:rFonts w:ascii="Arial" w:cs="Arial" w:eastAsia="Arial" w:hAnsi="Arial"/>
                <w:sz w:val="18"/>
                <w:szCs w:val="18"/>
                <w:color w:val="auto"/>
                <w:w w:val="93"/>
              </w:rPr>
              <w:t>Accounting Standards Update (ASU) No.</w:t>
            </w:r>
          </w:p>
        </w:tc>
        <w:tc>
          <w:tcPr>
            <w:tcW w:w="3200" w:type="dxa"/>
            <w:vAlign w:val="bottom"/>
          </w:tcPr>
          <w:p>
            <w:pPr>
              <w:ind w:left="140"/>
              <w:spacing w:after="0" w:line="175" w:lineRule="exact"/>
              <w:rPr>
                <w:sz w:val="20"/>
                <w:szCs w:val="20"/>
                <w:color w:val="auto"/>
              </w:rPr>
            </w:pPr>
            <w:r>
              <w:rPr>
                <w:rFonts w:ascii="Arial" w:cs="Arial" w:eastAsia="Arial" w:hAnsi="Arial"/>
                <w:sz w:val="18"/>
                <w:szCs w:val="18"/>
                <w:color w:val="auto"/>
              </w:rPr>
              <w:t>In September 2022, the Financial</w:t>
            </w:r>
          </w:p>
        </w:tc>
        <w:tc>
          <w:tcPr>
            <w:tcW w:w="2400" w:type="dxa"/>
            <w:vAlign w:val="bottom"/>
          </w:tcPr>
          <w:p>
            <w:pPr>
              <w:ind w:left="100"/>
              <w:spacing w:after="0" w:line="175" w:lineRule="exact"/>
              <w:rPr>
                <w:sz w:val="20"/>
                <w:szCs w:val="20"/>
                <w:color w:val="auto"/>
              </w:rPr>
            </w:pPr>
            <w:r>
              <w:rPr>
                <w:rFonts w:ascii="Arial" w:cs="Arial" w:eastAsia="Arial" w:hAnsi="Arial"/>
                <w:sz w:val="18"/>
                <w:szCs w:val="18"/>
                <w:color w:val="auto"/>
              </w:rPr>
              <w:t>ASU 2022-04 is effective for</w:t>
            </w:r>
          </w:p>
        </w:tc>
        <w:tc>
          <w:tcPr>
            <w:tcW w:w="2540" w:type="dxa"/>
            <w:vAlign w:val="bottom"/>
          </w:tcPr>
          <w:p>
            <w:pPr>
              <w:ind w:left="40"/>
              <w:spacing w:after="0" w:line="175" w:lineRule="exact"/>
              <w:rPr>
                <w:sz w:val="20"/>
                <w:szCs w:val="20"/>
                <w:color w:val="auto"/>
              </w:rPr>
            </w:pPr>
            <w:r>
              <w:rPr>
                <w:rFonts w:ascii="Arial" w:cs="Arial" w:eastAsia="Arial" w:hAnsi="Arial"/>
                <w:sz w:val="18"/>
                <w:szCs w:val="18"/>
                <w:color w:val="auto"/>
                <w:w w:val="99"/>
              </w:rPr>
              <w:t>The Company is evaluating the</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line="189" w:lineRule="exact"/>
              <w:rPr>
                <w:sz w:val="20"/>
                <w:szCs w:val="20"/>
                <w:color w:val="auto"/>
              </w:rPr>
            </w:pPr>
            <w:r>
              <w:rPr>
                <w:rFonts w:ascii="Arial" w:cs="Arial" w:eastAsia="Arial" w:hAnsi="Arial"/>
                <w:sz w:val="18"/>
                <w:szCs w:val="18"/>
                <w:color w:val="auto"/>
              </w:rPr>
              <w:t>2022-04: Liabilities-Supplier Finance</w:t>
            </w:r>
          </w:p>
        </w:tc>
        <w:tc>
          <w:tcPr>
            <w:tcW w:w="3200" w:type="dxa"/>
            <w:vAlign w:val="bottom"/>
          </w:tcPr>
          <w:p>
            <w:pPr>
              <w:ind w:left="100"/>
              <w:spacing w:after="0" w:line="189" w:lineRule="exact"/>
              <w:rPr>
                <w:sz w:val="20"/>
                <w:szCs w:val="20"/>
                <w:color w:val="auto"/>
              </w:rPr>
            </w:pPr>
            <w:r>
              <w:rPr>
                <w:rFonts w:ascii="Arial" w:cs="Arial" w:eastAsia="Arial" w:hAnsi="Arial"/>
                <w:sz w:val="18"/>
                <w:szCs w:val="18"/>
                <w:color w:val="auto"/>
              </w:rPr>
              <w:t>Accounting Standards Board ("FASB")</w:t>
            </w:r>
          </w:p>
        </w:tc>
        <w:tc>
          <w:tcPr>
            <w:tcW w:w="2400" w:type="dxa"/>
            <w:vAlign w:val="bottom"/>
          </w:tcPr>
          <w:p>
            <w:pPr>
              <w:ind w:left="100"/>
              <w:spacing w:after="0" w:line="189" w:lineRule="exact"/>
              <w:rPr>
                <w:sz w:val="20"/>
                <w:szCs w:val="20"/>
                <w:color w:val="auto"/>
              </w:rPr>
            </w:pPr>
            <w:r>
              <w:rPr>
                <w:rFonts w:ascii="Arial" w:cs="Arial" w:eastAsia="Arial" w:hAnsi="Arial"/>
                <w:sz w:val="18"/>
                <w:szCs w:val="18"/>
                <w:color w:val="auto"/>
                <w:w w:val="98"/>
              </w:rPr>
              <w:t>the Company beginning in its</w:t>
            </w:r>
          </w:p>
        </w:tc>
        <w:tc>
          <w:tcPr>
            <w:tcW w:w="2540" w:type="dxa"/>
            <w:vAlign w:val="bottom"/>
          </w:tcPr>
          <w:p>
            <w:pPr>
              <w:ind w:left="40"/>
              <w:spacing w:after="0" w:line="189" w:lineRule="exact"/>
              <w:rPr>
                <w:sz w:val="20"/>
                <w:szCs w:val="20"/>
                <w:color w:val="auto"/>
              </w:rPr>
            </w:pPr>
            <w:r>
              <w:rPr>
                <w:rFonts w:ascii="Arial" w:cs="Arial" w:eastAsia="Arial" w:hAnsi="Arial"/>
                <w:sz w:val="18"/>
                <w:szCs w:val="18"/>
                <w:color w:val="auto"/>
              </w:rPr>
              <w:t>impact that this guidance will</w:t>
            </w:r>
          </w:p>
        </w:tc>
        <w:tc>
          <w:tcPr>
            <w:tcW w:w="0" w:type="dxa"/>
            <w:vAlign w:val="bottom"/>
          </w:tcPr>
          <w:p>
            <w:pPr>
              <w:spacing w:after="0"/>
              <w:rPr>
                <w:sz w:val="1"/>
                <w:szCs w:val="1"/>
                <w:color w:val="auto"/>
              </w:rPr>
            </w:pPr>
          </w:p>
        </w:tc>
      </w:tr>
      <w:tr>
        <w:trPr>
          <w:trHeight w:val="176"/>
        </w:trPr>
        <w:tc>
          <w:tcPr>
            <w:tcW w:w="6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Programs (Subtopic 405-50): Disclosure of issued Accounting Standards Update</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w w:val="95"/>
              </w:rPr>
              <w:t>fiscal year ending, September</w:t>
            </w:r>
          </w:p>
        </w:tc>
        <w:tc>
          <w:tcPr>
            <w:tcW w:w="2540" w:type="dxa"/>
            <w:vAlign w:val="bottom"/>
          </w:tcPr>
          <w:p>
            <w:pPr>
              <w:ind w:left="40"/>
              <w:spacing w:after="0" w:line="176" w:lineRule="exact"/>
              <w:rPr>
                <w:sz w:val="20"/>
                <w:szCs w:val="20"/>
                <w:color w:val="auto"/>
              </w:rPr>
            </w:pPr>
            <w:r>
              <w:rPr>
                <w:rFonts w:ascii="Arial" w:cs="Arial" w:eastAsia="Arial" w:hAnsi="Arial"/>
                <w:sz w:val="18"/>
                <w:szCs w:val="18"/>
                <w:color w:val="auto"/>
                <w:w w:val="94"/>
              </w:rPr>
              <w:t>have on disclosures related to its</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rPr>
              <w:t>Supplier Finance Program Obligations</w:t>
            </w: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rPr>
              <w:t>("ASU") No. 2022-04, "Disclosure of</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w w:val="93"/>
              </w:rPr>
              <w:t>30, 2024 ("Fiscal 2024") and is</w:t>
            </w:r>
          </w:p>
        </w:tc>
        <w:tc>
          <w:tcPr>
            <w:tcW w:w="2540" w:type="dxa"/>
            <w:vAlign w:val="bottom"/>
          </w:tcPr>
          <w:p>
            <w:pPr>
              <w:ind w:left="40"/>
              <w:spacing w:after="0" w:line="176" w:lineRule="exact"/>
              <w:rPr>
                <w:sz w:val="20"/>
                <w:szCs w:val="20"/>
                <w:color w:val="auto"/>
              </w:rPr>
            </w:pPr>
            <w:r>
              <w:rPr>
                <w:rFonts w:ascii="Arial" w:cs="Arial" w:eastAsia="Arial" w:hAnsi="Arial"/>
                <w:sz w:val="18"/>
                <w:szCs w:val="18"/>
                <w:color w:val="auto"/>
              </w:rPr>
              <w:t>supplier finance program</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3200" w:type="dxa"/>
            <w:vAlign w:val="bottom"/>
          </w:tcPr>
          <w:p>
            <w:pPr>
              <w:ind w:left="100"/>
              <w:spacing w:after="0" w:line="189" w:lineRule="exact"/>
              <w:rPr>
                <w:sz w:val="20"/>
                <w:szCs w:val="20"/>
                <w:color w:val="auto"/>
              </w:rPr>
            </w:pPr>
            <w:r>
              <w:rPr>
                <w:rFonts w:ascii="Arial" w:cs="Arial" w:eastAsia="Arial" w:hAnsi="Arial"/>
                <w:sz w:val="18"/>
                <w:szCs w:val="18"/>
                <w:color w:val="auto"/>
                <w:w w:val="99"/>
              </w:rPr>
              <w:t>Supplier Finance Program Obligations"</w:t>
            </w:r>
          </w:p>
        </w:tc>
        <w:tc>
          <w:tcPr>
            <w:tcW w:w="2400" w:type="dxa"/>
            <w:vAlign w:val="bottom"/>
          </w:tcPr>
          <w:p>
            <w:pPr>
              <w:ind w:left="100"/>
              <w:spacing w:after="0" w:line="189" w:lineRule="exact"/>
              <w:rPr>
                <w:sz w:val="20"/>
                <w:szCs w:val="20"/>
                <w:color w:val="auto"/>
              </w:rPr>
            </w:pPr>
            <w:r>
              <w:rPr>
                <w:rFonts w:ascii="Arial" w:cs="Arial" w:eastAsia="Arial" w:hAnsi="Arial"/>
                <w:sz w:val="18"/>
                <w:szCs w:val="18"/>
                <w:color w:val="auto"/>
                <w:w w:val="93"/>
              </w:rPr>
              <w:t>to be applied retrospectively to</w:t>
            </w:r>
          </w:p>
        </w:tc>
        <w:tc>
          <w:tcPr>
            <w:tcW w:w="2540" w:type="dxa"/>
            <w:vAlign w:val="bottom"/>
          </w:tcPr>
          <w:p>
            <w:pPr>
              <w:ind w:left="40"/>
              <w:spacing w:after="0" w:line="189" w:lineRule="exact"/>
              <w:rPr>
                <w:sz w:val="20"/>
                <w:szCs w:val="20"/>
                <w:color w:val="auto"/>
              </w:rPr>
            </w:pPr>
            <w:r>
              <w:rPr>
                <w:rFonts w:ascii="Arial" w:cs="Arial" w:eastAsia="Arial" w:hAnsi="Arial"/>
                <w:sz w:val="18"/>
                <w:szCs w:val="18"/>
                <w:color w:val="auto"/>
              </w:rPr>
              <w:t>obligations.</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w w:val="95"/>
              </w:rPr>
              <w:t>("ASU 2022-04"). ASU 2022-04 requires</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w w:val="96"/>
              </w:rPr>
              <w:t>all periods in which a balance</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56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1"/>
              </w:rPr>
              <w:t>entities to disclose the key terms of supplier sheet is presented. The annual</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3200" w:type="dxa"/>
            <w:vAlign w:val="bottom"/>
          </w:tcPr>
          <w:p>
            <w:pPr>
              <w:ind w:left="100"/>
              <w:spacing w:after="0" w:line="189" w:lineRule="exact"/>
              <w:rPr>
                <w:sz w:val="20"/>
                <w:szCs w:val="20"/>
                <w:color w:val="auto"/>
              </w:rPr>
            </w:pPr>
            <w:r>
              <w:rPr>
                <w:rFonts w:ascii="Arial" w:cs="Arial" w:eastAsia="Arial" w:hAnsi="Arial"/>
                <w:sz w:val="18"/>
                <w:szCs w:val="18"/>
                <w:color w:val="auto"/>
                <w:w w:val="95"/>
              </w:rPr>
              <w:t>finance programs they use in connection</w:t>
            </w:r>
          </w:p>
        </w:tc>
        <w:tc>
          <w:tcPr>
            <w:tcW w:w="2400" w:type="dxa"/>
            <w:vAlign w:val="bottom"/>
          </w:tcPr>
          <w:p>
            <w:pPr>
              <w:ind w:left="100"/>
              <w:spacing w:after="0" w:line="189" w:lineRule="exact"/>
              <w:rPr>
                <w:sz w:val="20"/>
                <w:szCs w:val="20"/>
                <w:color w:val="auto"/>
              </w:rPr>
            </w:pPr>
            <w:r>
              <w:rPr>
                <w:rFonts w:ascii="Arial" w:cs="Arial" w:eastAsia="Arial" w:hAnsi="Arial"/>
                <w:sz w:val="18"/>
                <w:szCs w:val="18"/>
                <w:color w:val="auto"/>
              </w:rPr>
              <w:t>rollforward disclosure is not</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w w:val="94"/>
              </w:rPr>
              <w:t>with the purchase of goods and services,</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rPr>
              <w:t>required to be made until its</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rPr>
              <w:t>along with the amount of obligations</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w w:val="97"/>
              </w:rPr>
              <w:t>fiscal year ending September</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3200" w:type="dxa"/>
            <w:vAlign w:val="bottom"/>
          </w:tcPr>
          <w:p>
            <w:pPr>
              <w:ind w:left="100"/>
              <w:spacing w:after="0" w:line="189" w:lineRule="exact"/>
              <w:rPr>
                <w:sz w:val="20"/>
                <w:szCs w:val="20"/>
                <w:color w:val="auto"/>
              </w:rPr>
            </w:pPr>
            <w:r>
              <w:rPr>
                <w:rFonts w:ascii="Arial" w:cs="Arial" w:eastAsia="Arial" w:hAnsi="Arial"/>
                <w:sz w:val="18"/>
                <w:szCs w:val="18"/>
                <w:color w:val="auto"/>
                <w:w w:val="92"/>
              </w:rPr>
              <w:t>outstanding at the end of each period and</w:t>
            </w:r>
          </w:p>
        </w:tc>
        <w:tc>
          <w:tcPr>
            <w:tcW w:w="2400" w:type="dxa"/>
            <w:vAlign w:val="bottom"/>
          </w:tcPr>
          <w:p>
            <w:pPr>
              <w:ind w:left="100"/>
              <w:spacing w:after="0" w:line="189" w:lineRule="exact"/>
              <w:rPr>
                <w:sz w:val="20"/>
                <w:szCs w:val="20"/>
                <w:color w:val="auto"/>
              </w:rPr>
            </w:pPr>
            <w:r>
              <w:rPr>
                <w:rFonts w:ascii="Arial" w:cs="Arial" w:eastAsia="Arial" w:hAnsi="Arial"/>
                <w:sz w:val="18"/>
                <w:szCs w:val="18"/>
                <w:color w:val="auto"/>
                <w:w w:val="93"/>
              </w:rPr>
              <w:t>30, 2025 ("Fiscal 2025") and is</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w w:val="94"/>
              </w:rPr>
              <w:t>an annual rollforward of such obligations.</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rPr>
              <w:t>to be applied prospectively.</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200" w:type="dxa"/>
            <w:vAlign w:val="bottom"/>
          </w:tcPr>
          <w:p>
            <w:pPr>
              <w:ind w:left="100"/>
              <w:spacing w:after="0" w:line="176" w:lineRule="exact"/>
              <w:rPr>
                <w:sz w:val="20"/>
                <w:szCs w:val="20"/>
                <w:color w:val="auto"/>
              </w:rPr>
            </w:pPr>
            <w:r>
              <w:rPr>
                <w:rFonts w:ascii="Arial" w:cs="Arial" w:eastAsia="Arial" w:hAnsi="Arial"/>
                <w:sz w:val="18"/>
                <w:szCs w:val="18"/>
                <w:color w:val="auto"/>
              </w:rPr>
              <w:t>This standard does not affect the</w:t>
            </w:r>
          </w:p>
        </w:tc>
        <w:tc>
          <w:tcPr>
            <w:tcW w:w="2400" w:type="dxa"/>
            <w:vAlign w:val="bottom"/>
          </w:tcPr>
          <w:p>
            <w:pPr>
              <w:ind w:left="100"/>
              <w:spacing w:after="0" w:line="176" w:lineRule="exact"/>
              <w:rPr>
                <w:sz w:val="20"/>
                <w:szCs w:val="20"/>
                <w:color w:val="auto"/>
              </w:rPr>
            </w:pPr>
            <w:r>
              <w:rPr>
                <w:rFonts w:ascii="Arial" w:cs="Arial" w:eastAsia="Arial" w:hAnsi="Arial"/>
                <w:sz w:val="18"/>
                <w:szCs w:val="18"/>
                <w:color w:val="auto"/>
              </w:rPr>
              <w:t>Early adoption is permitted.</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3200" w:type="dxa"/>
            <w:vAlign w:val="bottom"/>
          </w:tcPr>
          <w:p>
            <w:pPr>
              <w:ind w:left="100"/>
              <w:spacing w:after="0" w:line="204" w:lineRule="exact"/>
              <w:rPr>
                <w:sz w:val="20"/>
                <w:szCs w:val="20"/>
                <w:color w:val="auto"/>
              </w:rPr>
            </w:pPr>
            <w:r>
              <w:rPr>
                <w:rFonts w:ascii="Arial" w:cs="Arial" w:eastAsia="Arial" w:hAnsi="Arial"/>
                <w:sz w:val="18"/>
                <w:szCs w:val="18"/>
                <w:color w:val="auto"/>
              </w:rPr>
              <w:t>recognition, measurement, or financial</w:t>
            </w:r>
          </w:p>
        </w:tc>
        <w:tc>
          <w:tcPr>
            <w:tcW w:w="2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-1620520</wp:posOffset>
            </wp:positionV>
            <wp:extent cx="7132320" cy="1868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ind w:left="3200"/>
        <w:spacing w:after="0" w:line="203" w:lineRule="auto"/>
        <w:rPr>
          <w:sz w:val="20"/>
          <w:szCs w:val="20"/>
          <w:color w:val="auto"/>
        </w:rPr>
      </w:pPr>
      <w:r>
        <w:rPr>
          <w:rFonts w:ascii="Arial" w:cs="Arial" w:eastAsia="Arial" w:hAnsi="Arial"/>
          <w:sz w:val="18"/>
          <w:szCs w:val="18"/>
          <w:color w:val="auto"/>
        </w:rPr>
        <w:t>statement presentation of supplier finance</w:t>
      </w:r>
    </w:p>
    <w:p>
      <w:pPr>
        <w:ind w:left="3200"/>
        <w:spacing w:after="0"/>
        <w:rPr>
          <w:sz w:val="20"/>
          <w:szCs w:val="20"/>
          <w:color w:val="auto"/>
        </w:rPr>
      </w:pPr>
      <w:r>
        <w:rPr>
          <w:rFonts w:ascii="Arial" w:cs="Arial" w:eastAsia="Arial" w:hAnsi="Arial"/>
          <w:sz w:val="18"/>
          <w:szCs w:val="18"/>
          <w:color w:val="auto"/>
        </w:rPr>
        <w:t>program obligations.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revenue is primarily derived from sales of our energy storage products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063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8"/>
              </w:rPr>
              <w:t>Three Months Ended December 31,</w:t>
            </w:r>
          </w:p>
        </w:tc>
      </w:tr>
      <w:tr>
        <w:trPr>
          <w:trHeight w:val="237"/>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sale of energy storage products and solutions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305,803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172,655</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3,441</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digital applications and solutions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310,460</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174,887</w:t>
            </w:r>
          </w:p>
        </w:tc>
      </w:tr>
      <w:tr>
        <w:trPr>
          <w:trHeight w:val="20"/>
        </w:trPr>
        <w:tc>
          <w:tcPr>
            <w:tcW w:w="7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regions based on location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8"/>
              </w:rPr>
              <w:t>Three Months Ended December 31,</w:t>
            </w:r>
          </w:p>
        </w:tc>
      </w:tr>
      <w:tr>
        <w:trPr>
          <w:trHeight w:val="237"/>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(North, Central and South America)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176,471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36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19,560</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16,809</w:t>
            </w:r>
          </w:p>
        </w:tc>
      </w:tr>
      <w:tr>
        <w:trPr>
          <w:trHeight w:val="229"/>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114,429</w:t>
            </w:r>
          </w:p>
        </w:tc>
        <w:tc>
          <w:tcPr>
            <w:tcW w:w="5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16,245</w:t>
            </w:r>
          </w:p>
        </w:tc>
      </w:tr>
      <w:tr>
        <w:trPr>
          <w:trHeight w:val="22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310,460</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174,887</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December 31, 2022, our top two customers, in the aggregate, accounted for approximately 51% of total revenue.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December 31, 2021, the Company had one customer that accounted for 84% of total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063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Three Months Ended December 31,</w:t>
            </w:r>
          </w:p>
        </w:tc>
      </w:tr>
      <w:tr>
        <w:trPr>
          <w:trHeight w:val="23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273,073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71,365</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580" w:type="dxa"/>
            <w:vAlign w:val="bottom"/>
          </w:tcPr>
          <w:p>
            <w:pPr>
              <w:ind w:left="880"/>
              <w:spacing w:after="0"/>
              <w:rPr>
                <w:sz w:val="20"/>
                <w:szCs w:val="20"/>
                <w:color w:val="auto"/>
              </w:rPr>
            </w:pPr>
            <w:r>
              <w:rPr>
                <w:rFonts w:ascii="Arial" w:cs="Arial" w:eastAsia="Arial" w:hAnsi="Arial"/>
                <w:sz w:val="18"/>
                <w:szCs w:val="18"/>
                <w:color w:val="auto"/>
              </w:rPr>
              <w:t>287,840</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87,800</w:t>
            </w:r>
          </w:p>
        </w:tc>
      </w:tr>
      <w:tr>
        <w:trPr>
          <w:trHeight w:val="188"/>
        </w:trPr>
        <w:tc>
          <w:tcPr>
            <w:tcW w:w="7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Revenue recognized related to amounts that were included in beginning balance of deferred</w:t>
            </w: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2"/>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8"/>
              </w:rPr>
              <w:t>(91,815)</w:t>
            </w:r>
          </w:p>
        </w:tc>
        <w:tc>
          <w:tcPr>
            <w:tcW w:w="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r>
      <w:tr>
        <w:trPr>
          <w:trHeight w:val="210"/>
        </w:trPr>
        <w:tc>
          <w:tcPr>
            <w:tcW w:w="7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Deferred revenue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469,098</w:t>
            </w:r>
          </w:p>
        </w:tc>
        <w:tc>
          <w:tcPr>
            <w:tcW w:w="5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145,765</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63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 December 31,</w:t>
            </w:r>
          </w:p>
        </w:tc>
      </w:tr>
      <w:tr>
        <w:trPr>
          <w:trHeight w:val="236"/>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300,697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220,122</w:t>
            </w:r>
          </w:p>
        </w:tc>
        <w:tc>
          <w:tcPr>
            <w:tcW w:w="100" w:type="dxa"/>
            <w:vAlign w:val="bottom"/>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88,530</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87,543</w:t>
            </w:r>
          </w:p>
        </w:tc>
        <w:tc>
          <w:tcPr>
            <w:tcW w:w="100" w:type="dxa"/>
            <w:vAlign w:val="bottom"/>
          </w:tcPr>
          <w:p>
            <w:pPr>
              <w:spacing w:after="0"/>
              <w:rPr>
                <w:sz w:val="18"/>
                <w:szCs w:val="18"/>
                <w:color w:val="auto"/>
              </w:rPr>
            </w:pPr>
          </w:p>
        </w:tc>
      </w:tr>
      <w:tr>
        <w:trPr>
          <w:trHeight w:val="188"/>
        </w:trPr>
        <w:tc>
          <w:tcPr>
            <w:tcW w:w="7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Revenue recognized related to amounts that were included in beginning balance of deferred</w:t>
            </w:r>
          </w:p>
        </w:tc>
        <w:tc>
          <w:tcPr>
            <w:tcW w:w="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(107,580)</w:t>
            </w:r>
          </w:p>
        </w:tc>
        <w:tc>
          <w:tcPr>
            <w:tcW w:w="100" w:type="dxa"/>
            <w:vAlign w:val="bottom"/>
          </w:tcPr>
          <w:p>
            <w:pPr>
              <w:spacing w:after="0"/>
              <w:rPr>
                <w:sz w:val="22"/>
                <w:szCs w:val="22"/>
                <w:color w:val="auto"/>
              </w:rPr>
            </w:pPr>
          </w:p>
        </w:tc>
      </w:tr>
      <w:tr>
        <w:trPr>
          <w:trHeight w:val="210"/>
        </w:trPr>
        <w:tc>
          <w:tcPr>
            <w:tcW w:w="7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350,895</w:t>
            </w:r>
          </w:p>
        </w:tc>
        <w:tc>
          <w:tcPr>
            <w:tcW w:w="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200,085</w:t>
            </w:r>
          </w:p>
        </w:tc>
        <w:tc>
          <w:tcPr>
            <w:tcW w:w="100" w:type="dxa"/>
            <w:vAlign w:val="bottom"/>
          </w:tcPr>
          <w:p>
            <w:pPr>
              <w:spacing w:after="0"/>
              <w:rPr>
                <w:sz w:val="18"/>
                <w:szCs w:val="18"/>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4"/>
        </w:trPr>
        <w:tc>
          <w:tcPr>
            <w:tcW w:w="7240" w:type="dxa"/>
            <w:vAlign w:val="bottom"/>
          </w:tcPr>
          <w:p>
            <w:pPr>
              <w:ind w:left="55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spacing w:after="0" w:line="10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As of December 31, 2022, the Company had $2.7 billion of remaining performance obligations related to our contractual commitments, of which we expect to recognize approximately 80% in revenue in the next 9 to 33 months, 15% in 34 to 57 months and the remainder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2022 and September 30, 2022, our transaction prices have been reduced to reflect variable consideration of $70.8 million and $75.5 million, respectively. Variable consideration primarily relates to our customers’ rights to liquidated damages in the event a specified milestone has not been met or equipment is not delivered to contract specifications. Variable consideration is estimated using the expected-value method which computes a weighted average amount based on a range of potential outcomes. In contracts in which a significant reversal may occur, we use constraint in recognizing revenue on variable consideration.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88"/>
              </w:rPr>
              <w:t>December 31, 2022</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1"/>
              </w:rPr>
              <w:t>September 30, 2022</w:t>
            </w:r>
          </w:p>
        </w:tc>
        <w:tc>
          <w:tcPr>
            <w:tcW w:w="920" w:type="dxa"/>
            <w:vAlign w:val="bottom"/>
            <w:tcBorders>
              <w:bottom w:val="single" w:sz="8" w:color="auto"/>
            </w:tcBorders>
          </w:tcPr>
          <w:p>
            <w:pPr>
              <w:spacing w:after="0"/>
              <w:rPr>
                <w:sz w:val="20"/>
                <w:szCs w:val="20"/>
                <w:color w:val="auto"/>
              </w:rPr>
            </w:pPr>
          </w:p>
        </w:tc>
      </w:tr>
      <w:tr>
        <w:trPr>
          <w:trHeight w:val="23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Provision</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Net</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Cubes, batteries, and other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1,084,949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1,083,325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651,765</w:t>
            </w: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48"/>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1,085,243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1,083,607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654,041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652,735</w:t>
            </w: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9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2022</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recoverable</w:t>
            </w:r>
          </w:p>
        </w:tc>
        <w:tc>
          <w:tcPr>
            <w:tcW w:w="2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9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9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9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7,845</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29"/>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 asset </w:t>
            </w:r>
            <w:r>
              <w:rPr>
                <w:rFonts w:ascii="Arial" w:cs="Arial" w:eastAsia="Arial" w:hAnsi="Arial"/>
                <w:sz w:val="23"/>
                <w:szCs w:val="23"/>
                <w:i w:val="1"/>
                <w:iCs w:val="1"/>
                <w:color w:val="auto"/>
                <w:vertAlign w:val="superscript"/>
              </w:rPr>
              <w:t>(a)</w:t>
            </w:r>
          </w:p>
        </w:tc>
        <w:tc>
          <w:tcPr>
            <w:tcW w:w="29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2,683</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34"/>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29,747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firstLine="8"/>
        <w:spacing w:after="0" w:line="293" w:lineRule="auto"/>
        <w:tabs>
          <w:tab w:leader="none" w:pos="204"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Derivative assets relate to forward contracts used to mitigate foreign exchange risk exposure on customer projects, gains and losses on forward contracts are recorded to cost of goods and services.</w:t>
      </w:r>
    </w:p>
    <w:p>
      <w:pPr>
        <w:spacing w:after="0" w:line="17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 2022</w:t>
            </w:r>
          </w:p>
        </w:tc>
        <w:tc>
          <w:tcPr>
            <w:tcW w:w="3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2022</w:t>
            </w: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r>
      <w:tr>
        <w:trPr>
          <w:trHeight w:val="169"/>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3"/>
              </w:rPr>
              <w:t>Accumulated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4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Net</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Net</w:t>
            </w: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29,677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(3,413)</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26,264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25,627</w:t>
            </w: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Tradenames /Trademarks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(2,839)</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2,537</w:t>
            </w:r>
          </w:p>
        </w:tc>
      </w:tr>
      <w:tr>
        <w:trPr>
          <w:trHeight w:val="230"/>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51,482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51,696</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are amortized over their estimated useful lives on a straight-line basis. Total amortization expense for the three months ended December 31, 2022 and 2021 was $1.5 million and $0.9 million,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Goodwill</w:t>
      </w:r>
    </w:p>
    <w:p>
      <w:pPr>
        <w:spacing w:after="0" w:line="1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impairment was recognized for the three months ended December 31, 2022 and 2021, respectively. The following table presents the goodwill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7"/>
              </w:rPr>
              <w:t>Three Months Ended December 31,</w:t>
            </w:r>
          </w:p>
        </w:tc>
      </w:tr>
      <w:tr>
        <w:trPr>
          <w:trHeight w:val="23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24,851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r>
      <w:tr>
        <w:trPr>
          <w:trHeight w:val="229"/>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adjustment</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0"/>
        </w:trPr>
        <w:tc>
          <w:tcPr>
            <w:tcW w:w="7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Current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not yet invoiced milestones for inventory such as batteries, cubes,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Current accruals and provisions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purchases</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120,446</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Solution projects accruals</w:t>
            </w:r>
          </w:p>
        </w:tc>
        <w:tc>
          <w:tcPr>
            <w:tcW w:w="2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35,764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32,550</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expected project losses</w:t>
            </w:r>
          </w:p>
        </w:tc>
        <w:tc>
          <w:tcPr>
            <w:tcW w:w="2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w:t>
            </w: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Warranty accrual</w:t>
            </w:r>
          </w:p>
        </w:tc>
        <w:tc>
          <w:tcPr>
            <w:tcW w:w="2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184,653</w:t>
            </w:r>
          </w:p>
        </w:tc>
      </w:tr>
      <w:tr>
        <w:trPr>
          <w:trHeight w:val="22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non-current portion</w:t>
            </w:r>
          </w:p>
        </w:tc>
        <w:tc>
          <w:tcPr>
            <w:tcW w:w="2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r>
        <w:trPr>
          <w:trHeight w:val="248"/>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183,814</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w:t>
      </w:r>
    </w:p>
    <w:p>
      <w:pPr>
        <w:spacing w:after="0" w:line="9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Revolver bears interest at either (i) the Adjusted LIBOR or Adjusted EURIBO Rate (each as defined in the Credit Agreement) plus 3.0% or (ii) the Alternate Base Rate (as defined in the Credit Agreement)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dated as of November 1, 2021, entered into connection with the IPO, by and among Fluence Energy, Inc., Fluence Energy, LLC and the Founders (the “Tax</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Receivable Agreement”) and certain operational expenses incurred in connection with the ownership and management of Fluence Energy, LLC</w:t>
      </w:r>
      <w:r>
        <w:rPr>
          <w:rFonts w:ascii="Arial" w:cs="Arial" w:eastAsia="Arial" w:hAnsi="Arial"/>
          <w:sz w:val="20"/>
          <w:szCs w:val="20"/>
          <w:color w:val="auto"/>
        </w:rPr>
        <w:t>.</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December 31, 2022, we were in compliance with all such covenants or maintained availability above such covenant triggers.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we had no borrowings under the Revolver and availability under the facility of $156.4 million, net of letters of credit issued of $43.6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 average annual interest rate of the borrowing was 2.83%. On November 1, 2021, the $50.0 million outstanding borrowings from the Line of Credit was paid off using the proceeds from our IPO and the Line of Credit was canceled shortly thereafter.</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12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borrowings from 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Against Note Receivable - Pledged as Collateral</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quarter, we transferred $24.3 million in customer receivables to Standard Charter Bank (“SCB”) in the Philippines for proceeds of $21.1 million. The receivables all related to our largest customer in that country. The underlying receivables transferred were previously aggregated into a long term note, with interest, and had a maturity date of 24 months as of September 30, 2022 and was previously classified under “</w:t>
      </w:r>
      <w:r>
        <w:rPr>
          <w:rFonts w:ascii="Arial" w:cs="Arial" w:eastAsia="Arial" w:hAnsi="Arial"/>
          <w:sz w:val="17"/>
          <w:szCs w:val="17"/>
          <w:i w:val="1"/>
          <w:iCs w:val="1"/>
          <w:color w:val="auto"/>
        </w:rPr>
        <w:t>Other non-current</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The transaction is treated as a secured borrowing as we did not transfer the entire note receivable due from the customer to SCB. We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quarterly interest income from the customer, while SCB is responsible for collecting payments on the principal which represents the initial receivable balance from the customer. We have no other continuing involvement or exposure related to underlying receivables. We will record aggregate interest expense of $3.2 million to SCB over the 24 month period until the note receivable is fully due from the customer.</w:t>
      </w:r>
    </w:p>
    <w:p>
      <w:pPr>
        <w:spacing w:after="0" w:line="1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provision for income taxes is based on the estimated annual effective tax rate, plus discrete items.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(benefit) was $(0.6) million and $0.4 million for the three months ended December 31, 2022 and 2021, respectively. The effective tax rate for the three months ended December 31, 2022 and 2021 was 1.6% and (0.3)%, respectively. For the three months ended December 31, 2022, the Company’s effective tax rate differs from the U.S. statutory tax rate of 21% primarily due to flow-through losses attributable to the Founders, valuation allowances and foreign exchange gains. For the three months ended December 31, 2021, the Company’s effective tax rate differs from the U.S. statutory tax rate of 21% primarily due to flow-through losses incurred prior to the IPO on November 1, 2021, flow-through losses attributable to the Founders, and valuation allowances.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each of December 31, 2022 and September 30, 2022, the Company does not believe it has any significant uncertain tax positions and therefore, has not recorded any unrecognized tax benefits.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the realizability of its deferred tax assets on a quarterly basis and establishes valuation allowances when it is more-likely-than-not that all or a portion of a deferred tax asset may not be realized. As of December 31, 2022 and September 30, 2022, the Company had recorded a full valuation allowance against deferred tax assets on Fluence Energy, Inc. primarily related to its investment in Fluence Energy, LLC, as well as on certain foreign subsidiaries based on the weight of available evidence, including cumulative losses.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the Company had outstanding bank guarantees, parent guarantees and surety bonds issued as performance security arrangements for several projects. Performance security is a precondition to receive any payment from the customer and is reduced in stages according to the project completion status.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commitments for minimum volumes of purchases of batteries under a master supply agreement. Liquidated damages apply if the minimum purchase volumes are not met. The Company expects to meet the minimum committed volumes of purchases. The following presents our future minimum purchase commitments by fiscal year, primarily for batteries, and liquidated damages, if the minimum purchase volumes are not met,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r>
        <w:rPr>
          <w:rFonts w:ascii="Arial" w:cs="Arial" w:eastAsia="Arial" w:hAnsi="Arial"/>
          <w:sz w:val="21"/>
          <w:szCs w:val="21"/>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Purchase Commitments</w:t>
            </w:r>
          </w:p>
        </w:tc>
        <w:tc>
          <w:tcPr>
            <w:tcW w:w="28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Liquidated Damages</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643,125</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788,073</w:t>
            </w: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125,992</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178,568</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34,975</w:t>
            </w:r>
          </w:p>
        </w:tc>
      </w:tr>
      <w:tr>
        <w:trPr>
          <w:trHeight w:val="22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and thereafter</w:t>
            </w:r>
          </w:p>
        </w:tc>
        <w:tc>
          <w:tcPr>
            <w:tcW w:w="2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48"/>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1,613,816</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188,038</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December 31, 2021, the Company made a $60.0 million advance payment as a capacity guarantee pursuant to a purchase agreement with one of our suppliers, of which, as of December 31, 2022, the balance of $37.0 million is recorded within “Current assets - Advances to suppliers” and no portion remains within “Non-current assets - Advances to suppliers” on the condensed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Negotiations with our Largest Battery Module Vendor</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1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On December 15, 2022, we finalized an agreement with the vendor, amending the supply agreement and resolving our claims. The amendments and settlement were consistent with what we had estimated and disclosed in our 2022 consolidated financial statements in our 2022 Annual Report. The approximately $19.5 million settlement for our claims was recognized as a reduction of costs of goods and services for the three months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both assurance and service-type warranties for various lengths of time. The Company recognizes revenue for service-type warranties using either a straight-line or cost to cost method depending on the contract. Extended warranties that customers purchase separately from the related products and services are accounted for as separate performance obligations.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a limited warranty related to the successful operation of battery-based energy storage products and solutions, apart from the service 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and solutions.</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assurance-type warranties, the Company records an estimate of future warranty cost over the period of construction, consistent with transfer of control of the equipment or battery-based energy storage products. Periodically, the Company evaluates and adjusts warranty costs to the extent that actual warranty costs materially differ from the original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estimates. As of December 31, 2022 and September 30, 2022, the Company accrued warranty liabilities of $2.3 million and $1.6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covers the Company’s potential loss contingencies as of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Cargo Loss Incident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had recorded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expect to continue to incur legal fees related to the incident. We received an aggregate of $10.0 million insurance proceeds related to non-disputed claims, $7.5 million of which was collected in October 2021 and the remaining $2.5 million was collected in April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Overheating Event at Customer Facility</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Related-Party Transactions</w:t>
      </w:r>
    </w:p>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 As of December 31, 2022, AES Grid Stability, a wholly owned subsidiary of AES, holds 58,586,695 shares of Class B-1 common stock of Fluence Energy, Inc. and Siemens holds an aggregate of 58,586,695 of Class A common stock of Fluence Energy, Inc.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from Related Parties</w:t>
      </w:r>
    </w:p>
    <w:p>
      <w:pPr>
        <w:spacing w:after="0" w:line="1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August 11, 2021, the Company borrowed $25.0 million and $25.0 million from AES Grid Stability and Siemens Industry, respectively, in the form of subordinated promissory notes, each bearing an annual interest at 2.86%. The promissory notes were paid off in full on November 1, 2021 using proceeds from the IPO. All related party borrowings were for general working capital needs.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new related party borrowings during the three months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Procurement Contracts with Related Parties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signs back-to-back battery-based energy storage product and related service contracts with AES, Siemens, and their subsidiaries (collectively referred to as affiliates) in relation to execution of the affiliates’ contracts with external customers and also direct contracts signed with affiliates. Revenue from contracts with affiliates is included in “Revenue from related parties” on the Company’s condensed consolidated statements of operations and comprehensive loss.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Company purchases materials and supplies from its affiliates and records the costs in “Cost of goods and services” on the Company’s condensed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 with Affiliates</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Fluence and its affiliates have signed service agreements under which the affiliates provide certain administrative services to Fluence. The services include but are not limited to, treasury, information technology services, sales services, payroll, and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Performance Guarantees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 under certain contracts with Fluence’s customers, which are based on the affiliates’ weighted average cost for bank guarantees and their per annum cost of surety bonds with a reasonable markup. The guarantee fees are included in “Costs of goods and services” on Fluence’s condensed consolidated statements of operations and comprehensive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Payables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payables to related parties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2022</w:t>
            </w:r>
          </w:p>
        </w:tc>
        <w:tc>
          <w:tcPr>
            <w:tcW w:w="4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23,489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Unbilled receivables</w:t>
            </w:r>
          </w:p>
        </w:tc>
        <w:tc>
          <w:tcPr>
            <w:tcW w:w="1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33,189</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56,678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112,027</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2,550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350,895</w:t>
            </w: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300,697</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3,621</w:t>
            </w: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358,064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306,348</w:t>
            </w:r>
          </w:p>
        </w:tc>
      </w:tr>
    </w:tbl>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8"/>
              </w:rPr>
              <w:t>Three Months Ended December 31,</w:t>
            </w:r>
          </w:p>
        </w:tc>
      </w:tr>
      <w:tr>
        <w:trPr>
          <w:trHeight w:val="23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101,006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147,833</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(6,407)</w:t>
            </w: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bl>
    <w:p>
      <w:pPr>
        <w:spacing w:after="0" w:line="67"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 and Estimates</w:t>
      </w:r>
      <w:r>
        <w:rPr>
          <w:rFonts w:ascii="Arial" w:cs="Arial" w:eastAsia="Arial" w:hAnsi="Arial"/>
          <w:sz w:val="18"/>
          <w:szCs w:val="18"/>
          <w:color w:val="auto"/>
        </w:rPr>
        <w:t xml:space="preserve"> for details of the related party guarantees associated with the supply chain financing program.</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Plan</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2020, the Company established the 2020 Unit Option Plan (the “Option Plan”) whereby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The Company estimated the fair value of the awards using the Black-Scholes option-pricing model. The outstanding awards will continue to be governed by their existing terms under the Option Plan. The Option Plan is accounted for as an equity plan. We do not expect to make any further awards under the Option Plan.</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7,835,243 stock options with an exercise price of $2.45 remain outstanding. The Option Plan has unrecognized stock compensation expense of $1.1 million as of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The outstanding awards relate to a modification previously made at the time of the IPO related to awards granted to the Company’s executive officers. We do not expect to make any further awards under the Phantom Incentive Plan.</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513,865 phantom unit awards previously issued remained outstanding. The Phantom Incentive Plan has unrecognized stock compensation expense of $5.3 million as of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Plan</w:t>
      </w:r>
    </w:p>
    <w:p>
      <w:pPr>
        <w:spacing w:after="0" w:line="15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During fiscal year 2021, the Company established the 2021 Incentive Award Plan (the “2021 Incentive Plan”) which reserves 9,500,000 shares of Class A common stock of Fluence Energy, Inc. for issuance to management, other employees, consultants, and board members of the Company. The 2021 Incentive Plan governs over both equity-based and cash-based awards. Employee stock-based awards issued pursuant to the 2021 Incentive Plan that are expected to be settled by issuing shares of Class A common stock are recorded as equity awards. The 2021 Incentive Plan is accounted for as an equity plan. The Company generally expenses the grant date fair value of the awards on a straight-line basis over each of the three separately vesting tranches within a given grant. The awards vest ratably at one-third annually on the anniversary of the grant date over a three-year period. The Company accounts for forfeitures as they occur. Awards to employees and contractors vest ratably over a period of three years. During the three months ended December 31, 2022, the Company granted 97,893 RSUs under the 2021 Incentive Award Plan. The weighted average grant date fair value for the RSUs was $15.31.</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2022, 2,011,690 RSUs previously issued remained outstanding. The 2021 Incentive Plan has unrecognized stock compensation expense of $22.3 million as of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stock-based compensation expense by financial statement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6"/>
              </w:rPr>
              <w:t>Three Months Ended December 31,</w:t>
            </w:r>
          </w:p>
        </w:tc>
      </w:tr>
      <w:tr>
        <w:trPr>
          <w:trHeight w:val="237"/>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4,699</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r>
      <w:tr>
        <w:trPr>
          <w:trHeight w:val="22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w:t>
            </w:r>
          </w:p>
        </w:tc>
      </w:tr>
      <w:tr>
        <w:trPr>
          <w:trHeight w:val="248"/>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24,877</w:t>
            </w:r>
          </w:p>
        </w:tc>
      </w:tr>
      <w:tr>
        <w:trPr>
          <w:trHeight w:val="20"/>
        </w:trPr>
        <w:tc>
          <w:tcPr>
            <w:tcW w:w="7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Plan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November 11, 2022, the board of directors of the Company approved a restructuring plan to create a more sustainable organization structure for long term growth. As part of this plan, we are in the process of relocating certain positions at high-cost locations to the Fluence India Technology Centre. We expect that the restructuring plan will be complete by the end of fiscal year 2023. Management has the authority to expand the plan as determined necessary. As of December 31, 2022, we have incurred $0.8 million in severance related to the plan and additional $0.5 million in consulting fees.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Investment in Joint Venture</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and the joint venture commenced operations in the first quarter of fiscal 2023. The investment is recorded in “</w:t>
      </w:r>
      <w:r>
        <w:rPr>
          <w:rFonts w:ascii="Arial" w:cs="Arial" w:eastAsia="Arial" w:hAnsi="Arial"/>
          <w:sz w:val="17"/>
          <w:szCs w:val="17"/>
          <w:i w:val="1"/>
          <w:iCs w:val="1"/>
          <w:color w:val="auto"/>
        </w:rPr>
        <w:t>Other non-current assets</w:t>
      </w:r>
      <w:r>
        <w:rPr>
          <w:rFonts w:ascii="Arial" w:cs="Arial" w:eastAsia="Arial" w:hAnsi="Arial"/>
          <w:sz w:val="17"/>
          <w:szCs w:val="17"/>
          <w:color w:val="auto"/>
        </w:rPr>
        <w:t>.” The investment will be accounted for under the equity-method with results being reported by Fluence one quarter in arrears. The joint venture is not considered a variable interest entity and we do not consolidate the joint venture as we do not hold a controlling financial interest.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provides information that management believes is relevant to an assessment and understanding of the consolidated financial condition and results of operations of Fluence and should be read in conjunction with the accompanying consolidated financial statements and related notes thereto included in this Quarterly Report on Form 10-Q (this “Report”) as well in conjunction with our audited consolidated financial statements and related notes included in our Annual Report on Form 10-K for the fiscal year ended September 30, 2022 filed with the Securities and Exchange Commission (the “SEC”) on December 14, 2022 (“2022 Annual Report”).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our initial public offering (the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fiscal year begins on October 1 and ends on September 30. References to “fiscal year 2022” refers to the fiscal year ended September 30,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Since our inception on January 1, 2018, we have focused on international growth and developing our energy storage product and delivery services, operational services, and digital applications. We have incurred net operating losses each year since our inception. Through December 31, 2022, we have financed our operations with the proceeds from our IPO, equity contributions from AES Grid Stability, LLC (“AES Grid Stability”), Siemens Industry, Inc. (“Siemens Industry”), and QIA Florence Holdings LLC (“QFH”), cash and cash equivalents, negative working capital, and short-term borrowings.</w:t>
      </w:r>
    </w:p>
    <w:p>
      <w:pPr>
        <w:spacing w:after="0" w:line="1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2022, we deployed cumulative 1.9 GW of energy storage products and solutions, compared to 1.8 GW as of September 30, 2022. New energy storage product and solutions contracts executed during the three months ended December 31, 2022 represented total contracted power of approximately 0.6 GW compared to 0.6 GW for the three months ended December 31, 2021. We recognized total revenue of $310.5 million for the three months ended December 31, 2022, representing an increase of $135.6 million, or 77.5%, compared to the three months ended December 31, 2021 as we expanded our sales in terms of the number of energy storage products and solutions sold as well as geographic footprint.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Negotiations with our Largest Battery Module Vendor</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1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15, 2022, we finalized an agreement with the vendor, amending the supply agreement and resolving our claims. The amendments and settlement were consistent with what we had estimated and disclosed in our 2022 consolidated financial statements in our 2022 Annual Report. As part of the finalized agreement we agreed to take on additional scope of work related to commissioning the battery modules installed. The approximately $19.5 million settlement for our claims was recognized as a reduction of costs of goods and services for the three months ended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the twelve months ended September 30,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expect to continue to incur legal fees related to the incident. As of December 31, 2022, our total losses and costs to date arising from the incident are approximately $25.4 million. We also received an aggregate of $10.0 million insurance proceeds related to non-disputed claims, $7.5 million of which was collected in October 2021 and the remaining $2.5 million was collected in April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Overheating Event at Customer Facility</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11, 2022, the board of directors of the Company approved a restructuring plan to create a more sustainable organization structure for long term growth. As part of this plan, we are in the process of relocating certain positions at high-cost locations to the Fluence India Technology Centre. We expect that the restructuring plan will be complete by the end of fiscal year 2023. Management has the authority to expand the plan as determined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in the first quarter of fiscal year 2023. The joint venture commenced operations during the quarter and began hiring staff.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Performance</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those in Part I, Item 1A. “Risk Factors” in our 2022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Lithium-ion Battery Cost</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revenue growth is directly tied to the continued adoption of energy storage products and solutions by our customers. The cost of lithium-ion energy storage hardware has declined significantly in the last decade and has resulted in a large addressable market today.</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However, according to BloombergNEF’s 2021 (issued November 2021) battery price survey, higher raw material costs could push the average price of a lithium-ion battery packs up in the short term, which would mark the first annual increase in price since at least 2010. BloombergNEF predicts battery prices to decline again by 2024, although the timing of that decline could be pushed back by two years in the absence of improvements mitigating the short-term price increases.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long term, this could adversely affect our ability to increase our revenue or grow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Inflationary pressures, supply chain disruptions, geo-political stresses such as the Russia-Ukraine conflict, and other factors could result in fluctuations in demand for and deployment of renewable energy resources, adversely affecting our revenue and ability to generate profits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market for our products and solutions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experienced seasonality and see increased order intake in our third and fourth fiscal quarters (April – September), driven by demand in the Northern Hemisphere to install energy storage products and solutions before the summer of the following year. Combined third and fourth fiscal quarter order intake have historically accounted for 80% or more of our total intake each year. However, as we and the market mature we are seeing less seasonality. For fiscal year 2022 third and fourth quarter order intake accounted for only 48% of our total intake for the year. Revenue generation is typically significantly stronger in our third and fourth fiscal quarters as we provide the majority of our products and solutions to customers during these periods.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markets in which we operate, there have been higher rates of inflation in recent months. If inflation continues to increase in our markets, it may increase our expenses that we may not be able to pass through to customers. It may also increase the costs of our products and solutions that could negatively impact their competitiveness.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condensed 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5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generate revenue from the sale of energy storage products,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When we sell a battery-based energy storage product,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 behalf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 A solution may only require logistics, design, installation and or commission services depending on customer requirements.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9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Our revenue growth is dependent on continued growth in the amount of battery-based energy storage products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don’t purchase raw materials but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 related costs, are not directly affected by sales volume.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are primarily affected by our sales volume, product prices, product costs, product mix, customer mix, geographical mix, shipping method,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Research and development expenses consist of personnel-related costs across our global R&amp;D centers for engineers engaged in the design and development and testing of our integrated products and technologies. Engineering competencies include data science, software development, network and cyber security, battery systems engineering, industrial controls, UI / UX, mechanical design, and more. R&amp;D expenses also support three product testing labs located across the globe, including a new system-level testing facility in Pennsylvania that will be used for quality assurance and the rapid iteration, testing, and launching of new Fluence energy storage technology and products.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 expenses consist primarily of personnel-related expenses, including salaries, stock-based compensation, and employee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our sales presence and marketing efforts to additional countries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consists primarily of interest previously incurred on our now extinguished Line of Credit and Promissory Notes (each as defined below), unused line fees related to the revolving credit facility (the “Revolver”) pursuant to a credit agreement by and among Fluence Energy, LLC, as the borrower, Fluence Energy, Inc., as a parent guarantor, the subsidiary guarantors party thereto, the lenders party thereto and JP Morgan Chase Bank, N.A., as administrative agent and collateral agent (the “Credit Agreement”), and amortization of debt issuance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consists of income (expense) from foreign currency exchange adjustments for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Historically, prior to our IPO, Fluence Energy, LLC was not subject to U.S. federal or state income tax. As such, Fluence Energy, LLC did not pay U.S. federal or state income tax, as taxable income or loss will be included in the U.S. tax returns of its members. Fluence Energy, LLC was subject to income taxes, including withholding taxes, outside the U.S. and our income tax expense (benefit) on the consolidated statements of operations primarily relates to income taxes from foreign operations, withholding taxes on intercompany royalties and changes in valuation allowances related to deferred tax assets of certain foreign subsidiaries. After our IPO, we are now subject to U.S. federal and state income taxes with respect to our allocable share of any taxable income or loss of Fluence Energy, LLC, and are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our key operating metrics as of December 31, 2022 and September 30, 2022, and order intake for the three months ended December 31, 2022 and 2021. The tables below present the metrics in either Gigawatts (GW) or Gigawatt hours (GWh).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969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2022</w:t>
            </w:r>
          </w:p>
        </w:tc>
        <w:tc>
          <w:tcPr>
            <w:tcW w:w="216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w w:val="90"/>
              </w:rPr>
              <w:t>Change</w:t>
            </w:r>
          </w:p>
        </w:tc>
        <w:tc>
          <w:tcPr>
            <w:tcW w:w="52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 %</w:t>
            </w:r>
          </w:p>
        </w:tc>
      </w:tr>
      <w:tr>
        <w:trPr>
          <w:trHeight w:val="27"/>
        </w:trPr>
        <w:tc>
          <w:tcPr>
            <w:tcW w:w="36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 and Solutions</w:t>
            </w:r>
          </w:p>
        </w:tc>
        <w:tc>
          <w:tcPr>
            <w:tcW w:w="24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Deployed (GW)</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9"/>
                <w:szCs w:val="19"/>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40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Deployed (GWh)</w:t>
            </w:r>
          </w:p>
        </w:tc>
        <w:tc>
          <w:tcPr>
            <w:tcW w:w="2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Contracted Backlog (GW)</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19"/>
                <w:szCs w:val="19"/>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40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(GW)</w:t>
            </w:r>
          </w:p>
        </w:tc>
        <w:tc>
          <w:tcPr>
            <w:tcW w:w="2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 (GWh)</w:t>
            </w:r>
          </w:p>
        </w:tc>
        <w:tc>
          <w:tcPr>
            <w:tcW w:w="2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26.3</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22.6</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71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100" w:type="dxa"/>
            <w:vAlign w:val="bottom"/>
          </w:tcPr>
          <w:p>
            <w:pPr>
              <w:ind w:left="20"/>
              <w:spacing w:after="0"/>
              <w:rPr>
                <w:sz w:val="20"/>
                <w:szCs w:val="20"/>
                <w:color w:val="auto"/>
              </w:rPr>
            </w:pPr>
            <w:r>
              <w:rPr>
                <w:rFonts w:ascii="Arial" w:cs="Arial" w:eastAsia="Arial" w:hAnsi="Arial"/>
                <w:sz w:val="18"/>
                <w:szCs w:val="18"/>
                <w:i w:val="1"/>
                <w:iCs w:val="1"/>
                <w:color w:val="auto"/>
              </w:rPr>
              <w:t>(amounts in GW)</w:t>
            </w:r>
          </w:p>
        </w:tc>
        <w:tc>
          <w:tcPr>
            <w:tcW w:w="304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2022</w:t>
            </w: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September 30, 2022</w:t>
            </w: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w w:val="87"/>
              </w:rPr>
              <w:t>Change</w:t>
            </w:r>
          </w:p>
        </w:tc>
        <w:tc>
          <w:tcPr>
            <w:tcW w:w="580" w:type="dxa"/>
            <w:vAlign w:val="bottom"/>
          </w:tcPr>
          <w:p>
            <w:pPr>
              <w:spacing w:after="0"/>
              <w:rPr>
                <w:sz w:val="22"/>
                <w:szCs w:val="22"/>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304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304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19"/>
                <w:szCs w:val="19"/>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3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3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w:t>
            </w: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6"/>
              </w:rPr>
              <w:t>(0.5)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71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120" w:type="dxa"/>
            <w:vAlign w:val="bottom"/>
          </w:tcPr>
          <w:p>
            <w:pPr>
              <w:ind w:left="20"/>
              <w:spacing w:after="0"/>
              <w:rPr>
                <w:sz w:val="20"/>
                <w:szCs w:val="20"/>
                <w:color w:val="auto"/>
              </w:rPr>
            </w:pPr>
            <w:r>
              <w:rPr>
                <w:rFonts w:ascii="Arial" w:cs="Arial" w:eastAsia="Arial" w:hAnsi="Arial"/>
                <w:sz w:val="18"/>
                <w:szCs w:val="18"/>
                <w:i w:val="1"/>
                <w:iCs w:val="1"/>
                <w:color w:val="auto"/>
              </w:rPr>
              <w:t>(amounts in GW)</w:t>
            </w:r>
          </w:p>
        </w:tc>
        <w:tc>
          <w:tcPr>
            <w:tcW w:w="30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2022</w:t>
            </w:r>
          </w:p>
        </w:tc>
        <w:tc>
          <w:tcPr>
            <w:tcW w:w="216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w w:val="93"/>
              </w:rPr>
              <w:t>Change</w:t>
            </w:r>
          </w:p>
        </w:tc>
        <w:tc>
          <w:tcPr>
            <w:tcW w:w="50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3060" w:type="dxa"/>
            <w:vAlign w:val="bottom"/>
            <w:tcBorders>
              <w:top w:val="single" w:sz="8" w:color="auto"/>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3060" w:type="dxa"/>
            <w:vAlign w:val="bottom"/>
          </w:tcPr>
          <w:p>
            <w:pPr>
              <w:jc w:val="right"/>
              <w:ind w:right="110"/>
              <w:spacing w:after="0"/>
              <w:rPr>
                <w:sz w:val="20"/>
                <w:szCs w:val="20"/>
                <w:color w:val="auto"/>
              </w:rPr>
            </w:pPr>
            <w:r>
              <w:rPr>
                <w:rFonts w:ascii="Arial" w:cs="Arial" w:eastAsia="Arial" w:hAnsi="Arial"/>
                <w:sz w:val="18"/>
                <w:szCs w:val="18"/>
                <w:color w:val="auto"/>
              </w:rPr>
              <w:t>14.0</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900" w:type="dxa"/>
            <w:vAlign w:val="bottom"/>
          </w:tcPr>
          <w:p>
            <w:pPr>
              <w:spacing w:after="0"/>
              <w:rPr>
                <w:sz w:val="19"/>
                <w:szCs w:val="19"/>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0.3</w:t>
            </w:r>
          </w:p>
        </w:tc>
        <w:tc>
          <w:tcPr>
            <w:tcW w:w="14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3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0.4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3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20.6</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19.6</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98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6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Three Months Ended December 31,</w:t>
            </w:r>
          </w:p>
        </w:tc>
        <w:tc>
          <w:tcPr>
            <w:tcW w:w="4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87"/>
              </w:rPr>
              <w:t>Change</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 and Solutions</w:t>
            </w:r>
          </w:p>
        </w:tc>
        <w:tc>
          <w:tcPr>
            <w:tcW w:w="14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14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(0.2)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14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138.8 %</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Deployed represents cumulative energy storage products and solutions that have achieved substantial completion and are not decommissioned.</w:t>
      </w:r>
    </w:p>
    <w:p>
      <w:pPr>
        <w:spacing w:after="0" w:line="1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under management for digital software represents contracts signed and active (post go live).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 Backlog and Contracted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Contracted represents new energy storage product contracts, new service contracts and new digital contracts signed during each fiscal period presented.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Pipeline represents our uncontracted, potential revenue from energy storage products, service, and digital software contracts, which have a reasonable likelihood of contract execution within 24 months. Pipeline is monitored by management to understand the anticipated growth of our Company and our estimated future revenue related to customer contracts for our battery-based energy storage products and solutions.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 could experience a reduction in revenue, profitability, and liquidity. Pipeline is an internal management metric that we construct from market information reported by our global sales force.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Adjusted Net Loss, and Free Cash Flow.</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60" w:lineRule="auto"/>
        <w:tabs>
          <w:tab w:leader="none" w:pos="2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taxes, (iii) depreciation and amortization, (iv) stock-based compensation, and (v) other income or expenses. Adjusted EBITDA may in the future also be adjusted for amounts impacting net income related to the Tax Receivable Agreement liability.</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Gross Profit (Loss) is calculated using gross profit (loss), adjusted to exclude (i) stock-based compensation expenses and (ii) certain other income or expenses. Adjusted Gross Profit Margin is calculated using Adjusted Gross Profit (Loss) divided by total revenue.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Net Loss is calculated using net loss, adjusted to exclude (i) amortization of intangibles, (ii) stock-based compensation, (iii) other income or expenses, and (iv) tax impact of these adjustments.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4460" w:type="dxa"/>
            <w:vAlign w:val="bottom"/>
            <w:gridSpan w:val="4"/>
          </w:tcPr>
          <w:p>
            <w:pPr>
              <w:ind w:left="1640"/>
              <w:spacing w:after="0"/>
              <w:rPr>
                <w:sz w:val="20"/>
                <w:szCs w:val="20"/>
                <w:color w:val="auto"/>
              </w:rPr>
            </w:pPr>
            <w:r>
              <w:rPr>
                <w:rFonts w:ascii="Arial" w:cs="Arial" w:eastAsia="Arial" w:hAnsi="Arial"/>
                <w:sz w:val="18"/>
                <w:szCs w:val="18"/>
                <w:b w:val="1"/>
                <w:bCs w:val="1"/>
                <w:color w:val="auto"/>
                <w:w w:val="93"/>
              </w:rPr>
              <w:t>Three Months Ended December 31,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9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74,267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 (income), net</w:t>
            </w:r>
            <w:r>
              <w:rPr>
                <w:rFonts w:ascii="Arial" w:cs="Arial" w:eastAsia="Arial" w:hAnsi="Arial"/>
                <w:sz w:val="23"/>
                <w:szCs w:val="23"/>
                <w:color w:val="auto"/>
                <w:vertAlign w:val="superscript"/>
              </w:rPr>
              <w:t>(a)</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206.7</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(972)</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(271.5)</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997</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69.9</w:t>
            </w: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(b)</w:t>
            </w:r>
          </w:p>
        </w:tc>
        <w:tc>
          <w:tcPr>
            <w:tcW w:w="19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8,477</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24,877</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(16,400)</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(65.9)</w:t>
            </w:r>
          </w:p>
        </w:tc>
      </w:tr>
      <w:tr>
        <w:trPr>
          <w:trHeight w:val="229"/>
        </w:trPr>
        <w:tc>
          <w:tcPr>
            <w:tcW w:w="39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(c)</w:t>
            </w:r>
          </w:p>
        </w:tc>
        <w:tc>
          <w:tcPr>
            <w:tcW w:w="19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41,350</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(39,265)</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17,356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40.5 %</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Net interest expense (income) for the three months ended December 31, 2022 consists of $0.8 million of interest expense and $1.5 million of interest income.</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incentive awards that will be settled in shares and incentive awards that will be settled in cash.</w:t>
      </w:r>
    </w:p>
    <w:p>
      <w:pPr>
        <w:spacing w:after="0" w:line="9" w:lineRule="exact"/>
        <w:rPr>
          <w:rFonts w:ascii="Arial" w:cs="Arial" w:eastAsia="Arial" w:hAnsi="Arial"/>
          <w:sz w:val="14"/>
          <w:szCs w:val="14"/>
          <w:i w:val="1"/>
          <w:iCs w:val="1"/>
          <w:color w:val="auto"/>
        </w:rPr>
      </w:pPr>
    </w:p>
    <w:p>
      <w:pPr>
        <w:jc w:val="both"/>
        <w:ind w:firstLine="8"/>
        <w:spacing w:after="0" w:line="268" w:lineRule="auto"/>
        <w:tabs>
          <w:tab w:leader="none" w:pos="218"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the three months ended December 31 2022 included $1.0 million in severance costs, primarily related to our restructuring plan, $0.5 million in consulting fees related to restructuring plan, and $0.6 million due to the 2021 cargo loss incident and other legal matters. Amount for the three months ended December 31, 2021 included $5.6 million related to excess shipping costs and $31.3 million of project charges and other costs which are compounding effects of the COVID-19 pandemic, $4.3 million related to the 2021 cargo loss incident, and $0.1 million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3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310,460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174,887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135,573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and services</w:t>
            </w:r>
          </w:p>
        </w:tc>
        <w:tc>
          <w:tcPr>
            <w:tcW w:w="1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298,420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228,036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70,384</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30.9</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12,040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65,189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(122.7)</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(a)</w:t>
            </w:r>
          </w:p>
        </w:tc>
        <w:tc>
          <w:tcPr>
            <w:tcW w:w="1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3,528</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(2,628)</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(74.5)</w:t>
            </w:r>
          </w:p>
        </w:tc>
      </w:tr>
      <w:tr>
        <w:trPr>
          <w:trHeight w:val="230"/>
        </w:trPr>
        <w:tc>
          <w:tcPr>
            <w:tcW w:w="4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1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1,743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41,266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(39,523)</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(95.8)</w:t>
            </w: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14,683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23,038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Gross Profit Margin %</w:t>
            </w:r>
          </w:p>
        </w:tc>
        <w:tc>
          <w:tcPr>
            <w:tcW w:w="1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incentive awards that will be settled in shares and incentive awards that will be settled in cash.</w:t>
      </w:r>
    </w:p>
    <w:p>
      <w:pPr>
        <w:spacing w:after="0" w:line="21" w:lineRule="exact"/>
        <w:rPr>
          <w:rFonts w:ascii="Arial" w:cs="Arial" w:eastAsia="Arial" w:hAnsi="Arial"/>
          <w:sz w:val="14"/>
          <w:szCs w:val="14"/>
          <w:i w:val="1"/>
          <w:iCs w:val="1"/>
          <w:color w:val="auto"/>
        </w:rPr>
      </w:pPr>
    </w:p>
    <w:p>
      <w:pPr>
        <w:jc w:val="both"/>
        <w:ind w:firstLine="8"/>
        <w:spacing w:after="0" w:line="272" w:lineRule="auto"/>
        <w:tabs>
          <w:tab w:leader="none" w:pos="212"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the three months ended December 31 2022 included $1.6 million related to the 2021 cargo loss incident and other legal matters and $0.1 million in severance costs related the restructuring plan. Amount for the three months ended December 31, 2021 included $5.6 million related to excess shipping costs and $31.3 million of project charges and other costs which are compounding effects of the COVID-19 pandemic, and $4.3 million related to the 2021 cargo loss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4320" w:type="dxa"/>
            <w:vAlign w:val="bottom"/>
            <w:gridSpan w:val="4"/>
          </w:tcPr>
          <w:p>
            <w:pPr>
              <w:ind w:left="1540"/>
              <w:spacing w:after="0"/>
              <w:rPr>
                <w:sz w:val="20"/>
                <w:szCs w:val="20"/>
                <w:color w:val="auto"/>
              </w:rPr>
            </w:pPr>
            <w:r>
              <w:rPr>
                <w:rFonts w:ascii="Arial" w:cs="Arial" w:eastAsia="Arial" w:hAnsi="Arial"/>
                <w:sz w:val="18"/>
                <w:szCs w:val="18"/>
                <w:b w:val="1"/>
                <w:bCs w:val="1"/>
                <w:color w:val="auto"/>
                <w:w w:val="91"/>
              </w:rPr>
              <w:t>Three Months Ended December 31,</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8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74,267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621</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(67.6)</w:t>
            </w:r>
          </w:p>
        </w:tc>
      </w:tr>
      <w:tr>
        <w:trPr>
          <w:trHeight w:val="230"/>
        </w:trPr>
        <w:tc>
          <w:tcPr>
            <w:tcW w:w="3960" w:type="dxa"/>
            <w:vAlign w:val="bottom"/>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(a)</w:t>
            </w:r>
          </w:p>
        </w:tc>
        <w:tc>
          <w:tcPr>
            <w:tcW w:w="18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8,477</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24,877</w:t>
            </w:r>
          </w:p>
        </w:tc>
        <w:tc>
          <w:tcPr>
            <w:tcW w:w="3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(16,400)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(65.9)</w:t>
            </w:r>
          </w:p>
        </w:tc>
      </w:tr>
      <w:tr>
        <w:trPr>
          <w:trHeight w:val="230"/>
        </w:trPr>
        <w:tc>
          <w:tcPr>
            <w:tcW w:w="39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18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41,350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(39,265)</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r>
      <w:tr>
        <w:trPr>
          <w:trHeight w:val="22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Loss</w:t>
            </w:r>
          </w:p>
        </w:tc>
        <w:tc>
          <w:tcPr>
            <w:tcW w:w="18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(25,092)</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incentive awards that will be settled in shares and incentive awards that will be settled in cash.</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Amount for the three months ended December 31 2022 included $1.0 million in severance costs primarily related to restructuring plan, $0.5 million in consulting fees related to restructuring</w:t>
      </w:r>
    </w:p>
    <w:p>
      <w:pPr>
        <w:spacing w:after="0" w:line="2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plan, and $0.6 million due to the 2021 cargo loss incident and other legal matters. Amount for the three months ended December 31, 2021 included $5.6 million related to excess shipping costs and $31.3 million of project charges and other costs which are compounding effects of the COVID-19 pandemic, $4.3 million related to the 2021 cargo loss incident, and $0.1 million IPO-related expenses which did not qualify for capitalization.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8"/>
              </w:rPr>
              <w:t>Three Months Ended December 31,</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(88,898)</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(191,551)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102,653</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(53.6)%</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(1,626)</w:t>
            </w:r>
          </w:p>
        </w:tc>
        <w:tc>
          <w:tcPr>
            <w:tcW w:w="13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186.9</w:t>
            </w:r>
          </w:p>
        </w:tc>
      </w:tr>
      <w:tr>
        <w:trPr>
          <w:trHeight w:val="248"/>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(91,394)</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101,027</w:t>
            </w:r>
          </w:p>
        </w:tc>
        <w:tc>
          <w:tcPr>
            <w:tcW w:w="13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1"/>
              </w:rPr>
              <w:t>(52.5)%</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December 31, 2022 to the Three Months Ended December 31, 2021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3"/>
          </w:tcPr>
          <w:p>
            <w:pPr>
              <w:jc w:val="right"/>
              <w:ind w:right="571"/>
              <w:spacing w:after="0" w:line="189"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7"/>
        </w:trPr>
        <w:tc>
          <w:tcPr>
            <w:tcW w:w="5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 %</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310,460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174,887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135,573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of goods and services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298,420</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228,036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70,384</w:t>
            </w: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30.9</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12,040</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(53,149)</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65,189</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(122.7)</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3.9 %</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19,162</w:t>
            </w: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10,758</w:t>
            </w:r>
          </w:p>
        </w:tc>
        <w:tc>
          <w:tcPr>
            <w:tcW w:w="360" w:type="dxa"/>
            <w:vAlign w:val="bottom"/>
          </w:tcPr>
          <w:p>
            <w:pPr>
              <w:spacing w:after="0"/>
              <w:rPr>
                <w:sz w:val="19"/>
                <w:szCs w:val="19"/>
                <w:color w:val="auto"/>
              </w:rPr>
            </w:pP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8,404</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78.1</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8,792</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13,059</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(4,267)</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(32.7)</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31,267</w:t>
            </w: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31,201</w:t>
            </w:r>
          </w:p>
        </w:tc>
        <w:tc>
          <w:tcPr>
            <w:tcW w:w="360" w:type="dxa"/>
            <w:vAlign w:val="bottom"/>
          </w:tcPr>
          <w:p>
            <w:pPr>
              <w:spacing w:after="0"/>
              <w:rPr>
                <w:sz w:val="19"/>
                <w:szCs w:val="19"/>
                <w:color w:val="auto"/>
              </w:rPr>
            </w:pP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66</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2,424</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1,427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997</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69.9</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816</w:t>
            </w: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682</w:t>
            </w:r>
          </w:p>
        </w:tc>
        <w:tc>
          <w:tcPr>
            <w:tcW w:w="360" w:type="dxa"/>
            <w:vAlign w:val="bottom"/>
          </w:tcPr>
          <w:p>
            <w:pPr>
              <w:spacing w:after="0"/>
              <w:rPr>
                <w:sz w:val="19"/>
                <w:szCs w:val="19"/>
                <w:color w:val="auto"/>
              </w:rPr>
            </w:pP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134</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19.6</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12,614</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(826)</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13,440</w:t>
            </w: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(1627.1)</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(37,807)</w:t>
            </w:r>
          </w:p>
        </w:tc>
        <w:tc>
          <w:tcPr>
            <w:tcW w:w="5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w w:val="93"/>
              </w:rPr>
              <w:t>(111,102)</w:t>
            </w:r>
          </w:p>
        </w:tc>
        <w:tc>
          <w:tcPr>
            <w:tcW w:w="360" w:type="dxa"/>
            <w:vAlign w:val="bottom"/>
          </w:tcPr>
          <w:p>
            <w:pPr>
              <w:spacing w:after="0"/>
              <w:rPr>
                <w:sz w:val="19"/>
                <w:szCs w:val="19"/>
                <w:color w:val="auto"/>
              </w:rPr>
            </w:pP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73,295</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66.0</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(income)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(614)</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358</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(972)</w:t>
            </w: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(271.5)</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(37,193)</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(111,460)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74,267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66.6 %</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(12,551)</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(82,655)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70,104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84.8 %</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attributable to Fluence Energy,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(24,642)</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(28,805)</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4,163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 was $310.5 million for the three months ended December 31, 2022, compared to $174.9 million for the three months ended December 31, 2021, representing an increase of $135.6 million, or 77.5%. The increase in total revenue for the three month period compared to the same period of the prior year was mainly attributable to the expansion of sales of our battery-based energy storage products and solutions, particularly in the Americas and EMEA regions.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goods and services was $298.4 million for the three months ended December 31, 2022, compared to $228.0 million for the three months ended December 31, 2021, representing an increase of $70.4 million, or 30.9%. The increase is attributable to an increase in sales volume, offset by a reduction of $19.5 million due to settlement of contractual claims with our largest battery module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Gross profit was $12.0 million, and gross profit margin was 3.9%, for the three months ended December 31, 2022, compared to a gross loss of $(53.1) million, and a gross profit margin of (30.4)%, for the three months ended December 31, 2021. The gross loss in the prior period was negatively impacted by (i) capacity constraints within the shipping industry and increased shipping costs, both of which were caused primarily as a result of the COVID-19 pandemic, (ii) cost overruns, delays and other project charges we experienced in some projects under construction, and in deliveries our sixth-generation products and (iii) the 2021 cargo loss incident. These negative conditions are not expected in current period. The gross profit and gross margin in the current year is attributable to a reduction of project delays and shipping constraints that occurred in prior period but not in the current period, as well as a reduction of costs of goods and services of $19.5 million due to settlement of contractual claims with our largest battery module vendor and due to change orders recognized with customers in the current period for price increases to recover costs previously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Research and development expenses increased from $10.8 million for the three months ended December 31, 2021 to $19.2 million for the three months ended December 31, 2022. The increase of $8.4 million, or 78.1%, was mainly related to increased salaries and personnel-related costs in the current period due to higher headcount to support our growth as we have been investing heavily in our human capital, technology, products, solutions, and services to support significant increases in our operations and related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decreased from $13.1 million for the three months ended December 31, 2021 to $8.8 million for the three months ended December 31, 2022. The decrease of $(4.3) million, or (33)%, was primarily related to a reduction of stock-based compensation expense. Stock-based compensation expense was higher in the three months ended December 31, 2021 due to previously unrecognized stock-based compensation expense being recognized due to achievement of the performance condition being met upon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General and administrative expenses were $31.2 million for the three months ended December 31, 2021 and $31.3 million for the three months ended December 31, 2022. The increase of $0.1 million, or 0.2%, was primarily due to an increase in personal related expenses, and consulting fees offset by a reduction of stock-based compensation expense. Stock-based compensation expense was higher in the three months ended December 31, 2021 due to previously unrecognized stock-based compensation expense being recognized due to achievement of the performance condition being met upon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Depreciation and amortization increased from $1.4 million for the three months ended December 31, 2021 to $2.4 million for the three months ended December 31, 2022. The increase of $1.0 million was attributable to an increase of $0.6 million amortization related to intangible assets acquired in April 2022 and $0.4 million depreciation from increased fixed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$0.8 million for the three months ended December 31, 2022, compared to $0.7 million for the three months ended December 31, 2021. The increase of $0.1 million was primarily due to the increased amortization of Revolver deferred financing costs, partially offset by a decrease in interest expense on our Line of Credit which was repaid in November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was $12.6 million for the three months ended December 31, 2022, compared to other expense, net of $(0.8) million for the three months ended December 31, 2021. The $13.4 million increase, or 1627%, was mainly a result of foreign currency exchange adjustments for monetary assets and liabilities.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(benefit) was $(0.6) million for the three months ended December 31, 2022 and $0.4 million for the three months ended December 31, 2021. The effective income tax rate was 1.6% and (0.3)% for the three months ended December 31, 2022 and 2021, respectively. The increase in income tax benefit and change in effective tax rate were primarily due to changes in valuation allowances and foreign exchange gains and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loss decreased from $(111.5) million for the three months ended December 31, 2021 to $(37.2) million for the three months ended December 31, 2022. The decrease of $74.3 million, or (66.6)%, was driven by a reduction of (i) capacity constraints within the shipping industry and increased shipping costs, both of which were caused primarily as a result of the COVID-19 pandemic, (ii) cost overruns and delays we experienced in some projects under construction at that time, and (iii) the 2021 cargo loss incident. In the first quarter of 2022, we did not incur additional IPO costs and we recorded a reduction of costs of goods and services of $19.5 million due to settlement of contractual claims with our largest battery module vendor.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inception and through December 31, 2022, our principal sources of liquidity were the proceeds from our IPO, our cash and cash equivalents, short-term borrowings, capital contributions from AES Grid Stability and Siemens Industry, and proceeds from the QFH investment. We believe the proceeds received from our IPO, cash flows from operations, along with short-term borrowing will be sufficient to meet our expense and capital requirements for at least the next twelve months following the filing of this Report.</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November 1, 2021, upon the closing of our IPO, we received net proceeds of $935.8 million, after deducting underwriting discounts and offering expenses payable by the Company. </w:t>
      </w:r>
      <w:r>
        <w:rPr>
          <w:rFonts w:ascii="Arial" w:cs="Arial" w:eastAsia="Arial" w:hAnsi="Arial"/>
          <w:sz w:val="17"/>
          <w:szCs w:val="17"/>
          <w:color w:val="0D0D0D"/>
        </w:rPr>
        <w:t>The net proceeds from the IPO were used to purchase 35,650,000 newly issued limited liability company interests</w:t>
      </w:r>
      <w:r>
        <w:rPr>
          <w:rFonts w:ascii="Arial" w:cs="Arial" w:eastAsia="Arial" w:hAnsi="Arial"/>
          <w:sz w:val="17"/>
          <w:szCs w:val="17"/>
          <w:color w:val="auto"/>
        </w:rPr>
        <w:t xml:space="preserve"> </w:t>
      </w:r>
      <w:r>
        <w:rPr>
          <w:rFonts w:ascii="Arial" w:cs="Arial" w:eastAsia="Arial" w:hAnsi="Arial"/>
          <w:sz w:val="17"/>
          <w:szCs w:val="17"/>
          <w:color w:val="0D0D0D"/>
        </w:rPr>
        <w:t>(“LLC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(as defined below) The remainder of the proceeds has been used for working capital and other general corporate purposes.</w:t>
      </w:r>
    </w:p>
    <w:p>
      <w:pPr>
        <w:spacing w:after="0" w:line="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IPO, we had a Line of Credit with Citibank which allowed us to borrow an amount in aggregate not to exceed $50.0 million, with the expiration date on March 31, 2023. During the three months ended December 31, 2021, the Company paid off in full the $50.0 million outstanding borrowing under the Line of Credit using the proceeds from the IPO. The Line of Credit was canceled shortly thereafter.</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bore interest at a rate of 2.86%. The Promissory Notes were repaid in full on November 1, 2021 using proceeds from the IPO.</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December 31, 2022, AES and Siemens issued guarantees of $50.0 million each, for a total of $100.0 million, to SCF Bank on our behalf.</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three suppliers were actively participating in the supply chain financing program, and we had $97.8 million of payables outstanding subject to the program. All outstanding payments owed under the program are recorded within “Accounts payable”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November 1, 2021, we entered into the Credit Agreement,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and added UBS AG, Stamford Branch as an additional lender under the Revolver. As of December 31, 2022, the aggregate amount of commitments is $200.0 million from the lenders party including JP Morgan Chase Bank, N.A., Morgan Stanley Senior Funding, Inc., Bank of America, N.A., Barclays Bank PLC, and six other banks. The maturity date of the Revolver is November 1, 2025.</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Revolver bears interest at either (i) the Adjusted LIBOR or Adjusted EURIBO Rate (each as defined in the Credit Agreement) plus 3.0% or (ii) the Alternate Base Rate (as defined in the Credit Agreement)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2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terms of the Credit Agreement limit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w:t>
      </w:r>
    </w:p>
    <w:p>
      <w:pPr>
        <w:spacing w:after="0" w:line="4" w:lineRule="exact"/>
        <w:rPr>
          <w:sz w:val="20"/>
          <w:szCs w:val="20"/>
          <w:color w:val="auto"/>
        </w:rPr>
      </w:pPr>
    </w:p>
    <w:p>
      <w:pPr>
        <w:jc w:val="both"/>
        <w:ind w:firstLine="8"/>
        <w:spacing w:after="0" w:line="286"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and certain operational expenses incurred in connection with the ownership and management of Fluence Energy, LLC.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December 31, 2022, we were in compliance with all such covenants or maintained availability above such covenant triggers.</w:t>
      </w:r>
    </w:p>
    <w:p>
      <w:pPr>
        <w:spacing w:after="0" w:line="10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2022, we had no borrowings under the Revolver and availability under the facility of $156.4 million, net of letters of credit issued of $43.6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7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(88,898)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102,653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(6,331)</w:t>
            </w:r>
          </w:p>
        </w:tc>
        <w:tc>
          <w:tcPr>
            <w:tcW w:w="1480" w:type="dxa"/>
            <w:vAlign w:val="bottom"/>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(5,461)</w:t>
            </w:r>
          </w:p>
        </w:tc>
        <w:tc>
          <w:tcPr>
            <w:tcW w:w="1380" w:type="dxa"/>
            <w:vAlign w:val="bottom"/>
          </w:tcPr>
          <w:p>
            <w:pPr>
              <w:jc w:val="right"/>
              <w:spacing w:after="0"/>
              <w:rPr>
                <w:sz w:val="20"/>
                <w:szCs w:val="20"/>
                <w:color w:val="auto"/>
              </w:rPr>
            </w:pPr>
            <w:r>
              <w:rPr>
                <w:rFonts w:ascii="Arial" w:cs="Arial" w:eastAsia="Arial" w:hAnsi="Arial"/>
                <w:sz w:val="18"/>
                <w:szCs w:val="18"/>
                <w:color w:val="auto"/>
              </w:rPr>
              <w:t>627.7 %</w:t>
            </w: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23,252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833,487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(810,235)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flows used in operating activities were $88.9 million for the three months ended December 31, 2022 compared to $191.6 million for the three months ended December 31, 2021. The decrease in net operating cash outflows was primarily driven by reduction in net operating loss, increases in accounts payable and deferred revenue, offset by purchases of inventory.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flows used in investing activities were $6.3 million for the three months ended December 31, 2022, which included $2.5 million purchases of property and equipment and $5.0 million investment in joint venture offset by proceeds on short term investments. Net cash flows used in investing activities were $0.9 million for the three months ended December 31, 2021, due to purchases of property and equipment.</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flows provided by financing activities were approximately $23.3 million for the three months ended December 31, 2022. The net cash flows provided by financing activities were primarily driven by $21.1 million of proceeds from secured borrowings against notes receivable and $2.4 million of proceeds from the exercise of stock options, offset by $0.3 million related to repurchase of Class A common stock placed in treasury. Net cash flows provided by financing activities were $833.5 million for the three months ended December 31, 2021, which included $948.0 million net proceeds from issuance of Class A common stock sold in the IPO, net of underwriting discounts and offering expenses, offset by the repayment of $100.0 million short term borrowings from the Line of Credit and the Promissory Notes, a $6.3 million payment of transaction costs related to issuance of membership units, and $2.7 million payments of debt issuance costs related to the Revolver.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(the “Redemption”). The Redemption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2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expect that as a result of the tax basis adjustment of the assets of Fluence Energy, LLC and its subsidiaries upon the Redemption and our possible utilization of certain tax attributes, the payments that we may make under the Tax Receivable Agreement will be substantial. As a result of the Redemption, we estimate tax savings of approximately $109.6 million. Siemens will be entitled to receive payments under the Tax Receivable Agreement equaling 85% of such amount, or $93.1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spacing w:after="0" w:line="20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have determined it is not probable payments under the Tax Receivable Agreement would be made, given there is no expectation of future sufficient taxable income over the term of the agreement to utilize the deductions in the future.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spacing w:after="0" w:line="9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the three months ended December 31, 2022, there were no significant changes in application of our critical accounting policies or estimation procedures from those described under the heading “Management’s Discussion and Analysis of Financial Condition and Results of Operations—Critical Accounting Policies and Use of Estimates” in our 2022 Annual Report and the notes to the audited consolidated financial statements appearing elsewhere in the 2022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There have been no material changes with respect to our exposure to market risk as disclosed in Part II, Item 7A, “Quantitative and Qualitative Disclosures About Market Risk” of our 2022 Annual Report.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9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carried out an evaluation of the effectiveness of our disclosure controls and procedures (as such term is defined in Rules 13a-15(e) and 15d-15(e) under the Exchange Act) as of December 31, 2022, the end of the period covered by this Report. Based upon that evaluation, and as a result of the material weaknesses described below, management concluded that, as of December 31, 2022, our disclosure controls and procedures were not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a material weakness in the internal control over revenue recognition and related inventory has not been fully remediated. The Company did not sufficiently design and implement controls related to revenue recognition and associated processes, including in-transit and delivered equipment and liquidated damages.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assessed the material weakness as not fully remediated due to the timing of control implementation and operating issues identified in management’s assessment of controls. However, there have been significant efforts and additional controls implemented to address the risks as follows: (1) enhancement of our revenue recognition policies, including training on the policies, (2) implementation of project-level and accounting-level controls to review project costs, liquidated damages, and revenue calculations, (3) implementation of effective controls over account analyses and reconciliations, and (4) hired additional resources and continue to hire to provide necessary expertise to continue to mature control environment.</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will consider the material weakness remediated after the applicable controls operate for a sufficient period of time, and management has concluded, through testing, that the controls are operating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unaudited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have been no material changes with respect to our risk factors previously disclosed in our 2022 Annual Report except as stated below. You should carefully consider the risks described in Item 1A. "Risk Factors" of our 2022 Annual Report, which are incorporated herein by reference, together with all of the other information included in this Report, before making an investment decision. Our business, financial condition and results of operations could be materially and adversely affected by any of these risks or uncertainties.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incentives for, or regulations mandating the use of, renewable energy could impact demand for energy storage products and harm our business.</w:t>
      </w:r>
    </w:p>
    <w:p>
      <w:pPr>
        <w:spacing w:after="0" w:line="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Federal, state, local, and foreign government bodies provide incentives to owners, end users, distributors, system integrators and manufacturers of renewable energy products to promote renewable electricity in the form of rebates, tax credits and other financial incentives. The range and duration of these incentives varies widely by jurisdiction. Our customers typically use our products for grid-connected applications wherein power is sold under a power purchase agreement or into an organized electric market. The reduction, elimination, or expiration of government incentives for grid-connected electricity may negatively affect the competitiveness of our offerings relative to conventional renewable sources of electricity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therefore could harm our business and cash flows.</w:t>
      </w:r>
    </w:p>
    <w:p>
      <w:pPr>
        <w:spacing w:after="0" w:line="11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August 2022, the United States passed the Inflation Reduction Act of 2022 (the “IRA”), which includes a number of government incentives that support the adoption of energy storage products and services and are anticipated to benefit the Company and its operations. Forthcoming guidance to implement the IRA from the U.S. Department of Treasury and other federal administrative agencies could be drafted in such manner that would not be as anticipated and may be less beneficial than anticipated, or even adverse, to the Company’s interests. Furthermore, the impact of the IRA to our operations cannot be known with certainty and we may not recognize the benefits we anticipate. We are continuing to evaluate the potential overall impact and applicability of the IRA on our business and operations. To the extent that any changes resulting from the IRA are less beneficial than anticipated or have a negative impact on us or our business, these changes may materially and adversely impact our business, financial condition, and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2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1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No.</w:t>
            </w:r>
          </w:p>
        </w:tc>
        <w:tc>
          <w:tcPr>
            <w:tcW w:w="5200" w:type="dxa"/>
            <w:vAlign w:val="bottom"/>
            <w:gridSpan w:val="16"/>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3280" w:type="dxa"/>
            <w:vAlign w:val="bottom"/>
            <w:gridSpan w:val="2"/>
          </w:tcPr>
          <w:p>
            <w:pPr>
              <w:ind w:left="700"/>
              <w:spacing w:after="0"/>
              <w:rPr>
                <w:sz w:val="20"/>
                <w:szCs w:val="20"/>
                <w:color w:val="auto"/>
              </w:rPr>
            </w:pPr>
            <w:r>
              <w:rPr>
                <w:rFonts w:ascii="Arial" w:cs="Arial" w:eastAsia="Arial" w:hAnsi="Arial"/>
                <w:sz w:val="14"/>
                <w:szCs w:val="14"/>
                <w:b w:val="1"/>
                <w:bCs w:val="1"/>
                <w:color w:val="auto"/>
              </w:rPr>
              <w:t>Exhibit No. Filing Date</w:t>
            </w:r>
          </w:p>
        </w:tc>
        <w:tc>
          <w:tcPr>
            <w:tcW w:w="0" w:type="dxa"/>
            <w:vAlign w:val="bottom"/>
          </w:tcPr>
          <w:p>
            <w:pPr>
              <w:spacing w:after="0"/>
              <w:rPr>
                <w:sz w:val="1"/>
                <w:szCs w:val="1"/>
                <w:color w:val="auto"/>
              </w:rPr>
            </w:pPr>
          </w:p>
        </w:tc>
      </w:tr>
      <w:tr>
        <w:trPr>
          <w:trHeight w:val="26"/>
        </w:trPr>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87"/>
              </w:rPr>
              <w:t>3.1</w:t>
            </w:r>
          </w:p>
        </w:tc>
        <w:tc>
          <w:tcPr>
            <w:tcW w:w="5200" w:type="dxa"/>
            <w:vAlign w:val="bottom"/>
            <w:gridSpan w:val="16"/>
            <w:shd w:val="clear" w:color="auto" w:fill="CCEEFF"/>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Amended and Restated Certificate of Incorporation of Fluence Energy,</w:t>
              </w:r>
            </w:hyperlink>
          </w:p>
        </w:tc>
        <w:tc>
          <w:tcPr>
            <w:tcW w:w="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0"/>
              </w:rPr>
              <w:t>001-40978</w:t>
            </w:r>
          </w:p>
        </w:tc>
        <w:tc>
          <w:tcPr>
            <w:tcW w:w="118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3.1</w:t>
            </w:r>
          </w:p>
        </w:tc>
        <w:tc>
          <w:tcPr>
            <w:tcW w:w="210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230"/>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0000FF"/>
            </w:tcBorders>
            <w:shd w:val="clear" w:color="auto" w:fill="CCEEFF"/>
          </w:tcPr>
          <w:p>
            <w:pPr>
              <w:spacing w:after="0" w:line="182"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Inc.</w:t>
              </w:r>
            </w:hyperlink>
          </w:p>
        </w:tc>
        <w:tc>
          <w:tcPr>
            <w:tcW w:w="4820" w:type="dxa"/>
            <w:vAlign w:val="bottom"/>
            <w:tcBorders>
              <w:top w:val="single" w:sz="8" w:color="0000FF"/>
              <w:bottom w:val="single" w:sz="8" w:color="CCEEFF"/>
            </w:tcBorders>
            <w:gridSpan w:val="14"/>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7"/>
              </w:rPr>
              <w:t>3.2</w:t>
            </w:r>
          </w:p>
        </w:tc>
        <w:tc>
          <w:tcPr>
            <w:tcW w:w="5200" w:type="dxa"/>
            <w:vAlign w:val="bottom"/>
            <w:gridSpan w:val="16"/>
          </w:tcPr>
          <w:p>
            <w:pPr>
              <w:spacing w:after="0" w:line="202" w:lineRule="exact"/>
              <w:rPr>
                <w:rFonts w:ascii="Arial" w:cs="Arial" w:eastAsia="Arial" w:hAnsi="Arial"/>
                <w:sz w:val="18"/>
                <w:szCs w:val="18"/>
                <w:color w:val="0000FF"/>
              </w:rPr>
            </w:pPr>
            <w:hyperlink r:id="rId81">
              <w:r>
                <w:rPr>
                  <w:rFonts w:ascii="Arial" w:cs="Arial" w:eastAsia="Arial" w:hAnsi="Arial"/>
                  <w:sz w:val="18"/>
                  <w:szCs w:val="18"/>
                  <w:color w:val="0000FF"/>
                </w:rPr>
                <w:t>First Certificate of Amendment to the Amended and Restated</w:t>
              </w:r>
            </w:hyperlink>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rPr>
              <w:t>8-K</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0"/>
              </w:rPr>
              <w:t>001-40978</w:t>
            </w:r>
          </w:p>
        </w:tc>
        <w:tc>
          <w:tcPr>
            <w:tcW w:w="1180" w:type="dxa"/>
            <w:vAlign w:val="bottom"/>
          </w:tcPr>
          <w:p>
            <w:pPr>
              <w:ind w:left="700"/>
              <w:spacing w:after="0" w:line="202" w:lineRule="exact"/>
              <w:rPr>
                <w:sz w:val="20"/>
                <w:szCs w:val="20"/>
                <w:color w:val="auto"/>
              </w:rPr>
            </w:pPr>
            <w:r>
              <w:rPr>
                <w:rFonts w:ascii="Arial" w:cs="Arial" w:eastAsia="Arial" w:hAnsi="Arial"/>
                <w:sz w:val="18"/>
                <w:szCs w:val="18"/>
                <w:color w:val="auto"/>
              </w:rPr>
              <w:t>3.1</w:t>
            </w:r>
          </w:p>
        </w:tc>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December 22, 2022</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44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Certificate of Incorporation of Fluence Energy, Inc.</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87"/>
              </w:rPr>
              <w:t>3.3</w:t>
            </w:r>
          </w:p>
        </w:tc>
        <w:tc>
          <w:tcPr>
            <w:tcW w:w="398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89"/>
              </w:rPr>
            </w:pPr>
            <w:hyperlink r:id="rId82">
              <w:r>
                <w:rPr>
                  <w:rFonts w:ascii="Arial" w:cs="Arial" w:eastAsia="Arial" w:hAnsi="Arial"/>
                  <w:sz w:val="18"/>
                  <w:szCs w:val="18"/>
                  <w:color w:val="0000FF"/>
                  <w:w w:val="89"/>
                </w:rPr>
                <w:t>Amended and Restated Bylaws of Fluence Energy, Inc.</w:t>
              </w:r>
            </w:hyperlink>
          </w:p>
        </w:tc>
        <w:tc>
          <w:tcPr>
            <w:tcW w:w="1220" w:type="dxa"/>
            <w:vAlign w:val="bottom"/>
            <w:tcBorders>
              <w:bottom w:val="single" w:sz="8" w:color="CCEEFF"/>
            </w:tcBorders>
            <w:gridSpan w:val="10"/>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0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001-40978</w:t>
            </w:r>
          </w:p>
        </w:tc>
        <w:tc>
          <w:tcPr>
            <w:tcW w:w="1180" w:type="dxa"/>
            <w:vAlign w:val="bottom"/>
            <w:tcBorders>
              <w:bottom w:val="single" w:sz="8" w:color="CCEEFF"/>
            </w:tcBorders>
            <w:shd w:val="clear" w:color="auto" w:fill="CCEEFF"/>
          </w:tcPr>
          <w:p>
            <w:pPr>
              <w:ind w:left="700"/>
              <w:spacing w:after="0" w:line="189" w:lineRule="exact"/>
              <w:rPr>
                <w:sz w:val="20"/>
                <w:szCs w:val="20"/>
                <w:color w:val="auto"/>
              </w:rPr>
            </w:pPr>
            <w:r>
              <w:rPr>
                <w:rFonts w:ascii="Arial" w:cs="Arial" w:eastAsia="Arial" w:hAnsi="Arial"/>
                <w:sz w:val="18"/>
                <w:szCs w:val="18"/>
                <w:color w:val="auto"/>
              </w:rPr>
              <w:t>3.2</w:t>
            </w:r>
          </w:p>
        </w:tc>
        <w:tc>
          <w:tcPr>
            <w:tcW w:w="210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89"/>
        </w:trPr>
        <w:tc>
          <w:tcPr>
            <w:tcW w:w="120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3"/>
              </w:rPr>
              <w:t>4.1*</w:t>
            </w:r>
          </w:p>
        </w:tc>
        <w:tc>
          <w:tcPr>
            <w:tcW w:w="5200" w:type="dxa"/>
            <w:vAlign w:val="bottom"/>
            <w:gridSpan w:val="16"/>
          </w:tcPr>
          <w:p>
            <w:pPr>
              <w:spacing w:after="0" w:line="189" w:lineRule="exact"/>
              <w:rPr>
                <w:sz w:val="20"/>
                <w:szCs w:val="20"/>
                <w:color w:val="auto"/>
              </w:rPr>
            </w:pPr>
            <w:r>
              <w:rPr>
                <w:rFonts w:ascii="Arial" w:cs="Arial" w:eastAsia="Arial" w:hAnsi="Arial"/>
                <w:sz w:val="18"/>
                <w:szCs w:val="18"/>
                <w:color w:val="0000FF"/>
              </w:rPr>
              <w:t>Description of Registered Securities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99"/>
              </w:rPr>
              <w:t>31.1*</w:t>
            </w:r>
          </w:p>
        </w:tc>
        <w:tc>
          <w:tcPr>
            <w:tcW w:w="5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8"/>
              </w:rPr>
              <w:t>Certification of the Company’s Chief Executive Officer pursuant to</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10"/>
            <w:shd w:val="clear" w:color="auto" w:fill="CCEEFF"/>
          </w:tcPr>
          <w:p>
            <w:pPr>
              <w:spacing w:after="0" w:line="156" w:lineRule="exact"/>
              <w:rPr>
                <w:sz w:val="20"/>
                <w:szCs w:val="20"/>
                <w:color w:val="auto"/>
              </w:rPr>
            </w:pPr>
            <w:r>
              <w:rPr>
                <w:rFonts w:ascii="Arial" w:cs="Arial" w:eastAsia="Arial" w:hAnsi="Arial"/>
                <w:sz w:val="18"/>
                <w:szCs w:val="18"/>
                <w:color w:val="0000FF"/>
                <w:w w:val="91"/>
              </w:rPr>
              <w:t>Rule 13a-14(a) and Rule 15d-14(a) of the Securities Exchange Act</w:t>
            </w:r>
          </w:p>
        </w:tc>
        <w:tc>
          <w:tcPr>
            <w:tcW w:w="340" w:type="dxa"/>
            <w:vAlign w:val="bottom"/>
            <w:tcBorders>
              <w:top w:val="single" w:sz="8" w:color="CCEEFF"/>
            </w:tcBorders>
            <w:gridSpan w:val="6"/>
            <w:shd w:val="clear" w:color="auto" w:fill="CCEEFF"/>
          </w:tcPr>
          <w:p>
            <w:pPr>
              <w:jc w:val="right"/>
              <w:ind w:right="200"/>
              <w:spacing w:after="0" w:line="156" w:lineRule="exact"/>
              <w:rPr>
                <w:sz w:val="20"/>
                <w:szCs w:val="20"/>
                <w:color w:val="auto"/>
              </w:rPr>
            </w:pPr>
            <w:r>
              <w:rPr>
                <w:rFonts w:ascii="Arial" w:cs="Arial" w:eastAsia="Arial" w:hAnsi="Arial"/>
                <w:sz w:val="18"/>
                <w:szCs w:val="18"/>
                <w:color w:val="0000FF"/>
                <w:w w:val="79"/>
              </w:rPr>
              <w:t>of</w:t>
            </w: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5000" w:type="dxa"/>
            <w:vAlign w:val="bottom"/>
            <w:tcBorders>
              <w:top w:val="single" w:sz="8" w:color="0000FF"/>
              <w:bottom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w w:val="88"/>
              </w:rPr>
              <w:t>1934, as amended,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2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5040" w:type="dxa"/>
            <w:vAlign w:val="bottom"/>
            <w:gridSpan w:val="13"/>
            <w:shd w:val="clear" w:color="auto" w:fill="CCEEFF"/>
          </w:tcPr>
          <w:p>
            <w:pPr>
              <w:spacing w:after="0" w:line="156" w:lineRule="exact"/>
              <w:rPr>
                <w:sz w:val="20"/>
                <w:szCs w:val="20"/>
                <w:color w:val="auto"/>
              </w:rPr>
            </w:pPr>
            <w:r>
              <w:rPr>
                <w:rFonts w:ascii="Arial" w:cs="Arial" w:eastAsia="Arial" w:hAnsi="Arial"/>
                <w:sz w:val="18"/>
                <w:szCs w:val="18"/>
                <w:color w:val="0000FF"/>
              </w:rPr>
              <w:t>of 2002.</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9"/>
              </w:rPr>
              <w:t>31.2*</w:t>
            </w:r>
          </w:p>
        </w:tc>
        <w:tc>
          <w:tcPr>
            <w:tcW w:w="5200" w:type="dxa"/>
            <w:vAlign w:val="bottom"/>
            <w:gridSpan w:val="16"/>
          </w:tcPr>
          <w:p>
            <w:pPr>
              <w:spacing w:after="0" w:line="189" w:lineRule="exact"/>
              <w:rPr>
                <w:sz w:val="20"/>
                <w:szCs w:val="20"/>
                <w:color w:val="auto"/>
              </w:rPr>
            </w:pPr>
            <w:r>
              <w:rPr>
                <w:rFonts w:ascii="Arial" w:cs="Arial" w:eastAsia="Arial" w:hAnsi="Arial"/>
                <w:sz w:val="18"/>
                <w:szCs w:val="18"/>
                <w:color w:val="0000FF"/>
              </w:rPr>
              <w:t>Certification of the Company’s Chief Financial Officer pursuant to</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8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Exchange Act</w:t>
            </w:r>
          </w:p>
        </w:tc>
        <w:tc>
          <w:tcPr>
            <w:tcW w:w="400" w:type="dxa"/>
            <w:vAlign w:val="bottom"/>
            <w:gridSpan w:val="7"/>
          </w:tcPr>
          <w:p>
            <w:pPr>
              <w:jc w:val="right"/>
              <w:ind w:right="200"/>
              <w:spacing w:after="0" w:line="156" w:lineRule="exact"/>
              <w:rPr>
                <w:sz w:val="20"/>
                <w:szCs w:val="20"/>
                <w:color w:val="auto"/>
              </w:rPr>
            </w:pPr>
            <w:r>
              <w:rPr>
                <w:rFonts w:ascii="Arial" w:cs="Arial" w:eastAsia="Arial" w:hAnsi="Arial"/>
                <w:sz w:val="18"/>
                <w:szCs w:val="18"/>
                <w:color w:val="0000FF"/>
              </w:rPr>
              <w:t>of</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50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88"/>
              </w:rPr>
              <w:t>1934, as amended, pursuant to Section 302 of the Sarbanes-Oxley Act</w:t>
            </w: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0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of 2002.</w:t>
            </w: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rPr>
              <w:t>32.1**</w:t>
            </w:r>
          </w:p>
        </w:tc>
        <w:tc>
          <w:tcPr>
            <w:tcW w:w="5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4"/>
              </w:rPr>
              <w:t>Certification of the Company’s Chief Executive Officer pursuant to 18</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4"/>
            <w:shd w:val="clear" w:color="auto" w:fill="CCEEFF"/>
          </w:tcPr>
          <w:p>
            <w:pPr>
              <w:spacing w:after="0" w:line="156" w:lineRule="exact"/>
              <w:rPr>
                <w:sz w:val="20"/>
                <w:szCs w:val="20"/>
                <w:color w:val="auto"/>
              </w:rPr>
            </w:pPr>
            <w:r>
              <w:rPr>
                <w:rFonts w:ascii="Arial" w:cs="Arial" w:eastAsia="Arial" w:hAnsi="Arial"/>
                <w:sz w:val="18"/>
                <w:szCs w:val="18"/>
                <w:color w:val="0000FF"/>
                <w:w w:val="99"/>
              </w:rPr>
              <w:t>U.S.C. Section 1350, as adopted pursuant to Section 906 of the</w:t>
            </w:r>
          </w:p>
        </w:tc>
        <w:tc>
          <w:tcPr>
            <w:tcW w:w="120" w:type="dxa"/>
            <w:vAlign w:val="bottom"/>
            <w:tcBorders>
              <w:top w:val="single" w:sz="8" w:color="CCEEFF"/>
            </w:tcBorders>
            <w:gridSpan w:val="2"/>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244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ind w:right="12"/>
              <w:spacing w:after="0" w:line="189" w:lineRule="exact"/>
              <w:rPr>
                <w:sz w:val="20"/>
                <w:szCs w:val="20"/>
                <w:color w:val="auto"/>
              </w:rPr>
            </w:pPr>
            <w:r>
              <w:rPr>
                <w:rFonts w:ascii="Arial" w:cs="Arial" w:eastAsia="Arial" w:hAnsi="Arial"/>
                <w:sz w:val="18"/>
                <w:szCs w:val="18"/>
                <w:color w:val="auto"/>
              </w:rPr>
              <w:t>32.2**</w:t>
            </w:r>
          </w:p>
        </w:tc>
        <w:tc>
          <w:tcPr>
            <w:tcW w:w="5200" w:type="dxa"/>
            <w:vAlign w:val="bottom"/>
            <w:gridSpan w:val="16"/>
          </w:tcPr>
          <w:p>
            <w:pPr>
              <w:spacing w:after="0" w:line="189" w:lineRule="exact"/>
              <w:rPr>
                <w:sz w:val="20"/>
                <w:szCs w:val="20"/>
                <w:color w:val="auto"/>
              </w:rPr>
            </w:pPr>
            <w:r>
              <w:rPr>
                <w:rFonts w:ascii="Arial" w:cs="Arial" w:eastAsia="Arial" w:hAnsi="Arial"/>
                <w:sz w:val="18"/>
                <w:szCs w:val="18"/>
                <w:color w:val="0000FF"/>
                <w:w w:val="95"/>
              </w:rPr>
              <w:t>Certification of the Company’s Chief Financial Officer pursuant to 18</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02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8"/>
              </w:rPr>
              <w:t>U.S.C. Section 1350, as adopted pursuant to Section 906 of the</w:t>
            </w:r>
          </w:p>
        </w:tc>
        <w:tc>
          <w:tcPr>
            <w:tcW w:w="18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454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Sarbanes-Oxley Act of 2002.</w:t>
            </w:r>
          </w:p>
        </w:tc>
        <w:tc>
          <w:tcPr>
            <w:tcW w:w="660" w:type="dxa"/>
            <w:vAlign w:val="bottom"/>
            <w:gridSpan w:val="8"/>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shd w:val="clear" w:color="auto" w:fill="CCEEFF"/>
          </w:tcPr>
          <w:p>
            <w:pPr>
              <w:jc w:val="center"/>
              <w:ind w:right="12"/>
              <w:spacing w:after="0" w:line="176" w:lineRule="exact"/>
              <w:rPr>
                <w:sz w:val="20"/>
                <w:szCs w:val="20"/>
                <w:color w:val="auto"/>
              </w:rPr>
            </w:pPr>
            <w:r>
              <w:rPr>
                <w:rFonts w:ascii="Arial" w:cs="Arial" w:eastAsia="Arial" w:hAnsi="Arial"/>
                <w:sz w:val="18"/>
                <w:szCs w:val="18"/>
                <w:color w:val="auto"/>
                <w:w w:val="95"/>
              </w:rPr>
              <w:t>101.INS</w:t>
            </w:r>
          </w:p>
        </w:tc>
        <w:tc>
          <w:tcPr>
            <w:tcW w:w="52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spacing w:after="0"/>
              <w:rPr>
                <w:sz w:val="16"/>
                <w:szCs w:val="16"/>
                <w:color w:val="auto"/>
              </w:rPr>
            </w:pPr>
          </w:p>
        </w:tc>
        <w:tc>
          <w:tcPr>
            <w:tcW w:w="52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w w:val="94"/>
              </w:rPr>
              <w:t>the Interactive Data File because its XBRL tags are embedded within</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p>
        </w:tc>
        <w:tc>
          <w:tcPr>
            <w:tcW w:w="52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jc w:val="center"/>
              <w:ind w:right="12"/>
              <w:spacing w:after="0"/>
              <w:rPr>
                <w:sz w:val="20"/>
                <w:szCs w:val="20"/>
                <w:color w:val="auto"/>
              </w:rPr>
            </w:pPr>
            <w:r>
              <w:rPr>
                <w:rFonts w:ascii="Arial" w:cs="Arial" w:eastAsia="Arial" w:hAnsi="Arial"/>
                <w:sz w:val="18"/>
                <w:szCs w:val="18"/>
                <w:color w:val="auto"/>
                <w:w w:val="92"/>
              </w:rPr>
              <w:t>101.SCH*</w:t>
            </w:r>
          </w:p>
        </w:tc>
        <w:tc>
          <w:tcPr>
            <w:tcW w:w="52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rPr>
              <w:t>101.CAL*</w:t>
            </w:r>
          </w:p>
        </w:tc>
        <w:tc>
          <w:tcPr>
            <w:tcW w:w="52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ind w:right="12"/>
              <w:spacing w:after="0"/>
              <w:rPr>
                <w:sz w:val="20"/>
                <w:szCs w:val="20"/>
                <w:color w:val="auto"/>
              </w:rPr>
            </w:pPr>
            <w:r>
              <w:rPr>
                <w:rFonts w:ascii="Arial" w:cs="Arial" w:eastAsia="Arial" w:hAnsi="Arial"/>
                <w:sz w:val="18"/>
                <w:szCs w:val="18"/>
                <w:color w:val="auto"/>
                <w:w w:val="94"/>
              </w:rPr>
              <w:t>101.DEF*</w:t>
            </w:r>
          </w:p>
        </w:tc>
        <w:tc>
          <w:tcPr>
            <w:tcW w:w="520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rPr>
              <w:t>101.LAB*</w:t>
            </w:r>
          </w:p>
        </w:tc>
        <w:tc>
          <w:tcPr>
            <w:tcW w:w="52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ind w:right="12"/>
              <w:spacing w:after="0"/>
              <w:rPr>
                <w:sz w:val="20"/>
                <w:szCs w:val="20"/>
                <w:color w:val="auto"/>
              </w:rPr>
            </w:pPr>
            <w:r>
              <w:rPr>
                <w:rFonts w:ascii="Arial" w:cs="Arial" w:eastAsia="Arial" w:hAnsi="Arial"/>
                <w:sz w:val="18"/>
                <w:szCs w:val="18"/>
                <w:color w:val="auto"/>
                <w:w w:val="93"/>
              </w:rPr>
              <w:t>101.PRE*</w:t>
            </w:r>
          </w:p>
        </w:tc>
        <w:tc>
          <w:tcPr>
            <w:tcW w:w="520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200"/>
        <w:spacing w:after="0" w:line="220" w:lineRule="auto"/>
        <w:rPr>
          <w:sz w:val="20"/>
          <w:szCs w:val="20"/>
          <w:color w:val="auto"/>
        </w:rPr>
      </w:pPr>
      <w:r>
        <w:rPr>
          <w:rFonts w:ascii="Arial" w:cs="Arial" w:eastAsia="Arial" w:hAnsi="Arial"/>
          <w:sz w:val="18"/>
          <w:szCs w:val="18"/>
          <w:color w:val="auto"/>
        </w:rPr>
        <w:t>Cover Page Interactive Data File - The cover page interactive data file</w:t>
      </w:r>
    </w:p>
    <w:p>
      <w:pPr>
        <w:ind w:left="1200"/>
        <w:spacing w:after="0" w:line="219" w:lineRule="auto"/>
        <w:rPr>
          <w:sz w:val="20"/>
          <w:szCs w:val="20"/>
          <w:color w:val="auto"/>
        </w:rPr>
      </w:pPr>
      <w:r>
        <w:rPr>
          <w:rFonts w:ascii="Arial" w:cs="Arial" w:eastAsia="Arial" w:hAnsi="Arial"/>
          <w:sz w:val="18"/>
          <w:szCs w:val="18"/>
          <w:color w:val="auto"/>
        </w:rPr>
        <w:t>does not appear in the Interactive Data File because its XBRL tags are</w:t>
      </w:r>
    </w:p>
    <w:p>
      <w:pPr>
        <w:ind w:right="6740" w:firstLine="413"/>
        <w:spacing w:after="0" w:line="297" w:lineRule="auto"/>
        <w:tabs>
          <w:tab w:leader="none" w:pos="11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embedded within the Inline XBRL document. * Filed herewith.</w:t>
      </w:r>
    </w:p>
    <w:p>
      <w:pPr>
        <w:jc w:val="both"/>
        <w:ind w:firstLine="8"/>
        <w:spacing w:after="0" w:line="250" w:lineRule="auto"/>
        <w:tabs>
          <w:tab w:leader="none" w:pos="2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Fluence Energy, Inc.</w:t>
      </w:r>
    </w:p>
    <w:p>
      <w:pPr>
        <w:spacing w:after="0" w:line="279" w:lineRule="exact"/>
        <w:rPr>
          <w:sz w:val="20"/>
          <w:szCs w:val="20"/>
          <w:color w:val="auto"/>
        </w:rPr>
      </w:pPr>
    </w:p>
    <w:p>
      <w:pPr>
        <w:ind w:left="20"/>
        <w:spacing w:after="0"/>
        <w:tabs>
          <w:tab w:leader="none" w:pos="5320" w:val="left"/>
          <w:tab w:leader="none" w:pos="5880" w:val="left"/>
        </w:tabs>
        <w:rPr>
          <w:sz w:val="20"/>
          <w:szCs w:val="20"/>
          <w:color w:val="auto"/>
        </w:rPr>
      </w:pPr>
      <w:r>
        <w:rPr>
          <w:rFonts w:ascii="Arial" w:cs="Arial" w:eastAsia="Arial" w:hAnsi="Arial"/>
          <w:sz w:val="18"/>
          <w:szCs w:val="18"/>
          <w:color w:val="auto"/>
        </w:rPr>
        <w:t>Date: February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Julian Nebreda</w:t>
      </w:r>
    </w:p>
    <w:p>
      <w:pPr>
        <w:ind w:left="590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pacing w:after="0" w:line="317" w:lineRule="exact"/>
        <w:rPr>
          <w:sz w:val="20"/>
          <w:szCs w:val="20"/>
          <w:color w:val="auto"/>
        </w:rPr>
      </w:pPr>
    </w:p>
    <w:p>
      <w:pPr>
        <w:ind w:left="20"/>
        <w:spacing w:after="0"/>
        <w:tabs>
          <w:tab w:leader="none" w:pos="5320" w:val="left"/>
          <w:tab w:leader="none" w:pos="5880" w:val="left"/>
        </w:tabs>
        <w:rPr>
          <w:sz w:val="20"/>
          <w:szCs w:val="20"/>
          <w:color w:val="auto"/>
        </w:rPr>
      </w:pPr>
      <w:r>
        <w:rPr>
          <w:rFonts w:ascii="Arial" w:cs="Arial" w:eastAsia="Arial" w:hAnsi="Arial"/>
          <w:sz w:val="18"/>
          <w:szCs w:val="18"/>
          <w:color w:val="auto"/>
        </w:rPr>
        <w:t>Date: February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Manavendra Sial</w:t>
      </w:r>
    </w:p>
    <w:p>
      <w:pPr>
        <w:ind w:left="5900"/>
        <w:spacing w:after="0" w:line="232" w:lineRule="auto"/>
        <w:rPr>
          <w:sz w:val="20"/>
          <w:szCs w:val="20"/>
          <w:color w:val="auto"/>
        </w:rPr>
      </w:pPr>
      <w:r>
        <w:rPr>
          <w:rFonts w:ascii="Arial" w:cs="Arial" w:eastAsia="Arial" w:hAnsi="Arial"/>
          <w:sz w:val="17"/>
          <w:szCs w:val="17"/>
          <w:i w:val="1"/>
          <w:iCs w:val="1"/>
          <w:color w:val="auto"/>
        </w:rPr>
        <w:t>Chief Financial Officer and Senior Vice President (Principal Financial</w:t>
      </w:r>
    </w:p>
    <w:p>
      <w:pPr>
        <w:ind w:left="59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4.1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The following description of the capital stock of Fluence Energy, Inc. (“Fluence,” the “Company,” “we,” “us,” and “our”) and certain provisions of our amended and restated certificate of incorporation, as further amended by the first certificate of amendment thereto (collectively, our “certificate”) and amended and restated bylaws (our “bylaws”) are summaries and are qualified in their entirety by reference to the full text of our amended and restated certificate of incorporation and first certificate of amendment to the amended and restated certificate of incorporation and amended and restated bylaws, each of which is filed as an exhibit to this Quarterly Report on Form 10-Q for fiscal quarter ended December 31, 2022 and filed with the Securities and Exchange Commission on February 9, 2023, and applicable provisions of the General Corporation Law of the State of Delaware (the “DGCL”).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certificate authorizes capital stock consisting of:</w:t>
      </w:r>
    </w:p>
    <w:p>
      <w:pPr>
        <w:spacing w:after="0" w:line="148"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1,200,000,000 shares of Class A common stock, par value $0.00001 per share;</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200,000,000 shares of Class B-1 common stock, par value $0.00001 per share;</w:t>
      </w:r>
    </w:p>
    <w:p>
      <w:pPr>
        <w:spacing w:after="0" w:line="148" w:lineRule="exact"/>
        <w:rPr>
          <w:rFonts w:ascii="Arial" w:cs="Arial" w:eastAsia="Arial" w:hAnsi="Arial"/>
          <w:sz w:val="20"/>
          <w:szCs w:val="20"/>
          <w:color w:val="auto"/>
        </w:rPr>
      </w:pPr>
    </w:p>
    <w:p>
      <w:pPr>
        <w:ind w:left="1300" w:hanging="320"/>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200,000,000 shares of Class B-2 common stock, par value $0.00001 per share; and</w:t>
      </w:r>
    </w:p>
    <w:p>
      <w:pPr>
        <w:spacing w:after="0" w:line="148" w:lineRule="exact"/>
        <w:rPr>
          <w:rFonts w:ascii="Arial" w:cs="Arial" w:eastAsia="Arial" w:hAnsi="Arial"/>
          <w:sz w:val="20"/>
          <w:szCs w:val="20"/>
          <w:color w:val="auto"/>
        </w:rPr>
      </w:pPr>
    </w:p>
    <w:p>
      <w:pPr>
        <w:ind w:left="1300" w:hanging="320"/>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10,000,000 shares of preferred stock, par value $0.00001 per share.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Certain provisions of our certificate and our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A Common Stock</w:t>
      </w:r>
    </w:p>
    <w:p>
      <w:pPr>
        <w:spacing w:after="0" w:line="1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Holders of shares of our Class A common stock are entitled to one vote for each share held of record on all matters submitted to a vote of stockholders.</w:t>
      </w:r>
    </w:p>
    <w:p>
      <w:pPr>
        <w:spacing w:after="0" w:line="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Upon our dissolution or liquidation, after payment in full of all amounts required to be paid to creditors and to the holders of preferred stock having liquidation preferences, if any, the holders of shares of our Class A common stock are entitled to receive pro rata our remaining assets available for distribution.</w:t>
      </w:r>
    </w:p>
    <w:p>
      <w:pPr>
        <w:spacing w:after="0" w:line="1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Holders of shares of our Class A common stock do not have preemptive, subscription, redemption or conversion rights. There are no redemption or sinking fund provisions applicable to the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B-1 and Class B-2 Common Stock</w:t>
      </w:r>
    </w:p>
    <w:p>
      <w:pPr>
        <w:sectPr>
          <w:pgSz w:w="11900" w:h="16838" w:orient="portrait"/>
          <w:cols w:equalWidth="0" w:num="1">
            <w:col w:w="11240"/>
          </w:cols>
          <w:pgMar w:left="320" w:top="1399" w:right="339" w:bottom="1440" w:gutter="0" w:footer="0" w:header="0"/>
        </w:sectPr>
      </w:pPr>
    </w:p>
    <w:bookmarkStart w:id="49" w:name="page50"/>
    <w:bookmarkEnd w:id="49"/>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share of our Class B-1 common stock entitles its holders to five votes per share and each share of our Class B-2 common stock entitles its holders to one vote per share on all matters presented to our stockholders generally.</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Shares of Class B-1 and Class B-2 common stock will be issued in the future only (a) to the extent necessary to maintain a one-to-one ratio between the number of common units of Fluence Energy, LLC (“LLC Interests”) held by the Founders (defined below) and the aggregate number of shares of Class B-1 and Class B-2 common stock issued to the Founders, and (b) in the case of Class B-2 common stock, upon conversion of Class B-1 common stock as described below. Shares of Class B-1 and Class B-2 common stock are transferable only together with an equal number of LLC Interests. Only permitted transferees of LLC Interests held by the Founders are permitted transferees of Class B-1 and Class B-2 common stock. “Founders” means, collectively, the holders of LLC Interests (other than the Company) and our Class B-1 common stock, including AES Grid Stability, LLC, Siemens Industry, Inc., and their respective subsidiaries, who may, at each of their respective options, in whole or in part from time to time, require Fluence Energy, LLC to redeem their LLC Interests (along with an equal number of shares of Class B-1 common stock or Class B-2 common stock, as the case may be (and such shares shall be immediately cancelled)) for, at our election (determined solely by our independent directors (within the meaning of the rules of the Nasdaq) who are disinterested), cash or newly-issued shares of our Class A common stock.</w:t>
      </w:r>
    </w:p>
    <w:p>
      <w:pPr>
        <w:spacing w:after="0" w:line="1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Holders of shares of our Class B-1 and Class B-2 common stock vote together with holders of our Class A common stock as a single class on all matters presented to our stockholders for their vote or approval, except for certain amendments to our certificate described below or as otherwise required by applicable law or our certificate.</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are no redemption or sinking fund provisions applicable to the Class B-1 or Class B-2 common stock. Any amendment of our certificate that gives holders of our Class B-1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1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Each outstanding share of Class B-1 common stock will automatically convert into one share of Class B-2 common stock upon the earliest of (1) any transfer by a Founder of such shares of Class B-1 common stock other than to an affiliate of such Founder, (2) with respect to each Founder and its affiliates, 5:00 p.m. (New York City time) on a date fixed by our board of directors that is not less than 60 days nor more than 180 days following the date that such Founder, together with its affiliates, ceases to hold an aggregate number of shares of all classes of our common stock representing at least 20% of the aggregate number of all outstanding shares of all classes of our common stock, and (3) 5:00 p.m. (New York City time) on the date that is seven years following the closing of our initial public offering of Class A common stock. In addition, upon the filing of the first certificate of amendment to our amended and restated certificate of incorporation on December 22, 2022, holders of our Class B-1 common stock are permitted to convert shares of Class B-1 common stock into shares of Class B-2 common stock at a one-to-one ratio at any time at the option of such holder.</w:t>
      </w:r>
    </w:p>
    <w:p>
      <w:pPr>
        <w:spacing w:after="0" w:line="9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Following exercise of its redemption rights by Siemens Industry, Inc. of its LLC Interests on June 30, 2022, together with the corresponding cancellation of an equivalent number of shares of our Class B-1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common stock, and our election to settle the redemption through issuance of shares of Class A common stock to Siemens Industry, Inc. (the "Redemption"), AES Grid Stability, LLC currently holds 100% of the outstanding shares of our Class B-1 common stock.</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shares of our Class B-2 common stock are outstanding.</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total of our authorized shares of preferred stock is 10,000,000 shares. We have no shares of preferred stock outstanding.</w:t>
      </w:r>
    </w:p>
    <w:p>
      <w:pPr>
        <w:spacing w:after="0" w:line="1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54" w:lineRule="exact"/>
        <w:rPr>
          <w:sz w:val="20"/>
          <w:szCs w:val="20"/>
          <w:color w:val="auto"/>
        </w:rPr>
      </w:pPr>
    </w:p>
    <w:p>
      <w:pPr>
        <w:jc w:val="both"/>
        <w:ind w:firstLine="315"/>
        <w:spacing w:after="0" w:line="267" w:lineRule="auto"/>
        <w:rPr>
          <w:sz w:val="20"/>
          <w:szCs w:val="20"/>
          <w:color w:val="auto"/>
        </w:rPr>
      </w:pPr>
      <w:r>
        <w:rPr>
          <w:rFonts w:ascii="Arial" w:cs="Arial" w:eastAsia="Arial" w:hAnsi="Arial"/>
          <w:sz w:val="19"/>
          <w:szCs w:val="19"/>
          <w:color w:val="auto"/>
        </w:rPr>
        <w:t>In connection with our initial public offering in October 2021, we entered into a Registration Rights Agreement with certain of the Continuing Equity Owners (as defined below) pursuant to which such parties have specified rights to require us to register for resale all or a portion of their shares of Class A common stock under the Securities Act of 1933, as amended (the “Securities Act”). "Continuing Equity Owners" originally consisted of AES Grid Stability, LLC, Siemens Industry, Inc., and Qatar Holding LLC and each of their respective subsidiaries. Following the Redemption, Siemens Industry, Inc. effected an internal transfer of its interests in 58,586,695 shares of Class A common stock held by Siemens Industry, Inc. to Siemens AG and Siemens AG executed a Registration Rights Joinder, becoming a party to the Registration Rights Agreement. On September 29, 2022, Siemens AG effected an internal transfer of its interest in 18,848,631 shares of Class A common stock held by Siemens AG to Siemens Pension-Trust E.V. and Siemens Pension-Trust E.V. executed a Registration Rights Joinder, becoming a party to the Registration Rights Agreement.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Forum Selection</w:t>
      </w:r>
    </w:p>
    <w:p>
      <w:pPr>
        <w:spacing w:after="0" w:line="154" w:lineRule="exact"/>
        <w:rPr>
          <w:sz w:val="20"/>
          <w:szCs w:val="20"/>
          <w:color w:val="auto"/>
        </w:rPr>
      </w:pPr>
    </w:p>
    <w:p>
      <w:pPr>
        <w:jc w:val="both"/>
        <w:ind w:firstLine="204"/>
        <w:spacing w:after="0" w:line="255" w:lineRule="auto"/>
        <w:rPr>
          <w:sz w:val="20"/>
          <w:szCs w:val="20"/>
          <w:color w:val="auto"/>
        </w:rPr>
      </w:pPr>
      <w:r>
        <w:rPr>
          <w:rFonts w:ascii="Arial" w:cs="Arial" w:eastAsia="Arial" w:hAnsi="Arial"/>
          <w:sz w:val="20"/>
          <w:szCs w:val="20"/>
          <w:color w:val="auto"/>
        </w:rPr>
        <w:t>Our certificate provides that (A) (i) any derivative action or proceeding brought on behalf of the Company, (ii) any action asserting a claim for or based on breach of a fiduciary duty owed by any current or former director, officer, other employee, agent or stockholder of the Company to the Company or the Company’s stockholders, (iii) any action asserting a claim against the Company or any current or former director, officer, employee, agent or stockholder of the Company arising pursuant to any provision of the DGCL, our certificate or our bylaws (as either may be amended or restated) or as to which the DGCL confers jurisdiction on the Court of Chancery of the State of Delaware or (iv) any action asserting a claim</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related to or involving the Company that is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Exchange Act of 1934, as amended.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Declaration and payment of any dividend is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distributions to stockholders, and any other factors our board of directors may consider relevant.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Our certificate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Authorized but unissued shares.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Limitation on Action by Written Consent</w:t>
      </w:r>
    </w:p>
    <w:p>
      <w:pPr>
        <w:spacing w:after="0" w:line="14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Our certificate of incorporation provides that from and after the date on which the aggregate number of outstanding shares of Class B-1 and Class B-2 common stock, voting together as a single class, cease to represent at least 50% of the total voting power of the outstanding shares of our capital stock, holders of our common stock will not be able to act by written consent without a meeting.</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 meetings of stockholders.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Our bylaws provide that from and after the date on which the aggregate number of outstanding shares of Class B-1 and Class B-2 common stock, voting together as a single class, cease to represent at least 50% of the total voting power of the outstanding shares of our capital stock, only the chairperson of our board of directors or a majority of our board of directors may call special meetings of our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 notice requirements for stockholder proposals and director nominations.</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In addition, our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Notwithstanding anything contained in our bylaws to the contrary, such advance notice procedures shall not apply to a stockholder exercising its rights to designate persons for nomination for election to our board of directors in accordance with the provisions of the Stockholders Agreement for so long as it remains in effect.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certificate of incorporation or bylaws.</w:t>
      </w:r>
    </w:p>
    <w:p>
      <w:pPr>
        <w:spacing w:after="0" w:line="1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and bylaws provide that the affirmative vote of holders of at least 66 2/3% of the voting power of all of the then-outstanding shares of capital stock, voting as a single class, is required to amend certain provisions of our certificate, including provisions relating to amending our bylaws, the size of our board, removal of directors, director liability, vacancies on our board, special meetings, stockholder notices, actions by written consent and exclusive forum.</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203 of the DGCL.</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We have opted out of Section 203 of the DGCL. However, our certificate contains provisions that are similar to Section 203. Specifically, our certificate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manner prescribed in our certificate.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provided that the Founders and certain of their related parties and their respective direct and indirect transferees shall not be considered “interested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Liability and Indemnification of Officers and Directors</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28" w:lineRule="exact"/>
        <w:rPr>
          <w:sz w:val="20"/>
          <w:szCs w:val="20"/>
          <w:color w:val="auto"/>
        </w:rPr>
      </w:pPr>
    </w:p>
    <w:p>
      <w:pPr>
        <w:jc w:val="both"/>
        <w:ind w:firstLine="242"/>
        <w:spacing w:after="0" w:line="285" w:lineRule="auto"/>
        <w:rPr>
          <w:sz w:val="20"/>
          <w:szCs w:val="20"/>
          <w:color w:val="auto"/>
        </w:rPr>
      </w:pPr>
      <w:r>
        <w:rPr>
          <w:rFonts w:ascii="Arial" w:cs="Arial" w:eastAsia="Arial" w:hAnsi="Arial"/>
          <w:sz w:val="18"/>
          <w:szCs w:val="18"/>
          <w:color w:val="auto"/>
        </w:rPr>
        <w:t>Our certificate and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certificate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05" w:lineRule="exact"/>
        <w:rPr>
          <w:sz w:val="20"/>
          <w:szCs w:val="20"/>
          <w:color w:val="auto"/>
        </w:rPr>
      </w:pPr>
    </w:p>
    <w:p>
      <w:pPr>
        <w:ind w:right="2060"/>
        <w:spacing w:after="0" w:line="401" w:lineRule="auto"/>
        <w:rPr>
          <w:sz w:val="20"/>
          <w:szCs w:val="20"/>
          <w:color w:val="auto"/>
        </w:rPr>
      </w:pPr>
      <w:r>
        <w:rPr>
          <w:rFonts w:ascii="Arial" w:cs="Arial" w:eastAsia="Arial" w:hAnsi="Arial"/>
          <w:sz w:val="20"/>
          <w:szCs w:val="20"/>
          <w:color w:val="auto"/>
        </w:rPr>
        <w:t xml:space="preserve">These provisions may be held not to be enforceable for violations of the federal securities laws of the United States. </w:t>
      </w:r>
      <w:r>
        <w:rPr>
          <w:rFonts w:ascii="Arial" w:cs="Arial" w:eastAsia="Arial" w:hAnsi="Arial"/>
          <w:sz w:val="20"/>
          <w:szCs w:val="20"/>
          <w:b w:val="1"/>
          <w:bCs w:val="1"/>
          <w:color w:val="auto"/>
        </w:rPr>
        <w:t>Corporate Opportunity Doctrine</w:t>
      </w:r>
    </w:p>
    <w:p>
      <w:pPr>
        <w:spacing w:after="0" w:line="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certificate will, to the maximum extent permitted from time to time by Delaware law, renounce any interest or expectancy that we have in, or right to be offered an opportunity to participate in, specified business opportunities that are from time to time presented to any director or stockholder who is not employed by us or our subsidiaries. Our certificate provides that, to the fullest extent permitted by law, any director or stockholder who is not employed by us or our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any director or stockholder who is not employed by us or our subsidiaries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certificate,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certificate does not renounce our interest in any business opportunity that is expressly offered to an employee director or employee in his or her capacity as a director or employee of Fluence Energy, Inc.</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Dissenters' Rights of Appraisal and Payment</w:t>
      </w:r>
    </w:p>
    <w:p>
      <w:pPr>
        <w:spacing w:after="0" w:line="16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Derivative Actions</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28" w:lineRule="exact"/>
        <w:rPr>
          <w:sz w:val="20"/>
          <w:szCs w:val="20"/>
          <w:color w:val="auto"/>
        </w:rPr>
      </w:pPr>
    </w:p>
    <w:p>
      <w:pPr>
        <w:jc w:val="both"/>
        <w:ind w:firstLine="213"/>
        <w:spacing w:after="0" w:line="257" w:lineRule="auto"/>
        <w:rPr>
          <w:sz w:val="20"/>
          <w:szCs w:val="20"/>
          <w:color w:val="auto"/>
        </w:rPr>
      </w:pPr>
      <w:r>
        <w:rPr>
          <w:rFonts w:ascii="Arial" w:cs="Arial" w:eastAsia="Arial" w:hAnsi="Arial"/>
          <w:sz w:val="20"/>
          <w:szCs w:val="20"/>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transfer agent and registrar for our Class A common stock is Computershare Trust Company, N.A.</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Symbol and Market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Class A common stock is listed on the Nasdaq Global Select Market under the symbol "FLNC".</w:t>
      </w:r>
    </w:p>
    <w:p>
      <w:pPr>
        <w:sectPr>
          <w:pgSz w:w="11900" w:h="16838" w:orient="portrait"/>
          <w:cols w:equalWidth="0" w:num="1">
            <w:col w:w="11240"/>
          </w:cols>
          <w:pgMar w:left="320" w:top="144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Julian Nebreda, certify that:</w:t>
      </w:r>
    </w:p>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right="320" w:firstLine="320"/>
        <w:spacing w:after="0" w:line="342" w:lineRule="auto"/>
        <w:tabs>
          <w:tab w:leader="none" w:pos="122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firstLine="320"/>
        <w:spacing w:after="0" w:line="308" w:lineRule="auto"/>
        <w:tabs>
          <w:tab w:leader="none" w:pos="125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660" w:firstLine="320"/>
        <w:spacing w:after="0" w:line="277" w:lineRule="auto"/>
        <w:tabs>
          <w:tab w:leader="none" w:pos="12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ectPr>
          <w:pgSz w:w="11900" w:h="16838" w:orient="portrait"/>
          <w:cols w:equalWidth="0" w:num="1">
            <w:col w:w="11240"/>
          </w:cols>
          <w:pgMar w:left="320" w:top="10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24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Julian Nebreda</w:t>
      </w:r>
    </w:p>
    <w:p>
      <w:pPr>
        <w:ind w:left="480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ectPr>
          <w:pgSz w:w="11900" w:h="16838" w:orient="portrait"/>
          <w:cols w:equalWidth="0" w:num="1">
            <w:col w:w="10120"/>
          </w:cols>
          <w:pgMar w:left="1440" w:top="10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Manavendra Sial, certify that:</w:t>
      </w:r>
    </w:p>
    <w:p>
      <w:pPr>
        <w:spacing w:after="0" w:line="14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320" w:firstLine="320"/>
        <w:spacing w:after="0" w:line="342" w:lineRule="auto"/>
        <w:tabs>
          <w:tab w:leader="none" w:pos="122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firstLine="320"/>
        <w:spacing w:after="0" w:line="308" w:lineRule="auto"/>
        <w:tabs>
          <w:tab w:leader="none" w:pos="1256"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660" w:firstLine="320"/>
        <w:spacing w:after="0" w:line="277" w:lineRule="auto"/>
        <w:tabs>
          <w:tab w:leader="none" w:pos="12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ectPr>
          <w:pgSz w:w="11900" w:h="16838" w:orient="portrait"/>
          <w:cols w:equalWidth="0" w:num="1">
            <w:col w:w="11240"/>
          </w:cols>
          <w:pgMar w:left="320" w:top="10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14605</wp:posOffset>
            </wp:positionV>
            <wp:extent cx="31375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Manavendra Sial</w:t>
      </w:r>
    </w:p>
    <w:p>
      <w:pPr>
        <w:ind w:left="5120"/>
        <w:spacing w:after="0" w:line="219"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512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0120"/>
          </w:cols>
          <w:pgMar w:left="1440" w:top="10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56" w:lineRule="exact"/>
        <w:rPr>
          <w:sz w:val="20"/>
          <w:szCs w:val="20"/>
          <w:color w:val="auto"/>
        </w:rPr>
      </w:pPr>
    </w:p>
    <w:p>
      <w:pPr>
        <w:ind w:right="60" w:firstLine="324"/>
        <w:spacing w:after="0" w:line="221" w:lineRule="exact"/>
        <w:rPr>
          <w:sz w:val="20"/>
          <w:szCs w:val="20"/>
          <w:color w:val="auto"/>
        </w:rPr>
      </w:pPr>
      <w:r>
        <w:rPr>
          <w:rFonts w:ascii="Arial" w:cs="Arial" w:eastAsia="Arial" w:hAnsi="Arial"/>
          <w:sz w:val="16"/>
          <w:szCs w:val="16"/>
          <w:color w:val="auto"/>
        </w:rPr>
        <w:t>In connection with the Quarterly Report on Form 10-Q of Fluence Energy, Inc. (the “Company”) for the quarter ended December 31, 2022 as filed with the Securities and Exchange Commission on the date hereof (the “Report”), I, Julian Nebreda, Chief Executive Officer and President of the Company, certifies,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36" w:lineRule="exact"/>
        <w:rPr>
          <w:sz w:val="20"/>
          <w:szCs w:val="20"/>
          <w:color w:val="auto"/>
        </w:rPr>
      </w:pPr>
    </w:p>
    <w:p>
      <w:pPr>
        <w:ind w:left="600" w:hanging="18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571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Julian Nebreda</w:t>
      </w:r>
    </w:p>
    <w:p>
      <w:pPr>
        <w:ind w:left="6220"/>
        <w:spacing w:after="0" w:line="203" w:lineRule="auto"/>
        <w:rPr>
          <w:sz w:val="20"/>
          <w:szCs w:val="20"/>
          <w:color w:val="auto"/>
        </w:rPr>
      </w:pPr>
      <w:r>
        <w:rPr>
          <w:rFonts w:ascii="Arial" w:cs="Arial" w:eastAsia="Arial" w:hAnsi="Arial"/>
          <w:sz w:val="18"/>
          <w:szCs w:val="18"/>
          <w:i w:val="1"/>
          <w:iCs w:val="1"/>
          <w:color w:val="auto"/>
        </w:rPr>
        <w:t>Chief Executive Officer and President (Principal</w:t>
      </w:r>
    </w:p>
    <w:p>
      <w:pPr>
        <w:ind w:left="6220"/>
        <w:spacing w:after="0"/>
        <w:rPr>
          <w:sz w:val="20"/>
          <w:szCs w:val="20"/>
          <w:color w:val="auto"/>
        </w:rPr>
      </w:pPr>
      <w:r>
        <w:rPr>
          <w:rFonts w:ascii="Arial" w:cs="Arial" w:eastAsia="Arial" w:hAnsi="Arial"/>
          <w:sz w:val="18"/>
          <w:szCs w:val="18"/>
          <w:i w:val="1"/>
          <w:iCs w:val="1"/>
          <w:color w:val="auto"/>
        </w:rPr>
        <w:t>Executive Officer)</w:t>
      </w:r>
    </w:p>
    <w:p>
      <w:pPr>
        <w:sectPr>
          <w:pgSz w:w="11900" w:h="16838" w:orient="portrait"/>
          <w:cols w:equalWidth="0" w:num="1">
            <w:col w:w="11240"/>
          </w:cols>
          <w:pgMar w:left="320" w:top="8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56" w:lineRule="exact"/>
        <w:rPr>
          <w:sz w:val="20"/>
          <w:szCs w:val="20"/>
          <w:color w:val="auto"/>
        </w:rPr>
      </w:pPr>
    </w:p>
    <w:p>
      <w:pPr>
        <w:ind w:right="120" w:firstLine="324"/>
        <w:spacing w:after="0" w:line="220" w:lineRule="exact"/>
        <w:rPr>
          <w:sz w:val="20"/>
          <w:szCs w:val="20"/>
          <w:color w:val="auto"/>
        </w:rPr>
      </w:pPr>
      <w:r>
        <w:rPr>
          <w:rFonts w:ascii="Arial" w:cs="Arial" w:eastAsia="Arial" w:hAnsi="Arial"/>
          <w:sz w:val="18"/>
          <w:szCs w:val="18"/>
          <w:color w:val="auto"/>
        </w:rPr>
        <w:t>In connection with the Quarterly Report on Form 10-Q of Fluence Energy, Inc. (the “Company”) for the quarter ended December 31, 2022 as filed with the Securities and Exchange Commission on the date hereof (the “Report”), I, Manavendra Sial, Senior Vice President and Chief Financial Officer of the Company, certifies,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the best of my knowledge:</w:t>
      </w:r>
    </w:p>
    <w:p>
      <w:pPr>
        <w:spacing w:after="0" w:line="136" w:lineRule="exact"/>
        <w:rPr>
          <w:sz w:val="20"/>
          <w:szCs w:val="20"/>
          <w:color w:val="auto"/>
        </w:rPr>
      </w:pPr>
    </w:p>
    <w:p>
      <w:pPr>
        <w:ind w:left="600" w:hanging="187"/>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00" w:lineRule="exact"/>
        <w:rPr>
          <w:sz w:val="20"/>
          <w:szCs w:val="20"/>
          <w:color w:val="auto"/>
        </w:rPr>
      </w:pPr>
    </w:p>
    <w:p>
      <w:pPr>
        <w:spacing w:after="0" w:line="390"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032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Manavendra Sial</w:t>
      </w:r>
    </w:p>
    <w:p>
      <w:pPr>
        <w:ind w:left="624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6240"/>
        <w:spacing w:after="0"/>
        <w:rPr>
          <w:sz w:val="20"/>
          <w:szCs w:val="20"/>
          <w:color w:val="auto"/>
        </w:rPr>
      </w:pPr>
      <w:r>
        <w:rPr>
          <w:rFonts w:ascii="Arial" w:cs="Arial" w:eastAsia="Arial" w:hAnsi="Arial"/>
          <w:sz w:val="18"/>
          <w:szCs w:val="18"/>
          <w:i w:val="1"/>
          <w:iCs w:val="1"/>
          <w:color w:val="auto"/>
        </w:rPr>
        <w:t>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lowerRoman"/>
      <w:start w:val="2"/>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
      <w:numFmt w:val="bullet"/>
      <w:start w:val="1"/>
    </w:lvl>
    <w:lvl w:ilvl="1">
      <w:lvlJc w:val="left"/>
      <w:lvlText w:val="%2"/>
      <w:numFmt w:val="decimal"/>
      <w:start w:val="104"/>
    </w:lvl>
  </w:abstractNum>
  <w:abstractNum w:abstractNumId="16">
    <w:nsid w:val="257130A3"/>
    <w:multiLevelType w:val="hybridMultilevel"/>
    <w:lvl w:ilvl="0">
      <w:lvlJc w:val="left"/>
      <w:lvlText w:val="**"/>
      <w:numFmt w:val="bullet"/>
      <w:start w:val="1"/>
    </w:lvl>
    <w:lvl w:ilvl="1">
      <w:lvlJc w:val="left"/>
      <w:lvlText w:val="%2"/>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80" Type="http://schemas.openxmlformats.org/officeDocument/2006/relationships/hyperlink" Target="https://www.sec.gov/Archives/edgar/data/0001868941/000110465921133771/tm2120236d16_ex3-1.htm" TargetMode="External"/><Relationship Id="rId81" Type="http://schemas.openxmlformats.org/officeDocument/2006/relationships/hyperlink" Target="https://www.sec.gov/Archives/edgar/data/1868941/000186894122000124/fluence-charteramendmentop.htm" TargetMode="External"/><Relationship Id="rId82" Type="http://schemas.openxmlformats.org/officeDocument/2006/relationships/hyperlink" Target="https://www.sec.gov/Archives/edgar/data/0001868941/000110465921133771/tm2120236d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2023-02-10T16:59:38Z</dcterms:created>
  <dcterms:modified xsi:type="dcterms:W3CDTF">2023-02-10T16:59:38Z</dcterms:modified>
</cp:coreProperties>
</file>