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Zahurancik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20" w:lineRule="auto"/>
        <w:rPr>
          <w:sz w:val="20"/>
          <w:szCs w:val="20"/>
          <w:color w:val="auto"/>
        </w:rPr>
      </w:pPr>
      <w:r>
        <w:rPr>
          <w:rFonts w:ascii="Times New Roman" w:cs="Times New Roman" w:eastAsia="Times New Roman" w:hAnsi="Times New Roman"/>
          <w:sz w:val="17"/>
          <w:szCs w:val="17"/>
          <w:color w:val="0000FF"/>
        </w:rPr>
        <w:t>C/O FLUENCE ENERGY, INC. 4601 FAIRFAX DRIVE, SUITE 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Fluence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SVP &amp; CCSO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2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06/24/2026</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ARLINGTON   VA</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22203</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06/22/2026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16,000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25.179</w:t>
            </w:r>
            <w:r>
              <w:rPr>
                <w:rFonts w:ascii="Times New Roman" w:cs="Times New Roman" w:eastAsia="Times New Roman" w:hAnsi="Times New Roman"/>
                <w:sz w:val="22"/>
                <w:szCs w:val="22"/>
                <w:color w:val="008000"/>
                <w:w w:val="98"/>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87,145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06/23/2026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15,974</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22.0257</w:t>
            </w:r>
            <w:r>
              <w:rPr>
                <w:rFonts w:ascii="Times New Roman" w:cs="Times New Roman" w:eastAsia="Times New Roman" w:hAnsi="Times New Roman"/>
                <w:sz w:val="22"/>
                <w:szCs w:val="22"/>
                <w:color w:val="008000"/>
                <w:w w:val="92"/>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71,171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an existing Rule 10b5-1 trading plan adopted by the reporting person on March 20, 2026. The reporting person is subject to a lock-up agreement that expires at the close of business on June 26, 2026, that was entered into with the representatives of the underwriters in connection with an underwritten public offering of the Issuer's Class A common stock. The sales of shares is a permissible exemption under the terms of the lock-up agreement.</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open market transactions at prices ranging from $24.52 to $25.63, inclusive. The reporting person undertakes to provide to Fluence Energy, Inc. ("Fluence"), any security holder of Fluence, or the staff of the Securities and Exchange Commission, upon request, full information regarding the number of shares sold at each separate price within the range indicated in this footnote.</w:t>
      </w:r>
    </w:p>
    <w:p>
      <w:pPr>
        <w:spacing w:after="0" w:line="20" w:lineRule="exact"/>
        <w:rPr>
          <w:rFonts w:ascii="Times New Roman" w:cs="Times New Roman" w:eastAsia="Times New Roman" w:hAnsi="Times New Roman"/>
          <w:sz w:val="13"/>
          <w:szCs w:val="13"/>
          <w:color w:val="008000"/>
        </w:rPr>
      </w:pPr>
    </w:p>
    <w:p>
      <w:pPr>
        <w:jc w:val="both"/>
        <w:ind w:left="40" w:right="5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open market transactions at prices ranging from $21.24 to $22.94, inclusive. The reporting person undertakes to provide to Fluence, any security holder of Fluence, or the staff of the Securities and Exchange Commission, upon request, full information regarding the number of shares sold at each separate price within the range indicated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Form 4/A amends the Form 4 originally filed on June 24, 2026. Footnote 1 was inadvertently omitted in the original Form 4. No other information reported in the original filing is being amended.</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Leah Patterson as Attorney- </w:t>
      </w:r>
      <w:r>
        <w:rPr>
          <w:rFonts w:ascii="Times New Roman" w:cs="Times New Roman" w:eastAsia="Times New Roman" w:hAnsi="Times New Roman"/>
          <w:sz w:val="34"/>
          <w:szCs w:val="34"/>
          <w:color w:val="0000FF"/>
          <w:vertAlign w:val="subscript"/>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John Zahurancik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06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65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3064" TargetMode="External"/><Relationship Id="rId14" Type="http://schemas.openxmlformats.org/officeDocument/2006/relationships/hyperlink" Target="http://www.sec.gov/cgi-bin/browse-edgar?action=getcompany&amp;CIK=00018689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2026-06-26T17:43:32Z</dcterms:created>
  <dcterms:modified xsi:type="dcterms:W3CDTF">2026-06-26T17:43:32Z</dcterms:modified>
</cp:coreProperties>
</file>